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2481F1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C3AA04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0024158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67D9993" w14:textId="1266046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256239">
              <w:rPr>
                <w:b/>
                <w:bCs/>
                <w:sz w:val="26"/>
                <w:szCs w:val="26"/>
              </w:rPr>
              <w:t>PROPOSES FRAMEWORK TO FACILITATE SATELLITE-TO-</w:t>
            </w:r>
            <w:r w:rsidR="005C435F">
              <w:rPr>
                <w:b/>
                <w:bCs/>
                <w:sz w:val="26"/>
                <w:szCs w:val="26"/>
              </w:rPr>
              <w:t>SMARTPHONE</w:t>
            </w:r>
            <w:r w:rsidR="00256239">
              <w:rPr>
                <w:b/>
                <w:bCs/>
                <w:sz w:val="26"/>
                <w:szCs w:val="26"/>
              </w:rPr>
              <w:t xml:space="preserve"> </w:t>
            </w:r>
            <w:r w:rsidRPr="00256239" w:rsidR="00256239">
              <w:rPr>
                <w:b/>
                <w:bCs/>
                <w:sz w:val="26"/>
                <w:szCs w:val="26"/>
              </w:rPr>
              <w:t>SUPPLEMENTAL COVERAGE FROM SPACE</w:t>
            </w:r>
          </w:p>
          <w:p w:rsidR="00A30E24" w:rsidP="00BB4E29" w14:paraId="1AC88D5E" w14:textId="363225E3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A30E24">
              <w:rPr>
                <w:b/>
                <w:bCs/>
                <w:i/>
              </w:rPr>
              <w:t xml:space="preserve">Harnessing </w:t>
            </w:r>
            <w:r>
              <w:rPr>
                <w:b/>
                <w:bCs/>
                <w:i/>
              </w:rPr>
              <w:t>t</w:t>
            </w:r>
            <w:r w:rsidRPr="00A30E24">
              <w:rPr>
                <w:b/>
                <w:bCs/>
                <w:i/>
              </w:rPr>
              <w:t xml:space="preserve">he Power </w:t>
            </w:r>
            <w:r>
              <w:rPr>
                <w:b/>
                <w:bCs/>
                <w:i/>
              </w:rPr>
              <w:t>o</w:t>
            </w:r>
            <w:r w:rsidRPr="00A30E24">
              <w:rPr>
                <w:b/>
                <w:bCs/>
                <w:i/>
              </w:rPr>
              <w:t xml:space="preserve">f Satellites </w:t>
            </w:r>
            <w:r>
              <w:rPr>
                <w:b/>
                <w:bCs/>
                <w:i/>
              </w:rPr>
              <w:t>t</w:t>
            </w:r>
            <w:r w:rsidRPr="00A30E24">
              <w:rPr>
                <w:b/>
                <w:bCs/>
                <w:i/>
              </w:rPr>
              <w:t>o Enhance Mobile Phone Operations</w:t>
            </w:r>
            <w:r w:rsidR="00033BB3">
              <w:rPr>
                <w:b/>
                <w:bCs/>
                <w:i/>
              </w:rPr>
              <w:t xml:space="preserve"> and Connect Consumers </w:t>
            </w:r>
            <w:r w:rsidR="00093CC4">
              <w:rPr>
                <w:b/>
                <w:bCs/>
                <w:i/>
              </w:rPr>
              <w:t xml:space="preserve">to Fill </w:t>
            </w:r>
            <w:r w:rsidR="00033BB3">
              <w:rPr>
                <w:b/>
                <w:bCs/>
                <w:i/>
              </w:rPr>
              <w:t xml:space="preserve">Wireless </w:t>
            </w:r>
            <w:r w:rsidR="00093CC4">
              <w:rPr>
                <w:b/>
                <w:bCs/>
                <w:i/>
              </w:rPr>
              <w:t>Coverage Gaps</w:t>
            </w:r>
          </w:p>
          <w:p w:rsidR="00F61155" w:rsidRPr="006B0A70" w:rsidP="00BB4E29" w14:paraId="4F18AA6B" w14:textId="32D7C5B5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33BB3" w:rsidP="002E165B" w14:paraId="52B6BCFE" w14:textId="5B6A3E48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256239">
              <w:rPr>
                <w:sz w:val="22"/>
                <w:szCs w:val="22"/>
              </w:rPr>
              <w:t>March 16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EB2820">
              <w:rPr>
                <w:sz w:val="22"/>
                <w:szCs w:val="22"/>
              </w:rPr>
              <w:t>3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</w:t>
            </w:r>
            <w:r w:rsidRPr="002E165B" w:rsidR="00256239">
              <w:rPr>
                <w:sz w:val="22"/>
                <w:szCs w:val="22"/>
              </w:rPr>
              <w:t xml:space="preserve">Federal </w:t>
            </w:r>
            <w:r w:rsidRPr="002E165B" w:rsidR="000E049E">
              <w:rPr>
                <w:sz w:val="22"/>
                <w:szCs w:val="22"/>
              </w:rPr>
              <w:t>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256239">
              <w:rPr>
                <w:sz w:val="22"/>
                <w:szCs w:val="22"/>
              </w:rPr>
              <w:t xml:space="preserve">proposed a new regulatory framework to facilitate innovative collaborations between satellite operators and </w:t>
            </w:r>
            <w:r w:rsidR="00913FED">
              <w:rPr>
                <w:sz w:val="22"/>
                <w:szCs w:val="22"/>
              </w:rPr>
              <w:t xml:space="preserve">wireless </w:t>
            </w:r>
            <w:r w:rsidR="002054A2">
              <w:rPr>
                <w:sz w:val="22"/>
                <w:szCs w:val="22"/>
              </w:rPr>
              <w:t>companies</w:t>
            </w:r>
            <w:r w:rsidR="00256239">
              <w:rPr>
                <w:sz w:val="22"/>
                <w:szCs w:val="22"/>
              </w:rPr>
              <w:t xml:space="preserve">.  These partnerships leverage the growth in space-based services to connect smartphone users in </w:t>
            </w:r>
            <w:r w:rsidR="00BF3A24">
              <w:rPr>
                <w:sz w:val="22"/>
                <w:szCs w:val="22"/>
              </w:rPr>
              <w:t xml:space="preserve">remote, </w:t>
            </w:r>
            <w:r w:rsidR="005F47B9">
              <w:rPr>
                <w:sz w:val="22"/>
                <w:szCs w:val="22"/>
              </w:rPr>
              <w:t>unserved</w:t>
            </w:r>
            <w:r w:rsidR="00867438">
              <w:rPr>
                <w:sz w:val="22"/>
                <w:szCs w:val="22"/>
              </w:rPr>
              <w:t>, and underserved areas</w:t>
            </w:r>
            <w:r w:rsidR="00256239">
              <w:rPr>
                <w:sz w:val="22"/>
                <w:szCs w:val="22"/>
              </w:rPr>
              <w:t xml:space="preserve">.  </w:t>
            </w:r>
          </w:p>
          <w:p w:rsidR="00033BB3" w:rsidP="002E165B" w14:paraId="2A2FE119" w14:textId="77777777">
            <w:pPr>
              <w:rPr>
                <w:sz w:val="22"/>
                <w:szCs w:val="22"/>
              </w:rPr>
            </w:pPr>
          </w:p>
          <w:p w:rsidR="00BD19E8" w:rsidP="002E165B" w14:paraId="4DABD61E" w14:textId="156F6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Numerous such </w:t>
            </w:r>
            <w:r w:rsidR="00D31026">
              <w:rPr>
                <w:sz w:val="22"/>
                <w:szCs w:val="22"/>
              </w:rPr>
              <w:t xml:space="preserve">collaborations </w:t>
            </w:r>
            <w:r>
              <w:rPr>
                <w:sz w:val="22"/>
                <w:szCs w:val="22"/>
              </w:rPr>
              <w:t xml:space="preserve">have launched </w:t>
            </w:r>
            <w:r w:rsidR="008C60F6">
              <w:rPr>
                <w:sz w:val="22"/>
                <w:szCs w:val="22"/>
              </w:rPr>
              <w:t>recently</w:t>
            </w:r>
            <w:r w:rsidR="00CB1F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the FCC seeks to establish clear and transparent processes to support supplemental coverage from space.</w:t>
            </w:r>
            <w:r w:rsidR="00033BB3">
              <w:rPr>
                <w:sz w:val="22"/>
                <w:szCs w:val="22"/>
              </w:rPr>
              <w:t xml:space="preserve">  </w:t>
            </w:r>
            <w:r w:rsidR="00FA2B62">
              <w:rPr>
                <w:sz w:val="22"/>
                <w:szCs w:val="22"/>
              </w:rPr>
              <w:t xml:space="preserve">Connecting consumers to essential wireless services where </w:t>
            </w:r>
            <w:r w:rsidRPr="00A30E24" w:rsidR="00A30E24">
              <w:rPr>
                <w:sz w:val="22"/>
                <w:szCs w:val="22"/>
              </w:rPr>
              <w:t>no terrestrial mobile service</w:t>
            </w:r>
            <w:r w:rsidR="00FA2B62">
              <w:rPr>
                <w:sz w:val="22"/>
                <w:szCs w:val="22"/>
              </w:rPr>
              <w:t xml:space="preserve"> is available can be life-saving in remote location</w:t>
            </w:r>
            <w:r w:rsidR="00033BB3">
              <w:rPr>
                <w:sz w:val="22"/>
                <w:szCs w:val="22"/>
              </w:rPr>
              <w:t>s</w:t>
            </w:r>
            <w:r w:rsidR="00FA2B62">
              <w:rPr>
                <w:sz w:val="22"/>
                <w:szCs w:val="22"/>
              </w:rPr>
              <w:t xml:space="preserve"> and can open up innovative opportunities for consumers and businesses</w:t>
            </w:r>
            <w:r w:rsidRPr="00A30E24" w:rsidR="00A30E24">
              <w:rPr>
                <w:sz w:val="22"/>
                <w:szCs w:val="22"/>
              </w:rPr>
              <w:t>.</w:t>
            </w:r>
          </w:p>
          <w:p w:rsidR="00FA2B62" w:rsidP="002E165B" w14:paraId="78C3267C" w14:textId="71A85443">
            <w:pPr>
              <w:rPr>
                <w:sz w:val="22"/>
                <w:szCs w:val="22"/>
              </w:rPr>
            </w:pPr>
          </w:p>
          <w:p w:rsidR="00E366B2" w:rsidP="00E366B2" w14:paraId="31B42959" w14:textId="78A7D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Notice of Proposed Rulemaking adopted today proposes a </w:t>
            </w:r>
            <w:r w:rsidRPr="00A56EAA">
              <w:rPr>
                <w:sz w:val="22"/>
                <w:szCs w:val="22"/>
              </w:rPr>
              <w:t xml:space="preserve">framework </w:t>
            </w:r>
            <w:r>
              <w:rPr>
                <w:sz w:val="22"/>
                <w:szCs w:val="22"/>
              </w:rPr>
              <w:t xml:space="preserve">through which </w:t>
            </w:r>
            <w:r w:rsidRPr="00A56EAA">
              <w:rPr>
                <w:sz w:val="22"/>
                <w:szCs w:val="22"/>
              </w:rPr>
              <w:t xml:space="preserve">satellite operators collaborating with terrestrial service providers would be able to obtain </w:t>
            </w:r>
            <w:r>
              <w:rPr>
                <w:sz w:val="22"/>
                <w:szCs w:val="22"/>
              </w:rPr>
              <w:t>FCC</w:t>
            </w:r>
            <w:r w:rsidRPr="00A56EAA">
              <w:rPr>
                <w:sz w:val="22"/>
                <w:szCs w:val="22"/>
              </w:rPr>
              <w:t xml:space="preserve"> authorization to operate space stations on </w:t>
            </w:r>
            <w:r w:rsidR="00B46BA3">
              <w:rPr>
                <w:sz w:val="22"/>
                <w:szCs w:val="22"/>
              </w:rPr>
              <w:t xml:space="preserve">certain </w:t>
            </w:r>
            <w:r w:rsidRPr="00A56EAA">
              <w:rPr>
                <w:sz w:val="22"/>
                <w:szCs w:val="22"/>
              </w:rPr>
              <w:t xml:space="preserve">currently licensed, flexible-use spectrum allocated to terrestrial services.  </w:t>
            </w:r>
            <w:r>
              <w:rPr>
                <w:sz w:val="22"/>
                <w:szCs w:val="22"/>
              </w:rPr>
              <w:t xml:space="preserve">The Commission is proposing </w:t>
            </w:r>
            <w:r w:rsidR="00632F51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add </w:t>
            </w:r>
            <w:r w:rsidR="00632F51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mobile-satellite </w:t>
            </w:r>
            <w:r w:rsidR="009E5DD5">
              <w:rPr>
                <w:sz w:val="22"/>
                <w:szCs w:val="22"/>
              </w:rPr>
              <w:t xml:space="preserve">service </w:t>
            </w:r>
            <w:r w:rsidR="00632F51">
              <w:rPr>
                <w:sz w:val="22"/>
                <w:szCs w:val="22"/>
              </w:rPr>
              <w:t>allocation</w:t>
            </w:r>
            <w:r>
              <w:rPr>
                <w:sz w:val="22"/>
                <w:szCs w:val="22"/>
              </w:rPr>
              <w:t xml:space="preserve"> on some terrestrial flexible-use bands.  </w:t>
            </w:r>
          </w:p>
          <w:p w:rsidR="00E366B2" w:rsidP="00E366B2" w14:paraId="76254E04" w14:textId="77777777">
            <w:pPr>
              <w:rPr>
                <w:sz w:val="22"/>
                <w:szCs w:val="22"/>
              </w:rPr>
            </w:pPr>
          </w:p>
          <w:p w:rsidR="00E366B2" w:rsidP="00E366B2" w14:paraId="78915718" w14:textId="522BE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FCC proposes allowing authorized n</w:t>
            </w:r>
            <w:r w:rsidRPr="00E366B2">
              <w:rPr>
                <w:sz w:val="22"/>
                <w:szCs w:val="22"/>
              </w:rPr>
              <w:t>on-geostationary orbit</w:t>
            </w:r>
            <w:r>
              <w:rPr>
                <w:sz w:val="22"/>
                <w:szCs w:val="22"/>
              </w:rPr>
              <w:t xml:space="preserve"> satellite operators to apply to access terrestrial spectrum </w:t>
            </w:r>
            <w:r w:rsidR="009B2D5A">
              <w:rPr>
                <w:sz w:val="22"/>
                <w:szCs w:val="22"/>
              </w:rPr>
              <w:t>if certain prerequisites are met, including</w:t>
            </w:r>
            <w:r>
              <w:rPr>
                <w:sz w:val="22"/>
                <w:szCs w:val="22"/>
              </w:rPr>
              <w:t xml:space="preserve"> a lease from the terrestrial licensee within a specified geographic area. </w:t>
            </w:r>
            <w:r w:rsidR="0013152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satellite operator could </w:t>
            </w:r>
            <w:r w:rsidR="00131523">
              <w:rPr>
                <w:sz w:val="22"/>
                <w:szCs w:val="22"/>
              </w:rPr>
              <w:t>then</w:t>
            </w:r>
            <w:r>
              <w:rPr>
                <w:sz w:val="22"/>
                <w:szCs w:val="22"/>
              </w:rPr>
              <w:t xml:space="preserve"> serve </w:t>
            </w:r>
            <w:r w:rsidR="00131523">
              <w:rPr>
                <w:sz w:val="22"/>
                <w:szCs w:val="22"/>
              </w:rPr>
              <w:t xml:space="preserve">a wireless </w:t>
            </w:r>
            <w:r>
              <w:rPr>
                <w:sz w:val="22"/>
                <w:szCs w:val="22"/>
              </w:rPr>
              <w:t xml:space="preserve">provider’s customers should they need connectivity in </w:t>
            </w:r>
            <w:r w:rsidR="00A06EC5">
              <w:rPr>
                <w:sz w:val="22"/>
                <w:szCs w:val="22"/>
              </w:rPr>
              <w:t xml:space="preserve">remote areas, for example in </w:t>
            </w:r>
            <w:r>
              <w:rPr>
                <w:sz w:val="22"/>
                <w:szCs w:val="22"/>
              </w:rPr>
              <w:t xml:space="preserve">the middle of the </w:t>
            </w:r>
            <w:r w:rsidRPr="00E366B2">
              <w:rPr>
                <w:sz w:val="22"/>
                <w:szCs w:val="22"/>
              </w:rPr>
              <w:t>Chihuahuan Desert</w:t>
            </w:r>
            <w:r>
              <w:rPr>
                <w:sz w:val="22"/>
                <w:szCs w:val="22"/>
              </w:rPr>
              <w:t xml:space="preserve">, </w:t>
            </w:r>
            <w:r w:rsidR="00057200">
              <w:rPr>
                <w:sz w:val="22"/>
                <w:szCs w:val="22"/>
              </w:rPr>
              <w:t xml:space="preserve">Lake Michigan, the </w:t>
            </w:r>
            <w:r w:rsidR="00881894">
              <w:rPr>
                <w:sz w:val="22"/>
                <w:szCs w:val="22"/>
              </w:rPr>
              <w:t>100-Mile Wilderness</w:t>
            </w:r>
            <w:r w:rsidR="00057200">
              <w:rPr>
                <w:sz w:val="22"/>
                <w:szCs w:val="22"/>
              </w:rPr>
              <w:t xml:space="preserve">, or the </w:t>
            </w:r>
            <w:r w:rsidR="00E25C42">
              <w:rPr>
                <w:sz w:val="22"/>
                <w:szCs w:val="22"/>
              </w:rPr>
              <w:t>Uinta Mountains</w:t>
            </w:r>
            <w:r w:rsidR="00881894">
              <w:rPr>
                <w:sz w:val="22"/>
                <w:szCs w:val="22"/>
              </w:rPr>
              <w:t>.</w:t>
            </w:r>
          </w:p>
          <w:p w:rsidR="00E366B2" w:rsidP="00E366B2" w14:paraId="48A984B0" w14:textId="4A65E4CE">
            <w:pPr>
              <w:rPr>
                <w:sz w:val="22"/>
                <w:szCs w:val="22"/>
              </w:rPr>
            </w:pPr>
          </w:p>
          <w:p w:rsidR="00A56EAA" w:rsidP="002E165B" w14:paraId="7D24C917" w14:textId="1EED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will also seek comment on how this framework might best support access to emergency response systems like 911 and Wireless Emergency Alerts when a consumer is connected via supplemental coverage from space.  </w:t>
            </w:r>
            <w:r w:rsidR="00AC63B7">
              <w:rPr>
                <w:sz w:val="22"/>
                <w:szCs w:val="22"/>
              </w:rPr>
              <w:t xml:space="preserve">The new proceeding will also seek to build a record on </w:t>
            </w:r>
            <w:r w:rsidR="00F74C2E">
              <w:rPr>
                <w:sz w:val="22"/>
                <w:szCs w:val="22"/>
              </w:rPr>
              <w:t>whether the framework can be extended to other bands</w:t>
            </w:r>
            <w:r w:rsidR="00DB1191">
              <w:rPr>
                <w:sz w:val="22"/>
                <w:szCs w:val="22"/>
              </w:rPr>
              <w:t>,</w:t>
            </w:r>
            <w:r w:rsidR="00F74C2E">
              <w:rPr>
                <w:sz w:val="22"/>
                <w:szCs w:val="22"/>
              </w:rPr>
              <w:t xml:space="preserve"> locations</w:t>
            </w:r>
            <w:r w:rsidR="0056188D">
              <w:rPr>
                <w:sz w:val="22"/>
                <w:szCs w:val="22"/>
              </w:rPr>
              <w:t>,</w:t>
            </w:r>
            <w:r w:rsidR="00D000F3">
              <w:rPr>
                <w:sz w:val="22"/>
                <w:szCs w:val="22"/>
              </w:rPr>
              <w:t xml:space="preserve"> </w:t>
            </w:r>
            <w:r w:rsidR="00AC63B7">
              <w:rPr>
                <w:sz w:val="22"/>
                <w:szCs w:val="22"/>
              </w:rPr>
              <w:t xml:space="preserve">and </w:t>
            </w:r>
            <w:r w:rsidR="008911C3">
              <w:rPr>
                <w:sz w:val="22"/>
                <w:szCs w:val="22"/>
              </w:rPr>
              <w:t>applications</w:t>
            </w:r>
            <w:r w:rsidR="00DE5F03">
              <w:rPr>
                <w:sz w:val="22"/>
                <w:szCs w:val="22"/>
              </w:rPr>
              <w:t xml:space="preserve"> </w:t>
            </w:r>
            <w:r w:rsidR="00AC63B7">
              <w:rPr>
                <w:sz w:val="22"/>
                <w:szCs w:val="22"/>
              </w:rPr>
              <w:t xml:space="preserve">that might be supported by such </w:t>
            </w:r>
            <w:r w:rsidR="00DE5F03">
              <w:rPr>
                <w:sz w:val="22"/>
                <w:szCs w:val="22"/>
              </w:rPr>
              <w:t>collaborations</w:t>
            </w:r>
            <w:r w:rsidR="00AC63B7">
              <w:rPr>
                <w:sz w:val="22"/>
                <w:szCs w:val="22"/>
              </w:rPr>
              <w:t xml:space="preserve">. </w:t>
            </w:r>
          </w:p>
          <w:p w:rsidR="00A30E24" w:rsidP="002E165B" w14:paraId="403BF5E2" w14:textId="52C3BD02">
            <w:pPr>
              <w:rPr>
                <w:sz w:val="22"/>
                <w:szCs w:val="22"/>
              </w:rPr>
            </w:pPr>
          </w:p>
          <w:p w:rsidR="00641931" w:rsidRPr="00641931" w:rsidP="00641931" w14:paraId="6AFD1E1C" w14:textId="54229E07">
            <w:pPr>
              <w:rPr>
                <w:sz w:val="22"/>
                <w:szCs w:val="22"/>
              </w:rPr>
            </w:pPr>
            <w:r w:rsidRPr="00641931">
              <w:rPr>
                <w:sz w:val="22"/>
                <w:szCs w:val="22"/>
              </w:rPr>
              <w:t>Action by the Commission March 16, 2023 by Notice of Proposed Rulemaking (FCC 23-22).  Chairwoman Rosenworcel, Commissioners Carr, Starks, and Simington approving</w:t>
            </w:r>
            <w:r>
              <w:rPr>
                <w:sz w:val="22"/>
                <w:szCs w:val="22"/>
              </w:rPr>
              <w:t xml:space="preserve"> and</w:t>
            </w:r>
            <w:r w:rsidRPr="00641931">
              <w:rPr>
                <w:sz w:val="22"/>
                <w:szCs w:val="22"/>
              </w:rPr>
              <w:t xml:space="preserve"> issuing separate statements.</w:t>
            </w:r>
          </w:p>
          <w:p w:rsidR="00641931" w:rsidRPr="00641931" w:rsidP="00641931" w14:paraId="0B791B86" w14:textId="77777777">
            <w:pPr>
              <w:rPr>
                <w:sz w:val="22"/>
                <w:szCs w:val="22"/>
              </w:rPr>
            </w:pPr>
          </w:p>
          <w:p w:rsidR="00641931" w:rsidP="00641931" w14:paraId="3A36CBBF" w14:textId="52223303">
            <w:pPr>
              <w:rPr>
                <w:sz w:val="22"/>
                <w:szCs w:val="22"/>
              </w:rPr>
            </w:pPr>
            <w:r w:rsidRPr="00641931">
              <w:rPr>
                <w:sz w:val="22"/>
                <w:szCs w:val="22"/>
              </w:rPr>
              <w:t>GN Docket No. 23-65; IB Docket 22-271</w:t>
            </w:r>
          </w:p>
          <w:p w:rsidR="00641931" w:rsidRPr="002E165B" w:rsidP="00641931" w14:paraId="050BEC3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6AE7FE9B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2500C"/>
    <w:rsid w:val="000311FC"/>
    <w:rsid w:val="00033BB3"/>
    <w:rsid w:val="00040127"/>
    <w:rsid w:val="00057200"/>
    <w:rsid w:val="00065E2D"/>
    <w:rsid w:val="00071DDC"/>
    <w:rsid w:val="00081232"/>
    <w:rsid w:val="00091E65"/>
    <w:rsid w:val="00093CC4"/>
    <w:rsid w:val="00096D4A"/>
    <w:rsid w:val="000A38EA"/>
    <w:rsid w:val="000C1E47"/>
    <w:rsid w:val="000C26F3"/>
    <w:rsid w:val="000C661C"/>
    <w:rsid w:val="000D461A"/>
    <w:rsid w:val="000E049E"/>
    <w:rsid w:val="000E4F46"/>
    <w:rsid w:val="00101370"/>
    <w:rsid w:val="0010799B"/>
    <w:rsid w:val="00117DB2"/>
    <w:rsid w:val="00123ED2"/>
    <w:rsid w:val="00125BE0"/>
    <w:rsid w:val="00131523"/>
    <w:rsid w:val="00142C13"/>
    <w:rsid w:val="00152776"/>
    <w:rsid w:val="00153222"/>
    <w:rsid w:val="001577D3"/>
    <w:rsid w:val="001733A6"/>
    <w:rsid w:val="001865A9"/>
    <w:rsid w:val="00187DB2"/>
    <w:rsid w:val="00191A63"/>
    <w:rsid w:val="00194295"/>
    <w:rsid w:val="001B20BB"/>
    <w:rsid w:val="001C4370"/>
    <w:rsid w:val="001C76A1"/>
    <w:rsid w:val="001C7760"/>
    <w:rsid w:val="001D3779"/>
    <w:rsid w:val="001D792E"/>
    <w:rsid w:val="001E3F3A"/>
    <w:rsid w:val="001F0469"/>
    <w:rsid w:val="001F363F"/>
    <w:rsid w:val="00203A98"/>
    <w:rsid w:val="002054A2"/>
    <w:rsid w:val="00206EDD"/>
    <w:rsid w:val="0021247E"/>
    <w:rsid w:val="002146F6"/>
    <w:rsid w:val="00231C32"/>
    <w:rsid w:val="00240345"/>
    <w:rsid w:val="002421F0"/>
    <w:rsid w:val="00247274"/>
    <w:rsid w:val="00253B0B"/>
    <w:rsid w:val="00256239"/>
    <w:rsid w:val="00266966"/>
    <w:rsid w:val="00285C36"/>
    <w:rsid w:val="00286596"/>
    <w:rsid w:val="00293A55"/>
    <w:rsid w:val="00294C0C"/>
    <w:rsid w:val="002A07FC"/>
    <w:rsid w:val="002A0934"/>
    <w:rsid w:val="002A59CC"/>
    <w:rsid w:val="002B1013"/>
    <w:rsid w:val="002D03E5"/>
    <w:rsid w:val="002E165B"/>
    <w:rsid w:val="002E3F1D"/>
    <w:rsid w:val="002F2F5B"/>
    <w:rsid w:val="002F31D0"/>
    <w:rsid w:val="00300359"/>
    <w:rsid w:val="003141E8"/>
    <w:rsid w:val="0031773E"/>
    <w:rsid w:val="00333871"/>
    <w:rsid w:val="00347716"/>
    <w:rsid w:val="003506E1"/>
    <w:rsid w:val="0035494D"/>
    <w:rsid w:val="003570E2"/>
    <w:rsid w:val="003727E3"/>
    <w:rsid w:val="00385A93"/>
    <w:rsid w:val="003910F1"/>
    <w:rsid w:val="00393932"/>
    <w:rsid w:val="003B067E"/>
    <w:rsid w:val="003C27D4"/>
    <w:rsid w:val="003C613A"/>
    <w:rsid w:val="003D7499"/>
    <w:rsid w:val="003E2FD9"/>
    <w:rsid w:val="003E42FC"/>
    <w:rsid w:val="003E4E1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2E95"/>
    <w:rsid w:val="00473E9C"/>
    <w:rsid w:val="00480099"/>
    <w:rsid w:val="004941A2"/>
    <w:rsid w:val="00497858"/>
    <w:rsid w:val="004A1F77"/>
    <w:rsid w:val="004A729A"/>
    <w:rsid w:val="004B4FEA"/>
    <w:rsid w:val="004C0ADA"/>
    <w:rsid w:val="004C433E"/>
    <w:rsid w:val="004C4512"/>
    <w:rsid w:val="004C4F36"/>
    <w:rsid w:val="004D3D85"/>
    <w:rsid w:val="004E2BD8"/>
    <w:rsid w:val="004E6798"/>
    <w:rsid w:val="004F0F1F"/>
    <w:rsid w:val="005022AA"/>
    <w:rsid w:val="00504845"/>
    <w:rsid w:val="0050757F"/>
    <w:rsid w:val="00516AD2"/>
    <w:rsid w:val="00527B02"/>
    <w:rsid w:val="00545DAE"/>
    <w:rsid w:val="0056188D"/>
    <w:rsid w:val="005635D3"/>
    <w:rsid w:val="00571B83"/>
    <w:rsid w:val="00574551"/>
    <w:rsid w:val="00575A00"/>
    <w:rsid w:val="00586417"/>
    <w:rsid w:val="0058673C"/>
    <w:rsid w:val="005A7972"/>
    <w:rsid w:val="005B17E7"/>
    <w:rsid w:val="005B2643"/>
    <w:rsid w:val="005C435F"/>
    <w:rsid w:val="005D17FD"/>
    <w:rsid w:val="005F0D55"/>
    <w:rsid w:val="005F183E"/>
    <w:rsid w:val="005F47B9"/>
    <w:rsid w:val="00600DDA"/>
    <w:rsid w:val="00602C8E"/>
    <w:rsid w:val="00603A30"/>
    <w:rsid w:val="00604211"/>
    <w:rsid w:val="00613498"/>
    <w:rsid w:val="00617B94"/>
    <w:rsid w:val="00620BED"/>
    <w:rsid w:val="00624FCC"/>
    <w:rsid w:val="00632F51"/>
    <w:rsid w:val="006415B4"/>
    <w:rsid w:val="00641931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7A9F"/>
    <w:rsid w:val="00700556"/>
    <w:rsid w:val="0070589A"/>
    <w:rsid w:val="007167DD"/>
    <w:rsid w:val="0072478B"/>
    <w:rsid w:val="007248E5"/>
    <w:rsid w:val="0073414D"/>
    <w:rsid w:val="0074055E"/>
    <w:rsid w:val="00740F58"/>
    <w:rsid w:val="00743E83"/>
    <w:rsid w:val="00746EF1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C2135"/>
    <w:rsid w:val="007C7E07"/>
    <w:rsid w:val="007D21BF"/>
    <w:rsid w:val="007F3C12"/>
    <w:rsid w:val="007F5205"/>
    <w:rsid w:val="0080486B"/>
    <w:rsid w:val="008209B2"/>
    <w:rsid w:val="008215E7"/>
    <w:rsid w:val="00830FC6"/>
    <w:rsid w:val="00850E26"/>
    <w:rsid w:val="00853FDD"/>
    <w:rsid w:val="00865EAA"/>
    <w:rsid w:val="00866F06"/>
    <w:rsid w:val="00867438"/>
    <w:rsid w:val="00867946"/>
    <w:rsid w:val="008728F5"/>
    <w:rsid w:val="00881894"/>
    <w:rsid w:val="008824C2"/>
    <w:rsid w:val="008911C3"/>
    <w:rsid w:val="008960E4"/>
    <w:rsid w:val="008A1FB1"/>
    <w:rsid w:val="008A3940"/>
    <w:rsid w:val="008B13C9"/>
    <w:rsid w:val="008C248C"/>
    <w:rsid w:val="008C5432"/>
    <w:rsid w:val="008C60F6"/>
    <w:rsid w:val="008C7BF1"/>
    <w:rsid w:val="008D00D6"/>
    <w:rsid w:val="008D4D00"/>
    <w:rsid w:val="008D4E5E"/>
    <w:rsid w:val="008D7ABD"/>
    <w:rsid w:val="008E55A2"/>
    <w:rsid w:val="008F1609"/>
    <w:rsid w:val="008F78D8"/>
    <w:rsid w:val="009107F8"/>
    <w:rsid w:val="00913FED"/>
    <w:rsid w:val="00921E7A"/>
    <w:rsid w:val="0093373C"/>
    <w:rsid w:val="00935911"/>
    <w:rsid w:val="00945125"/>
    <w:rsid w:val="00961620"/>
    <w:rsid w:val="00970AD6"/>
    <w:rsid w:val="009734B6"/>
    <w:rsid w:val="0098096F"/>
    <w:rsid w:val="0098437A"/>
    <w:rsid w:val="00986C92"/>
    <w:rsid w:val="00993C47"/>
    <w:rsid w:val="009972BC"/>
    <w:rsid w:val="009B2D5A"/>
    <w:rsid w:val="009B4B16"/>
    <w:rsid w:val="009C4DAD"/>
    <w:rsid w:val="009E54A1"/>
    <w:rsid w:val="009E5DD5"/>
    <w:rsid w:val="009F0ABF"/>
    <w:rsid w:val="009F4E25"/>
    <w:rsid w:val="009F5B1F"/>
    <w:rsid w:val="00A06EC5"/>
    <w:rsid w:val="00A225A9"/>
    <w:rsid w:val="00A27DD6"/>
    <w:rsid w:val="00A30E24"/>
    <w:rsid w:val="00A3308E"/>
    <w:rsid w:val="00A35DFD"/>
    <w:rsid w:val="00A43E16"/>
    <w:rsid w:val="00A56EAA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C63B7"/>
    <w:rsid w:val="00AD0D19"/>
    <w:rsid w:val="00AD1904"/>
    <w:rsid w:val="00AD4184"/>
    <w:rsid w:val="00AF051B"/>
    <w:rsid w:val="00B037A2"/>
    <w:rsid w:val="00B31870"/>
    <w:rsid w:val="00B31AE9"/>
    <w:rsid w:val="00B320B8"/>
    <w:rsid w:val="00B35EE2"/>
    <w:rsid w:val="00B36DEF"/>
    <w:rsid w:val="00B46BA3"/>
    <w:rsid w:val="00B57131"/>
    <w:rsid w:val="00B62F2C"/>
    <w:rsid w:val="00B727C9"/>
    <w:rsid w:val="00B735C8"/>
    <w:rsid w:val="00B76A63"/>
    <w:rsid w:val="00B930F4"/>
    <w:rsid w:val="00B93793"/>
    <w:rsid w:val="00BA6350"/>
    <w:rsid w:val="00BB4E29"/>
    <w:rsid w:val="00BB74C9"/>
    <w:rsid w:val="00BB7B37"/>
    <w:rsid w:val="00BC3AB6"/>
    <w:rsid w:val="00BD19E8"/>
    <w:rsid w:val="00BD3A13"/>
    <w:rsid w:val="00BD4273"/>
    <w:rsid w:val="00BF3A24"/>
    <w:rsid w:val="00C27920"/>
    <w:rsid w:val="00C31ED8"/>
    <w:rsid w:val="00C35300"/>
    <w:rsid w:val="00C432E4"/>
    <w:rsid w:val="00C70C26"/>
    <w:rsid w:val="00C72001"/>
    <w:rsid w:val="00C772B7"/>
    <w:rsid w:val="00C80347"/>
    <w:rsid w:val="00CB1F0D"/>
    <w:rsid w:val="00CB24D2"/>
    <w:rsid w:val="00CB2AA5"/>
    <w:rsid w:val="00CB7C1A"/>
    <w:rsid w:val="00CC5E08"/>
    <w:rsid w:val="00CE14FD"/>
    <w:rsid w:val="00CF6860"/>
    <w:rsid w:val="00D000F3"/>
    <w:rsid w:val="00D02AC6"/>
    <w:rsid w:val="00D03F0C"/>
    <w:rsid w:val="00D04312"/>
    <w:rsid w:val="00D13A65"/>
    <w:rsid w:val="00D16A7F"/>
    <w:rsid w:val="00D16AD2"/>
    <w:rsid w:val="00D22596"/>
    <w:rsid w:val="00D22691"/>
    <w:rsid w:val="00D24C3D"/>
    <w:rsid w:val="00D31026"/>
    <w:rsid w:val="00D314DA"/>
    <w:rsid w:val="00D32475"/>
    <w:rsid w:val="00D46CB1"/>
    <w:rsid w:val="00D62E01"/>
    <w:rsid w:val="00D67C34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1191"/>
    <w:rsid w:val="00DB2667"/>
    <w:rsid w:val="00DB67B7"/>
    <w:rsid w:val="00DC15A9"/>
    <w:rsid w:val="00DC40AA"/>
    <w:rsid w:val="00DD1750"/>
    <w:rsid w:val="00DE4F48"/>
    <w:rsid w:val="00DE5F03"/>
    <w:rsid w:val="00E230EC"/>
    <w:rsid w:val="00E25C42"/>
    <w:rsid w:val="00E349AA"/>
    <w:rsid w:val="00E366B2"/>
    <w:rsid w:val="00E41390"/>
    <w:rsid w:val="00E41CA0"/>
    <w:rsid w:val="00E4366B"/>
    <w:rsid w:val="00E50A4A"/>
    <w:rsid w:val="00E528B9"/>
    <w:rsid w:val="00E606DE"/>
    <w:rsid w:val="00E644FE"/>
    <w:rsid w:val="00E72733"/>
    <w:rsid w:val="00E742FA"/>
    <w:rsid w:val="00E760C0"/>
    <w:rsid w:val="00E76816"/>
    <w:rsid w:val="00E83DBF"/>
    <w:rsid w:val="00E87C13"/>
    <w:rsid w:val="00E94CD9"/>
    <w:rsid w:val="00EA1A76"/>
    <w:rsid w:val="00EA290B"/>
    <w:rsid w:val="00EA78AD"/>
    <w:rsid w:val="00EB2820"/>
    <w:rsid w:val="00EC19D2"/>
    <w:rsid w:val="00EE0E90"/>
    <w:rsid w:val="00EF3BCA"/>
    <w:rsid w:val="00EF729B"/>
    <w:rsid w:val="00F01B0D"/>
    <w:rsid w:val="00F06A8B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64CB"/>
    <w:rsid w:val="00F708E3"/>
    <w:rsid w:val="00F71536"/>
    <w:rsid w:val="00F74C2E"/>
    <w:rsid w:val="00F76561"/>
    <w:rsid w:val="00F843FA"/>
    <w:rsid w:val="00F84736"/>
    <w:rsid w:val="00F932CF"/>
    <w:rsid w:val="00FA2B62"/>
    <w:rsid w:val="00FC6C29"/>
    <w:rsid w:val="00FD58E0"/>
    <w:rsid w:val="00FD71AE"/>
    <w:rsid w:val="00FE0198"/>
    <w:rsid w:val="00FE3A7C"/>
    <w:rsid w:val="00FF1C0B"/>
    <w:rsid w:val="00FF232D"/>
    <w:rsid w:val="00FF5530"/>
    <w:rsid w:val="00FF7F9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3BFD62B1-1D81-4F39-9D2B-6596B74A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530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353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35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53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5300"/>
    <w:rPr>
      <w:b/>
      <w:bCs/>
    </w:rPr>
  </w:style>
  <w:style w:type="character" w:styleId="Mention">
    <w:name w:val="Mention"/>
    <w:basedOn w:val="DefaultParagraphFont"/>
    <w:uiPriority w:val="99"/>
    <w:unhideWhenUsed/>
    <w:rsid w:val="00C3530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