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628A8" w:rsidRPr="00C40981" w:rsidP="00B628A8" w14:paraId="499E8A47" w14:textId="77777777">
      <w:pPr>
        <w:spacing w:before="0" w:beforeAutospacing="0" w:after="0" w:afterAutospacing="0"/>
        <w:ind w:firstLine="720"/>
        <w:jc w:val="center"/>
        <w:rPr>
          <w:rFonts w:ascii="Times New Roman" w:hAnsi="Times New Roman" w:cs="Times New Roman"/>
          <w:b/>
          <w:bCs/>
          <w:sz w:val="22"/>
          <w:szCs w:val="22"/>
        </w:rPr>
      </w:pPr>
      <w:bookmarkStart w:id="0" w:name="_Hlk129868569"/>
      <w:r w:rsidRPr="00C40981">
        <w:rPr>
          <w:rFonts w:ascii="Times New Roman" w:hAnsi="Times New Roman" w:cs="Times New Roman"/>
          <w:b/>
          <w:bCs/>
          <w:sz w:val="22"/>
          <w:szCs w:val="22"/>
        </w:rPr>
        <w:t>STATEMENT OF</w:t>
      </w:r>
    </w:p>
    <w:p w:rsidR="00B628A8" w:rsidRPr="00C40981" w:rsidP="00B628A8" w14:paraId="622BA94C" w14:textId="77777777">
      <w:pPr>
        <w:spacing w:before="0" w:beforeAutospacing="0" w:after="0" w:afterAutospacing="0"/>
        <w:ind w:firstLine="720"/>
        <w:jc w:val="center"/>
        <w:rPr>
          <w:rFonts w:ascii="Times New Roman" w:hAnsi="Times New Roman" w:cs="Times New Roman"/>
          <w:b/>
          <w:bCs/>
          <w:sz w:val="22"/>
          <w:szCs w:val="22"/>
        </w:rPr>
      </w:pPr>
      <w:r w:rsidRPr="00C40981">
        <w:rPr>
          <w:rFonts w:ascii="Times New Roman" w:hAnsi="Times New Roman" w:cs="Times New Roman"/>
          <w:b/>
          <w:bCs/>
          <w:sz w:val="22"/>
          <w:szCs w:val="22"/>
        </w:rPr>
        <w:t>COMMISSIONER BRENDAN CARR</w:t>
      </w:r>
    </w:p>
    <w:p w:rsidR="00B628A8" w:rsidRPr="00C40981" w:rsidP="00B628A8" w14:paraId="400AAAD7" w14:textId="32A4016E">
      <w:pPr>
        <w:pStyle w:val="NormalWeb"/>
        <w:ind w:left="720" w:hanging="720"/>
        <w:rPr>
          <w:sz w:val="22"/>
          <w:szCs w:val="22"/>
        </w:rPr>
      </w:pPr>
      <w:r w:rsidRPr="00C40981">
        <w:rPr>
          <w:sz w:val="22"/>
          <w:szCs w:val="22"/>
        </w:rPr>
        <w:t xml:space="preserve">Re: </w:t>
      </w:r>
      <w:r w:rsidRPr="00C40981">
        <w:rPr>
          <w:sz w:val="22"/>
          <w:szCs w:val="22"/>
        </w:rPr>
        <w:tab/>
      </w:r>
      <w:r w:rsidRPr="00C40981" w:rsidR="00591556">
        <w:rPr>
          <w:i/>
          <w:iCs/>
          <w:snapToGrid w:val="0"/>
          <w:kern w:val="28"/>
          <w:sz w:val="22"/>
          <w:szCs w:val="22"/>
        </w:rPr>
        <w:t xml:space="preserve">In the Matter of </w:t>
      </w:r>
      <w:r w:rsidRPr="00C40981">
        <w:rPr>
          <w:i/>
          <w:iCs/>
          <w:sz w:val="22"/>
          <w:szCs w:val="22"/>
        </w:rPr>
        <w:t>Single Network Future: Supplemental Coverage from Space</w:t>
      </w:r>
      <w:r w:rsidRPr="00C40981">
        <w:rPr>
          <w:sz w:val="22"/>
          <w:szCs w:val="22"/>
        </w:rPr>
        <w:t xml:space="preserve">, </w:t>
      </w:r>
      <w:r w:rsidRPr="00C40981">
        <w:rPr>
          <w:i/>
          <w:iCs/>
          <w:sz w:val="22"/>
          <w:szCs w:val="22"/>
        </w:rPr>
        <w:t>Space Innovation</w:t>
      </w:r>
      <w:r w:rsidRPr="00C40981">
        <w:rPr>
          <w:sz w:val="22"/>
          <w:szCs w:val="22"/>
        </w:rPr>
        <w:t>, GN Docket No. 23-65</w:t>
      </w:r>
      <w:r w:rsidRPr="00C40981" w:rsidR="001C4CB6">
        <w:rPr>
          <w:sz w:val="22"/>
          <w:szCs w:val="22"/>
        </w:rPr>
        <w:t>,</w:t>
      </w:r>
      <w:r w:rsidRPr="00C40981">
        <w:rPr>
          <w:sz w:val="22"/>
          <w:szCs w:val="22"/>
        </w:rPr>
        <w:t xml:space="preserve"> IB Docket No. 22-271</w:t>
      </w:r>
      <w:r w:rsidRPr="00C40981" w:rsidR="001C4CB6">
        <w:rPr>
          <w:sz w:val="22"/>
          <w:szCs w:val="22"/>
        </w:rPr>
        <w:t>, Notice of Proposed Rulemaking</w:t>
      </w:r>
      <w:r w:rsidRPr="00C40981" w:rsidR="00591556">
        <w:rPr>
          <w:sz w:val="22"/>
          <w:szCs w:val="22"/>
        </w:rPr>
        <w:t xml:space="preserve"> </w:t>
      </w:r>
      <w:r w:rsidRPr="00C40981" w:rsidR="00591556">
        <w:rPr>
          <w:snapToGrid w:val="0"/>
          <w:kern w:val="28"/>
          <w:sz w:val="22"/>
          <w:szCs w:val="22"/>
        </w:rPr>
        <w:t>(March 16, 2023)</w:t>
      </w:r>
    </w:p>
    <w:p w:rsidR="00514636" w:rsidRPr="00C40981" w:rsidP="00B628A8" w14:paraId="70A7818E" w14:textId="77777777">
      <w:pPr>
        <w:ind w:firstLine="720"/>
        <w:rPr>
          <w:rFonts w:ascii="Times New Roman" w:hAnsi="Times New Roman" w:cs="Times New Roman"/>
          <w:sz w:val="22"/>
          <w:szCs w:val="22"/>
        </w:rPr>
      </w:pPr>
      <w:r w:rsidRPr="00C40981">
        <w:rPr>
          <w:rFonts w:ascii="Times New Roman" w:hAnsi="Times New Roman" w:cs="Times New Roman"/>
          <w:sz w:val="22"/>
          <w:szCs w:val="22"/>
        </w:rPr>
        <w:t>Just a few weeks back, I was in Barcelona for this year’s Mobile World Congress</w:t>
      </w:r>
      <w:r w:rsidRPr="00C40981">
        <w:rPr>
          <w:rFonts w:ascii="Times New Roman" w:hAnsi="Times New Roman" w:cs="Times New Roman"/>
          <w:sz w:val="22"/>
          <w:szCs w:val="22"/>
        </w:rPr>
        <w:t xml:space="preserve"> where regulators and industry stakeholders from across the globe gather to discuss the latest hot topics in wireless</w:t>
      </w:r>
      <w:r w:rsidRPr="00C40981">
        <w:rPr>
          <w:rFonts w:ascii="Times New Roman" w:hAnsi="Times New Roman" w:cs="Times New Roman"/>
          <w:sz w:val="22"/>
          <w:szCs w:val="22"/>
        </w:rPr>
        <w:t xml:space="preserve">.  </w:t>
      </w:r>
    </w:p>
    <w:p w:rsidR="00514636" w:rsidRPr="00C40981" w:rsidP="00B628A8" w14:paraId="672CCAAF" w14:textId="77777777">
      <w:pPr>
        <w:ind w:firstLine="720"/>
        <w:rPr>
          <w:rFonts w:ascii="Times New Roman" w:hAnsi="Times New Roman" w:cs="Times New Roman"/>
          <w:sz w:val="22"/>
          <w:szCs w:val="22"/>
        </w:rPr>
      </w:pPr>
      <w:r w:rsidRPr="00C40981">
        <w:rPr>
          <w:rFonts w:ascii="Times New Roman" w:hAnsi="Times New Roman" w:cs="Times New Roman"/>
          <w:sz w:val="22"/>
          <w:szCs w:val="22"/>
        </w:rPr>
        <w:t xml:space="preserve">From the panels to the pull-asides, one </w:t>
      </w:r>
      <w:r w:rsidRPr="00C40981">
        <w:rPr>
          <w:rFonts w:ascii="Times New Roman" w:hAnsi="Times New Roman" w:cs="Times New Roman"/>
          <w:sz w:val="22"/>
          <w:szCs w:val="22"/>
        </w:rPr>
        <w:t xml:space="preserve">issue in particular </w:t>
      </w:r>
      <w:r w:rsidRPr="00C40981">
        <w:rPr>
          <w:rFonts w:ascii="Times New Roman" w:hAnsi="Times New Roman" w:cs="Times New Roman"/>
          <w:sz w:val="22"/>
          <w:szCs w:val="22"/>
        </w:rPr>
        <w:t xml:space="preserve">kept coming up:  the emerging convergence of space and terrestrial mobile services.  </w:t>
      </w:r>
    </w:p>
    <w:p w:rsidR="00514636" w:rsidRPr="00C40981" w:rsidP="00B628A8" w14:paraId="2A8D9807" w14:textId="77777777">
      <w:pPr>
        <w:ind w:firstLine="720"/>
        <w:rPr>
          <w:rFonts w:ascii="Times New Roman" w:hAnsi="Times New Roman" w:cs="Times New Roman"/>
          <w:sz w:val="22"/>
          <w:szCs w:val="22"/>
        </w:rPr>
      </w:pPr>
      <w:r w:rsidRPr="00C40981">
        <w:rPr>
          <w:rFonts w:ascii="Times New Roman" w:hAnsi="Times New Roman" w:cs="Times New Roman"/>
          <w:sz w:val="22"/>
          <w:szCs w:val="22"/>
        </w:rPr>
        <w:t xml:space="preserve">And it’s easy to understand why.  These innovative new services embody the changing competitive landscape that consumers enjoy today.  We no longer live in a world where wireline simply competes with wireline or where mobile just competes with mobile.  </w:t>
      </w:r>
    </w:p>
    <w:p w:rsidR="00B628A8" w:rsidRPr="00C40981" w:rsidP="00B628A8" w14:paraId="7448D8F6" w14:textId="70AFFD19">
      <w:pPr>
        <w:ind w:firstLine="720"/>
        <w:rPr>
          <w:rFonts w:ascii="Times New Roman" w:hAnsi="Times New Roman" w:cs="Times New Roman"/>
          <w:sz w:val="22"/>
          <w:szCs w:val="22"/>
        </w:rPr>
      </w:pPr>
      <w:r w:rsidRPr="00C40981">
        <w:rPr>
          <w:rFonts w:ascii="Times New Roman" w:hAnsi="Times New Roman" w:cs="Times New Roman"/>
          <w:sz w:val="22"/>
          <w:szCs w:val="22"/>
        </w:rPr>
        <w:t xml:space="preserve">Increasingly we’re seeing cable providers </w:t>
      </w:r>
      <w:r w:rsidRPr="00C40981" w:rsidR="00514636">
        <w:rPr>
          <w:rFonts w:ascii="Times New Roman" w:hAnsi="Times New Roman" w:cs="Times New Roman"/>
          <w:sz w:val="22"/>
          <w:szCs w:val="22"/>
        </w:rPr>
        <w:t>serve</w:t>
      </w:r>
      <w:r w:rsidRPr="00C40981">
        <w:rPr>
          <w:rFonts w:ascii="Times New Roman" w:hAnsi="Times New Roman" w:cs="Times New Roman"/>
          <w:sz w:val="22"/>
          <w:szCs w:val="22"/>
        </w:rPr>
        <w:t xml:space="preserve"> mobile wireless c</w:t>
      </w:r>
      <w:r w:rsidRPr="00C40981" w:rsidR="00514636">
        <w:rPr>
          <w:rFonts w:ascii="Times New Roman" w:hAnsi="Times New Roman" w:cs="Times New Roman"/>
          <w:sz w:val="22"/>
          <w:szCs w:val="22"/>
        </w:rPr>
        <w:t>ustomers</w:t>
      </w:r>
      <w:r w:rsidRPr="00C40981">
        <w:rPr>
          <w:rFonts w:ascii="Times New Roman" w:hAnsi="Times New Roman" w:cs="Times New Roman"/>
          <w:sz w:val="22"/>
          <w:szCs w:val="22"/>
        </w:rPr>
        <w:t xml:space="preserve">, while traditional mobile wireless carriers add customers to </w:t>
      </w:r>
      <w:r w:rsidRPr="00C40981" w:rsidR="00514636">
        <w:rPr>
          <w:rFonts w:ascii="Times New Roman" w:hAnsi="Times New Roman" w:cs="Times New Roman"/>
          <w:sz w:val="22"/>
          <w:szCs w:val="22"/>
        </w:rPr>
        <w:t xml:space="preserve">their </w:t>
      </w:r>
      <w:r w:rsidRPr="00C40981">
        <w:rPr>
          <w:rFonts w:ascii="Times New Roman" w:hAnsi="Times New Roman" w:cs="Times New Roman"/>
          <w:sz w:val="22"/>
          <w:szCs w:val="22"/>
        </w:rPr>
        <w:t xml:space="preserve">in-home broadband services.  The silos are fading away, and consumers are reaping the rewards.  </w:t>
      </w:r>
    </w:p>
    <w:p w:rsidR="00514636" w:rsidRPr="00C40981" w:rsidP="00B628A8" w14:paraId="561890A8" w14:textId="77777777">
      <w:pPr>
        <w:ind w:firstLine="720"/>
        <w:rPr>
          <w:rFonts w:ascii="Times New Roman" w:hAnsi="Times New Roman" w:cs="Times New Roman"/>
          <w:sz w:val="22"/>
          <w:szCs w:val="22"/>
        </w:rPr>
      </w:pPr>
      <w:r w:rsidRPr="00C40981">
        <w:rPr>
          <w:rFonts w:ascii="Times New Roman" w:hAnsi="Times New Roman" w:cs="Times New Roman"/>
          <w:sz w:val="22"/>
          <w:szCs w:val="22"/>
        </w:rPr>
        <w:t xml:space="preserve">The item we adopt today recognizes that consumers don’t care whether the signal was beamed to their device from a tower on top of an office building or from a satellite orbiting the Earth.  </w:t>
      </w:r>
    </w:p>
    <w:p w:rsidR="00B628A8" w:rsidRPr="00C40981" w:rsidP="00B628A8" w14:paraId="29B853EC" w14:textId="0E3E5160">
      <w:pPr>
        <w:ind w:firstLine="720"/>
        <w:rPr>
          <w:rFonts w:ascii="Times New Roman" w:hAnsi="Times New Roman" w:cs="Times New Roman"/>
          <w:sz w:val="22"/>
          <w:szCs w:val="22"/>
        </w:rPr>
      </w:pPr>
      <w:r w:rsidRPr="00C40981">
        <w:rPr>
          <w:rFonts w:ascii="Times New Roman" w:hAnsi="Times New Roman" w:cs="Times New Roman"/>
          <w:sz w:val="22"/>
          <w:szCs w:val="22"/>
        </w:rPr>
        <w:t>They only care that they have access to a</w:t>
      </w:r>
      <w:r w:rsidRPr="00C40981" w:rsidR="00514636">
        <w:rPr>
          <w:rFonts w:ascii="Times New Roman" w:hAnsi="Times New Roman" w:cs="Times New Roman"/>
          <w:sz w:val="22"/>
          <w:szCs w:val="22"/>
        </w:rPr>
        <w:t>n affordable,</w:t>
      </w:r>
      <w:r w:rsidRPr="00C40981">
        <w:rPr>
          <w:rFonts w:ascii="Times New Roman" w:hAnsi="Times New Roman" w:cs="Times New Roman"/>
          <w:sz w:val="22"/>
          <w:szCs w:val="22"/>
        </w:rPr>
        <w:t xml:space="preserve"> high-quality connection.  S</w:t>
      </w:r>
      <w:r w:rsidRPr="00C40981" w:rsidR="00514636">
        <w:rPr>
          <w:rFonts w:ascii="Times New Roman" w:hAnsi="Times New Roman" w:cs="Times New Roman"/>
          <w:sz w:val="22"/>
          <w:szCs w:val="22"/>
        </w:rPr>
        <w:t xml:space="preserve">pace mobile </w:t>
      </w:r>
      <w:r w:rsidRPr="00C40981">
        <w:rPr>
          <w:rFonts w:ascii="Times New Roman" w:hAnsi="Times New Roman" w:cs="Times New Roman"/>
          <w:sz w:val="22"/>
          <w:szCs w:val="22"/>
        </w:rPr>
        <w:t>services, like those envisioned by this item, will help extend coverage even further across the country to keep consumers connected across rural and remote areas.</w:t>
      </w:r>
    </w:p>
    <w:p w:rsidR="00514636" w:rsidRPr="00C40981" w:rsidP="00B628A8" w14:paraId="18C1E770" w14:textId="5194C22E">
      <w:pPr>
        <w:ind w:firstLine="720"/>
        <w:rPr>
          <w:rFonts w:ascii="Times New Roman" w:hAnsi="Times New Roman" w:cs="Times New Roman"/>
          <w:sz w:val="22"/>
          <w:szCs w:val="22"/>
        </w:rPr>
      </w:pPr>
      <w:r w:rsidRPr="00C40981">
        <w:rPr>
          <w:rFonts w:ascii="Times New Roman" w:hAnsi="Times New Roman" w:cs="Times New Roman"/>
          <w:sz w:val="22"/>
          <w:szCs w:val="22"/>
        </w:rPr>
        <w:t xml:space="preserve">Today’s item also helps us take another step towards extending America’s space leadership.  </w:t>
      </w:r>
      <w:r w:rsidRPr="00C40981">
        <w:rPr>
          <w:rFonts w:ascii="Times New Roman" w:hAnsi="Times New Roman" w:cs="Times New Roman"/>
          <w:sz w:val="22"/>
          <w:szCs w:val="22"/>
        </w:rPr>
        <w:t>And that is good for our economy and national security</w:t>
      </w:r>
      <w:r w:rsidRPr="00C40981">
        <w:rPr>
          <w:rFonts w:ascii="Times New Roman" w:hAnsi="Times New Roman" w:cs="Times New Roman"/>
          <w:sz w:val="22"/>
          <w:szCs w:val="22"/>
        </w:rPr>
        <w:t xml:space="preserve">.  </w:t>
      </w:r>
    </w:p>
    <w:p w:rsidR="00B628A8" w:rsidRPr="00C40981" w:rsidP="00B628A8" w14:paraId="66A04CC8" w14:textId="77777777">
      <w:pPr>
        <w:ind w:firstLine="720"/>
        <w:rPr>
          <w:rFonts w:ascii="Times New Roman" w:hAnsi="Times New Roman" w:cs="Times New Roman"/>
          <w:sz w:val="22"/>
          <w:szCs w:val="22"/>
        </w:rPr>
      </w:pPr>
      <w:r w:rsidRPr="00C40981">
        <w:rPr>
          <w:rFonts w:ascii="Times New Roman" w:hAnsi="Times New Roman" w:cs="Times New Roman"/>
          <w:sz w:val="22"/>
          <w:szCs w:val="22"/>
        </w:rPr>
        <w:t xml:space="preserve">Indeed, space—as they say—is the ultimate high ground.  And space leadership has long been a priority for the U.S.  However, with the space economy growing at an accelerating clip thanks to new investments from public and private sectors around the world, we must re-double our efforts to ensure America is in the driver’s seat.  So I have been pleased with the Commission’s work in recent years towards getting our policies right. </w:t>
      </w:r>
    </w:p>
    <w:p w:rsidR="00514636" w:rsidRPr="00C40981" w:rsidP="00B628A8" w14:paraId="2B76EA8A" w14:textId="536ECEE8">
      <w:pPr>
        <w:ind w:firstLine="720"/>
        <w:rPr>
          <w:rFonts w:ascii="Times New Roman" w:hAnsi="Times New Roman" w:cs="Times New Roman"/>
          <w:sz w:val="22"/>
          <w:szCs w:val="22"/>
        </w:rPr>
      </w:pPr>
      <w:r w:rsidRPr="00C40981">
        <w:rPr>
          <w:rFonts w:ascii="Times New Roman" w:hAnsi="Times New Roman" w:cs="Times New Roman"/>
          <w:sz w:val="22"/>
          <w:szCs w:val="22"/>
        </w:rPr>
        <w:t>With this new proceeding we also need to keep walking and chewing gum at the same time.</w:t>
      </w:r>
    </w:p>
    <w:p w:rsidR="00B628A8" w:rsidRPr="00C40981" w:rsidP="00B628A8" w14:paraId="2EAE7CE2" w14:textId="144ED2DA">
      <w:pPr>
        <w:ind w:firstLine="720"/>
        <w:rPr>
          <w:rFonts w:ascii="Times New Roman" w:hAnsi="Times New Roman" w:cs="Times New Roman"/>
          <w:sz w:val="22"/>
          <w:szCs w:val="22"/>
        </w:rPr>
      </w:pPr>
      <w:r w:rsidRPr="00C40981">
        <w:rPr>
          <w:rFonts w:ascii="Times New Roman" w:hAnsi="Times New Roman" w:cs="Times New Roman"/>
          <w:sz w:val="22"/>
          <w:szCs w:val="22"/>
        </w:rPr>
        <w:t xml:space="preserve">That means </w:t>
      </w:r>
      <w:r w:rsidRPr="00C40981">
        <w:rPr>
          <w:rFonts w:ascii="Times New Roman" w:hAnsi="Times New Roman" w:cs="Times New Roman"/>
          <w:sz w:val="22"/>
          <w:szCs w:val="22"/>
        </w:rPr>
        <w:t xml:space="preserve">we need to modernize our </w:t>
      </w:r>
      <w:r w:rsidRPr="00C40981">
        <w:rPr>
          <w:rFonts w:ascii="Times New Roman" w:hAnsi="Times New Roman" w:cs="Times New Roman"/>
          <w:sz w:val="22"/>
          <w:szCs w:val="22"/>
        </w:rPr>
        <w:t xml:space="preserve">broader </w:t>
      </w:r>
      <w:r w:rsidRPr="00C40981">
        <w:rPr>
          <w:rFonts w:ascii="Times New Roman" w:hAnsi="Times New Roman" w:cs="Times New Roman"/>
          <w:sz w:val="22"/>
          <w:szCs w:val="22"/>
        </w:rPr>
        <w:t xml:space="preserve">regulatory framework </w:t>
      </w:r>
      <w:r w:rsidRPr="00C40981">
        <w:rPr>
          <w:rFonts w:ascii="Times New Roman" w:hAnsi="Times New Roman" w:cs="Times New Roman"/>
          <w:sz w:val="22"/>
          <w:szCs w:val="22"/>
        </w:rPr>
        <w:t xml:space="preserve">for sat </w:t>
      </w:r>
      <w:r w:rsidRPr="00C40981">
        <w:rPr>
          <w:rFonts w:ascii="Times New Roman" w:hAnsi="Times New Roman" w:cs="Times New Roman"/>
          <w:sz w:val="22"/>
          <w:szCs w:val="22"/>
        </w:rPr>
        <w:t>in a way that accelerates the processing of applications and encourages more providers to base their operations right here in the United States.  The bipartisan “SAT Streamlining Act” by the leaders of the House Energy and Commerce Committee would do just that.  I look forward to working alongside my colleagues here at the agency and Congress to advance our shared interest in extending our global leadership in space.</w:t>
      </w:r>
    </w:p>
    <w:p w:rsidR="00514636" w:rsidRPr="00C40981" w:rsidP="00514636" w14:paraId="624A17DA" w14:textId="2E9A9F46">
      <w:pPr>
        <w:ind w:firstLine="720"/>
        <w:rPr>
          <w:rFonts w:ascii="Times New Roman" w:hAnsi="Times New Roman" w:cs="Times New Roman"/>
          <w:sz w:val="22"/>
          <w:szCs w:val="22"/>
        </w:rPr>
      </w:pPr>
      <w:r w:rsidRPr="00C40981">
        <w:rPr>
          <w:rFonts w:ascii="Times New Roman" w:hAnsi="Times New Roman" w:cs="Times New Roman"/>
          <w:sz w:val="22"/>
          <w:szCs w:val="22"/>
        </w:rPr>
        <w:t xml:space="preserve">As we move forward in this proceeding with standing up this framework we also need to move quickly to process and approve space mobile applications that are already pending at the FCC.  We can’t let this new proceeding slow down those ongoing reviews. </w:t>
      </w:r>
    </w:p>
    <w:p w:rsidR="00B628A8" w:rsidRPr="00C40981" w:rsidP="00B628A8" w14:paraId="76F9B6FA" w14:textId="17C22BD0">
      <w:pPr>
        <w:ind w:firstLine="720"/>
        <w:rPr>
          <w:rFonts w:ascii="Times New Roman" w:hAnsi="Times New Roman" w:cs="Times New Roman"/>
          <w:sz w:val="22"/>
          <w:szCs w:val="22"/>
        </w:rPr>
      </w:pPr>
      <w:r w:rsidRPr="00C40981">
        <w:rPr>
          <w:rFonts w:ascii="Times New Roman" w:hAnsi="Times New Roman" w:cs="Times New Roman"/>
          <w:sz w:val="22"/>
          <w:szCs w:val="22"/>
        </w:rPr>
        <w:t>In closing, I want to thank the staff from the Wireless Telecommunications</w:t>
      </w:r>
      <w:r w:rsidRPr="00C40981" w:rsidR="00AF11C9">
        <w:rPr>
          <w:rFonts w:ascii="Times New Roman" w:hAnsi="Times New Roman" w:cs="Times New Roman"/>
          <w:sz w:val="22"/>
          <w:szCs w:val="22"/>
        </w:rPr>
        <w:t xml:space="preserve"> Bureau</w:t>
      </w:r>
      <w:r w:rsidRPr="00C40981">
        <w:rPr>
          <w:rFonts w:ascii="Times New Roman" w:hAnsi="Times New Roman" w:cs="Times New Roman"/>
          <w:sz w:val="22"/>
          <w:szCs w:val="22"/>
        </w:rPr>
        <w:t xml:space="preserve"> and International Bureau for their hard work on the item before us today.  It has my support.</w:t>
      </w:r>
      <w:bookmarkEnd w:id="0"/>
    </w:p>
    <w:sectPr w:rsidSect="00C40981">
      <w:headerReference w:type="even" r:id="rId4"/>
      <w:headerReference w:type="default" r:id="rId5"/>
      <w:footerReference w:type="even"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D24" w14:paraId="0B93A6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0981" w:rsidP="00C40981" w14:paraId="65E54BCC" w14:textId="77777777">
    <w:pPr>
      <w:pStyle w:val="Footer"/>
      <w:spacing w:before="100" w:after="10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D24" w14:paraId="2CC9FF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1556" w:rsidRPr="00591556" w:rsidP="00591556" w14:paraId="0DAFE237" w14:textId="213F752C">
    <w:pPr>
      <w:widowControl w:val="0"/>
      <w:tabs>
        <w:tab w:val="center" w:pos="4680"/>
        <w:tab w:val="right" w:pos="9360"/>
      </w:tabs>
      <w:spacing w:before="0" w:beforeAutospacing="0" w:after="0" w:afterAutospacing="0"/>
      <w:rPr>
        <w:rFonts w:ascii="Times New Roman" w:eastAsia="Times New Roman" w:hAnsi="Times New Roman" w:cs="Times New Roman"/>
        <w:b/>
        <w:snapToGrid w:val="0"/>
        <w:kern w:val="28"/>
        <w:sz w:val="22"/>
        <w:szCs w:val="20"/>
        <w14:ligatures w14:val="none"/>
      </w:rPr>
    </w:pPr>
    <w:r w:rsidRPr="00591556">
      <w:rPr>
        <w:rFonts w:ascii="Times New Roman" w:eastAsia="Times New Roman" w:hAnsi="Times New Roman" w:cs="Times New Roman"/>
        <w:b/>
        <w:noProof/>
        <w:snapToGrid w:val="0"/>
        <w:kern w:val="28"/>
        <w:sz w:val="22"/>
        <w:szCs w:val="20"/>
        <w14:ligatures w14:val="none"/>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591556">
      <w:rPr>
        <w:rFonts w:ascii="Times New Roman" w:eastAsia="Times New Roman" w:hAnsi="Times New Roman" w:cs="Times New Roman"/>
        <w:b/>
        <w:noProof/>
        <w:snapToGrid w:val="0"/>
        <w:kern w:val="28"/>
        <w:sz w:val="22"/>
        <w:szCs w:val="20"/>
        <w14:ligatures w14:val="none"/>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verticies="t" text="t" shapetype="t"/>
              <w10:wrap anchorx="margin"/>
            </v:rect>
          </w:pict>
        </mc:Fallback>
      </mc:AlternateContent>
    </w:r>
    <w:r w:rsidRPr="00591556">
      <w:rPr>
        <w:rFonts w:ascii="Times New Roman" w:eastAsia="Times New Roman" w:hAnsi="Times New Roman" w:cs="Times New Roman"/>
        <w:b/>
        <w:snapToGrid w:val="0"/>
        <w:kern w:val="28"/>
        <w:sz w:val="22"/>
        <w:szCs w:val="20"/>
        <w14:ligatures w14:val="none"/>
      </w:rPr>
      <w:tab/>
      <w:t>Federal Communications Commission</w:t>
    </w:r>
    <w:r w:rsidRPr="00591556">
      <w:rPr>
        <w:rFonts w:ascii="Times New Roman" w:eastAsia="Times New Roman" w:hAnsi="Times New Roman" w:cs="Times New Roman"/>
        <w:b/>
        <w:snapToGrid w:val="0"/>
        <w:kern w:val="28"/>
        <w:sz w:val="22"/>
        <w:szCs w:val="20"/>
        <w14:ligatures w14:val="none"/>
      </w:rPr>
      <w:tab/>
      <w:t>FCC 23-22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0981" w:rsidRPr="00F82918" w:rsidP="00C40981" w14:paraId="634821B1" w14:textId="77777777">
    <w:pPr>
      <w:widowControl w:val="0"/>
      <w:tabs>
        <w:tab w:val="center" w:pos="4680"/>
        <w:tab w:val="right" w:pos="9360"/>
      </w:tabs>
      <w:spacing w:after="0"/>
      <w:rPr>
        <w:rFonts w:ascii="Times New Roman" w:eastAsia="Times New Roman" w:hAnsi="Times New Roman" w:cs="Times New Roman"/>
        <w:b/>
        <w:snapToGrid w:val="0"/>
        <w:kern w:val="28"/>
        <w:szCs w:val="20"/>
      </w:rPr>
    </w:pP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o:lock v:ext="edit" aspectratio="t" verticies="t" text="t" shapetype="t"/>
              <w10:wrap anchorx="margin"/>
            </v:rect>
          </w:pict>
        </mc:Fallback>
      </mc:AlternateContent>
    </w:r>
    <w:r w:rsidRPr="00F82918">
      <w:rPr>
        <w:rFonts w:ascii="Times New Roman" w:eastAsia="Times New Roman" w:hAnsi="Times New Roman" w:cs="Times New Roman"/>
        <w:b/>
        <w:snapToGrid w:val="0"/>
        <w:kern w:val="28"/>
        <w:szCs w:val="20"/>
      </w:rPr>
      <w:tab/>
      <w:t>Federal Communications Commission</w:t>
    </w:r>
    <w:r w:rsidRPr="00F82918">
      <w:rPr>
        <w:rFonts w:ascii="Times New Roman" w:eastAsia="Times New Roman" w:hAnsi="Times New Roman" w:cs="Times New Roman"/>
        <w:b/>
        <w:snapToGrid w:val="0"/>
        <w:kern w:val="28"/>
        <w:szCs w:val="20"/>
      </w:rPr>
      <w:tab/>
      <w:t>FCC 23-22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A8"/>
    <w:rsid w:val="00196D24"/>
    <w:rsid w:val="001C4CB6"/>
    <w:rsid w:val="00514636"/>
    <w:rsid w:val="00591556"/>
    <w:rsid w:val="00AF11C9"/>
    <w:rsid w:val="00B23069"/>
    <w:rsid w:val="00B628A8"/>
    <w:rsid w:val="00C40981"/>
    <w:rsid w:val="00D7189E"/>
    <w:rsid w:val="00E85DB0"/>
    <w:rsid w:val="00F82918"/>
    <w:rsid w:val="00F93B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3E3AB1"/>
  <w15:docId w15:val="{F912B818-9A1D-49B9-BC52-0EBC59FE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8A8"/>
    <w:pPr>
      <w:spacing w:before="100" w:beforeAutospacing="1" w:after="100" w:afterAutospacing="1" w:line="240" w:lineRule="auto"/>
    </w:pPr>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8A8"/>
    <w:rPr>
      <w:rFonts w:ascii="Times New Roman" w:eastAsia="Times New Roman" w:hAnsi="Times New Roman" w:cs="Times New Roman"/>
    </w:rPr>
  </w:style>
  <w:style w:type="paragraph" w:styleId="Header">
    <w:name w:val="header"/>
    <w:basedOn w:val="Normal"/>
    <w:link w:val="HeaderChar"/>
    <w:uiPriority w:val="99"/>
    <w:unhideWhenUsed/>
    <w:rsid w:val="00591556"/>
    <w:pPr>
      <w:tabs>
        <w:tab w:val="center" w:pos="4680"/>
        <w:tab w:val="right" w:pos="9360"/>
      </w:tabs>
      <w:spacing w:before="0" w:after="0"/>
    </w:pPr>
  </w:style>
  <w:style w:type="character" w:customStyle="1" w:styleId="HeaderChar">
    <w:name w:val="Header Char"/>
    <w:basedOn w:val="DefaultParagraphFont"/>
    <w:link w:val="Header"/>
    <w:uiPriority w:val="99"/>
    <w:rsid w:val="00591556"/>
    <w:rPr>
      <w:kern w:val="0"/>
      <w:sz w:val="24"/>
      <w:szCs w:val="24"/>
    </w:rPr>
  </w:style>
  <w:style w:type="paragraph" w:styleId="Footer">
    <w:name w:val="footer"/>
    <w:basedOn w:val="Normal"/>
    <w:link w:val="FooterChar"/>
    <w:uiPriority w:val="99"/>
    <w:unhideWhenUsed/>
    <w:rsid w:val="00591556"/>
    <w:pPr>
      <w:tabs>
        <w:tab w:val="center" w:pos="4680"/>
        <w:tab w:val="right" w:pos="9360"/>
      </w:tabs>
      <w:spacing w:before="0" w:after="0"/>
    </w:pPr>
  </w:style>
  <w:style w:type="character" w:customStyle="1" w:styleId="FooterChar">
    <w:name w:val="Footer Char"/>
    <w:basedOn w:val="DefaultParagraphFont"/>
    <w:link w:val="Footer"/>
    <w:uiPriority w:val="99"/>
    <w:rsid w:val="00591556"/>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