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tbl>
      <w:tblPr>
        <w:tblW w:w="0" w:type="auto"/>
        <w:tblCellMar>
          <w:left w:w="0" w:type="dxa"/>
          <w:right w:w="0" w:type="dxa"/>
        </w:tblCellMar>
        <w:tblLook w:val="0000"/>
      </w:tblPr>
      <w:tblGrid>
        <w:gridCol w:w="8640"/>
      </w:tblGrid>
      <w:tr w14:paraId="10CEB18C" w14:textId="77777777">
        <w:tblPrEx>
          <w:tblW w:w="0" w:type="auto"/>
          <w:tblCellMar>
            <w:left w:w="0" w:type="dxa"/>
            <w:right w:w="0" w:type="dxa"/>
          </w:tblCellMar>
          <w:tblLook w:val="0000"/>
        </w:tblPrEx>
        <w:trPr>
          <w:trHeight w:val="2181"/>
        </w:trPr>
        <w:tc>
          <w:tcPr>
            <w:tcW w:w="8640" w:type="dxa"/>
            <w:tcMar>
              <w:left w:w="108" w:type="dxa"/>
              <w:right w:w="108" w:type="dxa"/>
            </w:tcMar>
          </w:tcPr>
          <w:p w:rsidR="00852540" w14:paraId="23896F9F" w14:textId="77777777">
            <w:pPr>
              <w:jc w:val="center"/>
              <w:rPr>
                <w:b/>
              </w:rPr>
            </w:pPr>
            <w:r>
              <w:rPr>
                <w:noProof/>
                <w:sz w:val="20"/>
              </w:rPr>
              <w:drawing>
                <wp:inline distT="0" distB="0" distL="0" distR="0">
                  <wp:extent cx="5505450" cy="762000"/>
                  <wp:effectExtent l="0" t="0" r="0" b="0"/>
                  <wp:docPr id="10"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 descr="/private/var/mobile/Containers/Data/Application/9EAA2738-9B15-4A33-AA74-2345331C117A/tmp/Polaris/engine/image1.jpeg"/>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a:xfrm>
                            <a:off x="0" y="0"/>
                            <a:ext cx="5506085" cy="762635"/>
                          </a:xfrm>
                          <a:prstGeom prst="rect">
                            <a:avLst/>
                          </a:prstGeom>
                          <a:noFill/>
                          <a:ln>
                            <a:noFill/>
                          </a:ln>
                        </pic:spPr>
                      </pic:pic>
                    </a:graphicData>
                  </a:graphic>
                </wp:inline>
              </w:drawing>
            </w:r>
          </w:p>
          <w:p w:rsidR="00852540" w14:paraId="6A8BF6A2" w14:textId="77777777">
            <w:pPr>
              <w:rPr>
                <w:b/>
                <w:sz w:val="12"/>
                <w:szCs w:val="12"/>
              </w:rPr>
            </w:pPr>
          </w:p>
          <w:p w:rsidR="00852540" w14:paraId="168196D2" w14:textId="77777777">
            <w:pPr>
              <w:rPr>
                <w:b/>
                <w:sz w:val="22"/>
                <w:szCs w:val="22"/>
              </w:rPr>
            </w:pPr>
            <w:r>
              <w:rPr>
                <w:b/>
                <w:sz w:val="22"/>
                <w:szCs w:val="22"/>
              </w:rPr>
              <w:t xml:space="preserve">Media Contact: </w:t>
            </w:r>
          </w:p>
          <w:p w:rsidR="00852540" w14:paraId="0483B455" w14:textId="77777777">
            <w:pPr>
              <w:rPr>
                <w:sz w:val="22"/>
                <w:szCs w:val="22"/>
              </w:rPr>
            </w:pPr>
            <w:r>
              <w:rPr>
                <w:sz w:val="22"/>
                <w:szCs w:val="22"/>
              </w:rPr>
              <w:t>Will Wiquist</w:t>
            </w:r>
          </w:p>
          <w:p w:rsidR="00852540" w14:paraId="4BA9E3A4" w14:textId="77777777">
            <w:pPr>
              <w:rPr>
                <w:sz w:val="22"/>
                <w:szCs w:val="22"/>
              </w:rPr>
            </w:pPr>
            <w:r>
              <w:rPr>
                <w:sz w:val="22"/>
                <w:szCs w:val="22"/>
              </w:rPr>
              <w:t>will.wiquist@fcc.gov</w:t>
            </w:r>
          </w:p>
          <w:p w:rsidR="00852540" w14:paraId="4F8EDE59" w14:textId="77777777">
            <w:pPr>
              <w:rPr>
                <w:sz w:val="22"/>
                <w:szCs w:val="22"/>
              </w:rPr>
            </w:pPr>
          </w:p>
          <w:p w:rsidR="00852540" w14:paraId="36F4D905" w14:textId="77777777">
            <w:pPr>
              <w:rPr>
                <w:b/>
                <w:sz w:val="22"/>
                <w:szCs w:val="22"/>
              </w:rPr>
            </w:pPr>
            <w:r>
              <w:rPr>
                <w:b/>
                <w:sz w:val="22"/>
                <w:szCs w:val="22"/>
              </w:rPr>
              <w:t>For Immediate Release</w:t>
            </w:r>
          </w:p>
          <w:p w:rsidR="00852540" w14:paraId="6A3662BD" w14:textId="77777777">
            <w:pPr>
              <w:jc w:val="center"/>
              <w:rPr>
                <w:b/>
                <w:sz w:val="22"/>
                <w:szCs w:val="22"/>
              </w:rPr>
            </w:pPr>
          </w:p>
          <w:p w:rsidR="00852540" w14:paraId="4376E944" w14:textId="558C8889">
            <w:pPr>
              <w:tabs>
                <w:tab w:val="left" w:pos="8625"/>
              </w:tabs>
              <w:jc w:val="center"/>
              <w:rPr>
                <w:i/>
              </w:rPr>
            </w:pPr>
            <w:r>
              <w:rPr>
                <w:b/>
                <w:sz w:val="26"/>
                <w:szCs w:val="26"/>
              </w:rPr>
              <w:t xml:space="preserve">CHAIRWOMAN ROSENWORCEL PROPOSES AGENCY ‘POLICY STATEMENT’ ON WIRELESS RECEIVER </w:t>
            </w:r>
            <w:r w:rsidRPr="00374174">
              <w:rPr>
                <w:b/>
                <w:sz w:val="26"/>
                <w:szCs w:val="26"/>
              </w:rPr>
              <w:t>PERFORMANCE</w:t>
            </w:r>
          </w:p>
          <w:p w:rsidR="00852540" w14:paraId="43DFB22A" w14:textId="77777777">
            <w:pPr>
              <w:tabs>
                <w:tab w:val="left" w:pos="8625"/>
              </w:tabs>
              <w:jc w:val="center"/>
              <w:rPr>
                <w:i/>
                <w:color w:val="F2F2F2" w:themeColor="background1" w:themeShade="F2"/>
                <w:sz w:val="28"/>
                <w:szCs w:val="28"/>
              </w:rPr>
            </w:pPr>
            <w:r>
              <w:rPr>
                <w:b/>
                <w:i/>
                <w:sz w:val="28"/>
                <w:szCs w:val="28"/>
              </w:rPr>
              <w:t xml:space="preserve">  </w:t>
            </w:r>
            <w:r>
              <w:rPr>
                <w:b/>
                <w:i/>
                <w:color w:val="F2F2F2" w:themeColor="background1" w:themeShade="F2"/>
                <w:sz w:val="28"/>
                <w:szCs w:val="28"/>
              </w:rPr>
              <w:t xml:space="preserve">-- </w:t>
            </w:r>
          </w:p>
          <w:p w:rsidR="00852540" w14:paraId="77C2D4A3" w14:textId="3E6BC22A">
            <w:pPr>
              <w:rPr>
                <w:sz w:val="22"/>
                <w:szCs w:val="22"/>
              </w:rPr>
            </w:pPr>
            <w:r>
              <w:rPr>
                <w:sz w:val="22"/>
                <w:szCs w:val="22"/>
              </w:rPr>
              <w:t xml:space="preserve">WASHINGTON, March </w:t>
            </w:r>
            <w:r w:rsidR="001C4D3B">
              <w:rPr>
                <w:sz w:val="22"/>
                <w:szCs w:val="22"/>
              </w:rPr>
              <w:t>29</w:t>
            </w:r>
            <w:r>
              <w:rPr>
                <w:sz w:val="22"/>
                <w:szCs w:val="22"/>
              </w:rPr>
              <w:t xml:space="preserve">, 2023—FCC Chairwoman Jessica Rosenworcel today proposed that she and her colleagues establish high-level principles to guide the FCC’s work on </w:t>
            </w:r>
            <w:r w:rsidRPr="00374174">
              <w:rPr>
                <w:sz w:val="22"/>
                <w:szCs w:val="22"/>
              </w:rPr>
              <w:t xml:space="preserve">promoting </w:t>
            </w:r>
            <w:r>
              <w:rPr>
                <w:sz w:val="22"/>
                <w:szCs w:val="22"/>
              </w:rPr>
              <w:t>efficien</w:t>
            </w:r>
            <w:r w:rsidRPr="00374174">
              <w:rPr>
                <w:sz w:val="22"/>
                <w:szCs w:val="22"/>
              </w:rPr>
              <w:t xml:space="preserve">t and effective use of advanced wireless technologies. </w:t>
            </w:r>
            <w:r>
              <w:rPr>
                <w:sz w:val="22"/>
                <w:szCs w:val="22"/>
              </w:rPr>
              <w:t xml:space="preserve"> The proposed princip</w:t>
            </w:r>
            <w:r w:rsidR="00CF187B">
              <w:rPr>
                <w:sz w:val="22"/>
                <w:szCs w:val="22"/>
              </w:rPr>
              <w:t>le</w:t>
            </w:r>
            <w:r>
              <w:rPr>
                <w:sz w:val="22"/>
                <w:szCs w:val="22"/>
              </w:rPr>
              <w:t xml:space="preserve">s would address </w:t>
            </w:r>
            <w:r w:rsidRPr="00374174">
              <w:rPr>
                <w:sz w:val="22"/>
                <w:szCs w:val="22"/>
              </w:rPr>
              <w:t>how the Commission will approach future claims</w:t>
            </w:r>
            <w:r w:rsidR="00B86A51">
              <w:rPr>
                <w:sz w:val="22"/>
                <w:szCs w:val="22"/>
              </w:rPr>
              <w:t xml:space="preserve"> of</w:t>
            </w:r>
            <w:r w:rsidRPr="00374174">
              <w:rPr>
                <w:sz w:val="22"/>
                <w:szCs w:val="22"/>
              </w:rPr>
              <w:t xml:space="preserve"> harmful </w:t>
            </w:r>
            <w:r>
              <w:rPr>
                <w:sz w:val="22"/>
                <w:szCs w:val="22"/>
              </w:rPr>
              <w:t>interference, responsibilities o</w:t>
            </w:r>
            <w:r w:rsidRPr="00374174">
              <w:rPr>
                <w:sz w:val="22"/>
                <w:szCs w:val="22"/>
              </w:rPr>
              <w:t>f</w:t>
            </w:r>
            <w:r>
              <w:rPr>
                <w:sz w:val="22"/>
                <w:szCs w:val="22"/>
              </w:rPr>
              <w:t xml:space="preserve"> </w:t>
            </w:r>
            <w:r w:rsidRPr="00374174">
              <w:rPr>
                <w:sz w:val="22"/>
                <w:szCs w:val="22"/>
              </w:rPr>
              <w:t>both transmitters and</w:t>
            </w:r>
            <w:r>
              <w:rPr>
                <w:sz w:val="22"/>
                <w:szCs w:val="22"/>
              </w:rPr>
              <w:t xml:space="preserve"> receivers to mitigate inter</w:t>
            </w:r>
            <w:r w:rsidRPr="00374174">
              <w:rPr>
                <w:sz w:val="22"/>
                <w:szCs w:val="22"/>
              </w:rPr>
              <w:t>ference</w:t>
            </w:r>
            <w:r>
              <w:rPr>
                <w:sz w:val="22"/>
                <w:szCs w:val="22"/>
              </w:rPr>
              <w:t>, and t</w:t>
            </w:r>
            <w:r w:rsidRPr="00374174">
              <w:rPr>
                <w:sz w:val="22"/>
                <w:szCs w:val="22"/>
              </w:rPr>
              <w:t>he</w:t>
            </w:r>
            <w:r>
              <w:rPr>
                <w:sz w:val="22"/>
                <w:szCs w:val="22"/>
              </w:rPr>
              <w:t xml:space="preserve"> </w:t>
            </w:r>
            <w:r w:rsidRPr="00374174">
              <w:rPr>
                <w:sz w:val="22"/>
                <w:szCs w:val="22"/>
              </w:rPr>
              <w:t xml:space="preserve">potential for future further </w:t>
            </w:r>
            <w:r>
              <w:rPr>
                <w:sz w:val="22"/>
                <w:szCs w:val="22"/>
              </w:rPr>
              <w:t xml:space="preserve">regulatory requirements and actions related to </w:t>
            </w:r>
            <w:r w:rsidRPr="00374174">
              <w:rPr>
                <w:sz w:val="22"/>
                <w:szCs w:val="22"/>
              </w:rPr>
              <w:t>ensuring coexistence among services in increasingly congested spectrum bands</w:t>
            </w:r>
            <w:r w:rsidR="00B86A51">
              <w:rPr>
                <w:sz w:val="22"/>
                <w:szCs w:val="22"/>
              </w:rPr>
              <w:t>.</w:t>
            </w:r>
          </w:p>
          <w:p w:rsidR="00852540" w14:paraId="08647A30" w14:textId="77777777">
            <w:pPr>
              <w:rPr>
                <w:sz w:val="22"/>
                <w:szCs w:val="22"/>
              </w:rPr>
            </w:pPr>
            <w:bookmarkStart w:id="0" w:name="_Hlk130984812"/>
          </w:p>
          <w:p w:rsidR="00852540" w14:paraId="11B0386A" w14:textId="735EFC66">
            <w:pPr>
              <w:rPr>
                <w:sz w:val="22"/>
                <w:szCs w:val="22"/>
              </w:rPr>
            </w:pPr>
            <w:r>
              <w:rPr>
                <w:sz w:val="22"/>
                <w:szCs w:val="22"/>
              </w:rPr>
              <w:t>“While our spectrum management efforts often have focused on transmitter regulations, I welcome my colleagues’ support in establishing clear principles on the role of receivers,” said Chairwoman Rosenworcel.  “Improved receiver performance can promote more efficient spectrum use and enable valuable new services to be introduced that will benefit the American public.  I also thank Commissioner Simington for his leadership on this important issue.”</w:t>
            </w:r>
          </w:p>
          <w:bookmarkEnd w:id="0"/>
          <w:p w:rsidR="00852540" w14:paraId="3070FE18" w14:textId="77777777">
            <w:pPr>
              <w:rPr>
                <w:sz w:val="22"/>
                <w:szCs w:val="22"/>
              </w:rPr>
            </w:pPr>
          </w:p>
          <w:p w:rsidR="00852540" w14:paraId="79D0B269" w14:textId="77777777">
            <w:pPr>
              <w:rPr>
                <w:sz w:val="22"/>
                <w:szCs w:val="22"/>
              </w:rPr>
            </w:pPr>
            <w:r>
              <w:rPr>
                <w:sz w:val="22"/>
                <w:szCs w:val="22"/>
              </w:rPr>
              <w:t xml:space="preserve">In 2022, the Commission launched an inquiry to take a fresh look at how receiver improvements could provide greater opportunities for efficient use of spectrum.  The proposed Policy Statement builds on the record from this proceeding and the work of the FCC’s Technological Advisory Council.  It will be voted on by the full Commission at its April 20 Open Meeting and the draft of the proposal will be available tomorrow on the FCC’s Open Meeting </w:t>
            </w:r>
            <w:hyperlink r:id="rId5" w:history="1">
              <w:r>
                <w:rPr>
                  <w:rStyle w:val="Hyperlink"/>
                  <w:sz w:val="22"/>
                  <w:szCs w:val="22"/>
                </w:rPr>
                <w:t>webpage</w:t>
              </w:r>
            </w:hyperlink>
            <w:r>
              <w:rPr>
                <w:sz w:val="22"/>
                <w:szCs w:val="22"/>
              </w:rPr>
              <w:t xml:space="preserve">. </w:t>
            </w:r>
          </w:p>
          <w:p w:rsidR="00852540" w14:paraId="5659623A" w14:textId="77777777">
            <w:pPr>
              <w:rPr>
                <w:sz w:val="22"/>
                <w:szCs w:val="22"/>
              </w:rPr>
            </w:pPr>
          </w:p>
          <w:p w:rsidR="00852540" w14:paraId="3E1A1D1E" w14:textId="77777777">
            <w:pPr>
              <w:ind w:right="72"/>
              <w:jc w:val="center"/>
              <w:rPr>
                <w:sz w:val="22"/>
                <w:szCs w:val="22"/>
              </w:rPr>
            </w:pPr>
            <w:r>
              <w:rPr>
                <w:sz w:val="22"/>
                <w:szCs w:val="22"/>
              </w:rPr>
              <w:t>###</w:t>
            </w:r>
          </w:p>
          <w:p w:rsidR="00852540" w14:paraId="0ADBDDC5" w14:textId="77777777">
            <w:pPr>
              <w:ind w:right="72"/>
              <w:jc w:val="center"/>
              <w:rPr>
                <w:rStyle w:val="Hyperlink"/>
                <w:b/>
                <w:color w:val="auto"/>
                <w:sz w:val="17"/>
                <w:szCs w:val="17"/>
              </w:rPr>
            </w:pPr>
            <w:r>
              <w:rPr>
                <w:b/>
                <w:sz w:val="22"/>
                <w:szCs w:val="22"/>
              </w:rPr>
              <w:br/>
            </w:r>
            <w:r>
              <w:rPr>
                <w:b/>
                <w:sz w:val="17"/>
                <w:szCs w:val="17"/>
              </w:rPr>
              <w:t xml:space="preserve">Media Relations: (202) 418-0500 / ASL: (844) 432-2275 / Twitter: @FCC / www.fcc.gov </w:t>
            </w:r>
          </w:p>
          <w:p w:rsidR="00852540" w14:paraId="2FD78830" w14:textId="77777777">
            <w:pPr>
              <w:ind w:right="72"/>
              <w:jc w:val="center"/>
              <w:rPr>
                <w:b/>
                <w:sz w:val="18"/>
                <w:szCs w:val="18"/>
              </w:rPr>
            </w:pPr>
          </w:p>
          <w:p w:rsidR="00852540" w14:paraId="7A90670F" w14:textId="77777777">
            <w:pPr>
              <w:ind w:right="72"/>
              <w:jc w:val="center"/>
              <w:rPr>
                <w:i/>
                <w:sz w:val="16"/>
                <w:szCs w:val="16"/>
              </w:rPr>
            </w:pPr>
            <w:r>
              <w:rPr>
                <w:i/>
                <w:sz w:val="16"/>
                <w:szCs w:val="16"/>
              </w:rPr>
              <w:t>This is an unofficial announcement of Commission action.  Release of the full text of a Commission order constitutes official action.  See MCI v. FCC, 515 F.2d 385 (D.C. Cir. 1974).</w:t>
            </w:r>
          </w:p>
        </w:tc>
      </w:tr>
    </w:tbl>
    <w:p w:rsidR="00852540" w14:paraId="647E0E84" w14:textId="77777777">
      <w:pPr>
        <w:rPr>
          <w:b/>
          <w:sz w:val="2"/>
          <w:szCs w:val="2"/>
        </w:rPr>
      </w:pPr>
    </w:p>
    <w:sectPr>
      <w:pgSz w:w="12240" w:h="15840"/>
      <w:pgMar w:top="630" w:right="1800" w:bottom="1440" w:left="1800" w:header="720" w:footer="720" w:gutter="0"/>
      <w:cols w:space="720"/>
      <w:docGrid w:linePitch="360"/>
      <w15:footnoteColumns w:val="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F000000"/>
    <w:multiLevelType w:val="hybridMultilevel"/>
    <w:tmpl w:val="276B1D78"/>
    <w:lvl w:ilvl="0">
      <w:start w:val="1"/>
      <w:numFmt w:val="bullet"/>
      <w:lvlText w:val="·"/>
      <w:lvlJc w:val="left"/>
      <w:pPr>
        <w:tabs>
          <w:tab w:val="left" w:pos="1152"/>
        </w:tabs>
        <w:ind w:left="1152" w:hanging="360"/>
      </w:pPr>
      <w:rPr>
        <w:rFonts w:ascii="Symbol" w:hAnsi="Symbol" w:hint="default"/>
        <w:shd w:val="clear" w:color="auto" w:fill="auto"/>
      </w:rPr>
    </w:lvl>
    <w:lvl w:ilvl="1">
      <w:start w:val="1"/>
      <w:numFmt w:val="bullet"/>
      <w:lvlText w:val="o"/>
      <w:lvlJc w:val="left"/>
      <w:pPr>
        <w:tabs>
          <w:tab w:val="left" w:pos="1872"/>
        </w:tabs>
        <w:ind w:left="1872" w:hanging="360"/>
      </w:pPr>
      <w:rPr>
        <w:rFonts w:ascii="Courier New" w:hAnsi="Courier New" w:cs="Courier New" w:hint="default"/>
        <w:shd w:val="clear" w:color="auto" w:fill="auto"/>
      </w:rPr>
    </w:lvl>
    <w:lvl w:ilvl="2">
      <w:start w:val="1"/>
      <w:numFmt w:val="bullet"/>
      <w:lvlText w:val="§"/>
      <w:lvlJc w:val="left"/>
      <w:pPr>
        <w:tabs>
          <w:tab w:val="left" w:pos="2592"/>
        </w:tabs>
        <w:ind w:left="2592" w:hanging="360"/>
      </w:pPr>
      <w:rPr>
        <w:rFonts w:ascii="Wingdings" w:hAnsi="Wingdings" w:hint="default"/>
        <w:shd w:val="clear" w:color="auto" w:fill="auto"/>
      </w:rPr>
    </w:lvl>
    <w:lvl w:ilvl="3">
      <w:start w:val="1"/>
      <w:numFmt w:val="bullet"/>
      <w:lvlText w:val="·"/>
      <w:lvlJc w:val="left"/>
      <w:pPr>
        <w:tabs>
          <w:tab w:val="left" w:pos="3312"/>
        </w:tabs>
        <w:ind w:left="3312" w:hanging="360"/>
      </w:pPr>
      <w:rPr>
        <w:rFonts w:ascii="Symbol" w:hAnsi="Symbol" w:hint="default"/>
        <w:shd w:val="clear" w:color="auto" w:fill="auto"/>
      </w:rPr>
    </w:lvl>
    <w:lvl w:ilvl="4">
      <w:start w:val="1"/>
      <w:numFmt w:val="bullet"/>
      <w:lvlText w:val="o"/>
      <w:lvlJc w:val="left"/>
      <w:pPr>
        <w:tabs>
          <w:tab w:val="left" w:pos="4032"/>
        </w:tabs>
        <w:ind w:left="4032" w:hanging="360"/>
      </w:pPr>
      <w:rPr>
        <w:rFonts w:ascii="Courier New" w:hAnsi="Courier New" w:cs="Courier New" w:hint="default"/>
        <w:shd w:val="clear" w:color="auto" w:fill="auto"/>
      </w:rPr>
    </w:lvl>
    <w:lvl w:ilvl="5">
      <w:start w:val="1"/>
      <w:numFmt w:val="bullet"/>
      <w:lvlText w:val="§"/>
      <w:lvlJc w:val="left"/>
      <w:pPr>
        <w:tabs>
          <w:tab w:val="left" w:pos="4752"/>
        </w:tabs>
        <w:ind w:left="4752" w:hanging="360"/>
      </w:pPr>
      <w:rPr>
        <w:rFonts w:ascii="Wingdings" w:hAnsi="Wingdings" w:hint="default"/>
        <w:shd w:val="clear" w:color="auto" w:fill="auto"/>
      </w:rPr>
    </w:lvl>
    <w:lvl w:ilvl="6">
      <w:start w:val="1"/>
      <w:numFmt w:val="bullet"/>
      <w:lvlText w:val="·"/>
      <w:lvlJc w:val="left"/>
      <w:pPr>
        <w:tabs>
          <w:tab w:val="left" w:pos="5472"/>
        </w:tabs>
        <w:ind w:left="5472" w:hanging="360"/>
      </w:pPr>
      <w:rPr>
        <w:rFonts w:ascii="Symbol" w:hAnsi="Symbol" w:hint="default"/>
        <w:shd w:val="clear" w:color="auto" w:fill="auto"/>
      </w:rPr>
    </w:lvl>
    <w:lvl w:ilvl="7">
      <w:start w:val="1"/>
      <w:numFmt w:val="bullet"/>
      <w:lvlText w:val="o"/>
      <w:lvlJc w:val="left"/>
      <w:pPr>
        <w:tabs>
          <w:tab w:val="left" w:pos="6192"/>
        </w:tabs>
        <w:ind w:left="6192" w:hanging="360"/>
      </w:pPr>
      <w:rPr>
        <w:rFonts w:ascii="Courier New" w:hAnsi="Courier New" w:cs="Courier New" w:hint="default"/>
        <w:shd w:val="clear" w:color="auto" w:fill="auto"/>
      </w:rPr>
    </w:lvl>
    <w:lvl w:ilvl="8">
      <w:start w:val="1"/>
      <w:numFmt w:val="bullet"/>
      <w:lvlText w:val="§"/>
      <w:lvlJc w:val="left"/>
      <w:pPr>
        <w:tabs>
          <w:tab w:val="left" w:pos="6912"/>
        </w:tabs>
        <w:ind w:left="6912" w:hanging="360"/>
      </w:pPr>
      <w:rPr>
        <w:rFonts w:ascii="Wingdings" w:hAnsi="Wingdings" w:hint="default"/>
        <w:shd w:val="clear" w:color="auto" w:fil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720"/>
  <w:displayHorizontalDrawingGridEvery w:val="0"/>
  <w:displayVerticalDrawingGridEvery w:val="2"/>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540"/>
    <w:rsid w:val="001C4D3B"/>
    <w:rsid w:val="0025205D"/>
    <w:rsid w:val="00374174"/>
    <w:rsid w:val="004F670C"/>
    <w:rsid w:val="00810A21"/>
    <w:rsid w:val="00852540"/>
    <w:rsid w:val="00923144"/>
    <w:rsid w:val="00B118B6"/>
    <w:rsid w:val="00B86A51"/>
    <w:rsid w:val="00CC0B2C"/>
    <w:rsid w:val="00CF187B"/>
    <w:rsid w:val="00FC15BD"/>
  </w:rsids>
  <m:mathPr>
    <m:mathFont m:val="Cambria Math"/>
    <m:smallFrac/>
    <m:lMargin m:val="1440"/>
    <m:rMargin m:val="1440"/>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3967CD4"/>
  <w15:docId w15:val="{8BB96489-9DAA-42DA-BD5A-2EE4FBB0F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shd w:val="clear" w:color="auto" w:fill="auto"/>
    </w:rPr>
  </w:style>
  <w:style w:type="character" w:styleId="FollowedHyperlink">
    <w:name w:val="FollowedHyperlink"/>
    <w:rPr>
      <w:color w:val="800080"/>
      <w:u w:val="single"/>
      <w:shd w:val="clear" w:color="auto" w:fill="auto"/>
    </w:rPr>
  </w:style>
  <w:style w:type="character" w:customStyle="1" w:styleId="articlehead1">
    <w:name w:val="articlehead1"/>
    <w:rPr>
      <w:b/>
      <w:color w:val="336699"/>
      <w:sz w:val="24"/>
      <w:szCs w:val="24"/>
      <w:shd w:val="clear" w:color="auto" w:fill="auto"/>
    </w:rPr>
  </w:style>
  <w:style w:type="character" w:customStyle="1" w:styleId="byline1">
    <w:name w:val="byline1"/>
    <w:rPr>
      <w:rFonts w:ascii="Verdana" w:hAnsi="Verdana" w:hint="default"/>
      <w:color w:val="999999"/>
      <w:sz w:val="15"/>
      <w:szCs w:val="15"/>
      <w:shd w:val="clear" w:color="auto" w:fill="auto"/>
    </w:rPr>
  </w:style>
  <w:style w:type="paragraph" w:styleId="NormalWeb">
    <w:name w:val="Normal (Web)"/>
    <w:basedOn w:val="Normal"/>
  </w:style>
  <w:style w:type="paragraph" w:styleId="Caption">
    <w:name w:val="caption"/>
    <w:basedOn w:val="Normal"/>
    <w:next w:val="Normal"/>
    <w:unhideWhenUsed/>
    <w:qFormat/>
    <w:rPr>
      <w:b/>
      <w:sz w:val="20"/>
      <w:szCs w:val="20"/>
    </w:rPr>
  </w:style>
  <w:style w:type="character" w:styleId="UnresolvedMention">
    <w:name w:val="Unresolved Mention"/>
    <w:basedOn w:val="DefaultParagraphFont"/>
    <w:uiPriority w:val="99"/>
    <w:semiHidden/>
    <w:unhideWhenUsed/>
    <w:rPr>
      <w:color w:val="808080"/>
      <w:shd w:val="clear" w:color="auto" w:fill="E6E6E6"/>
    </w:rPr>
  </w:style>
  <w:style w:type="paragraph" w:styleId="BalloonText">
    <w:name w:val="Balloon Text"/>
    <w:basedOn w:val="Normal"/>
    <w:link w:val="BalloonTextChar"/>
    <w:semiHidden/>
    <w:unhideWhenUsed/>
    <w:rPr>
      <w:rFonts w:ascii="Segoe UI" w:hAnsi="Segoe UI" w:cs="Segoe UI"/>
      <w:sz w:val="18"/>
      <w:szCs w:val="18"/>
    </w:rPr>
  </w:style>
  <w:style w:type="character" w:customStyle="1" w:styleId="BalloonTextChar">
    <w:name w:val="Balloon Text Char"/>
    <w:basedOn w:val="DefaultParagraphFont"/>
    <w:link w:val="BalloonText"/>
    <w:semiHidden/>
    <w:rPr>
      <w:rFonts w:ascii="Segoe UI" w:hAnsi="Segoe UI" w:cs="Segoe UI"/>
      <w:sz w:val="18"/>
      <w:szCs w:val="18"/>
      <w:shd w:val="clear" w:color="auto" w:fill="auto"/>
    </w:rPr>
  </w:style>
  <w:style w:type="paragraph" w:styleId="Revision">
    <w:name w:val="Revision"/>
    <w:hidden/>
    <w:uiPriority w:val="99"/>
    <w:semiHidden/>
    <w:rsid w:val="00810A2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s://www.fcc.gov/news-events/events/2023/04/april-2023-open-commission-meeting" TargetMode="Externa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