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B813A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DDE747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A25D2F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81B253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470C1B9" w14:textId="379C80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4C495E5" w14:textId="30B78F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4B75B2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931468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6B94F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43DAA9C" w14:textId="60CC502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>A</w:t>
            </w:r>
            <w:r w:rsidR="00B3772C">
              <w:rPr>
                <w:b/>
                <w:bCs/>
                <w:sz w:val="26"/>
                <w:szCs w:val="26"/>
              </w:rPr>
              <w:t xml:space="preserve">DOPTS </w:t>
            </w:r>
            <w:r w:rsidR="009118D5">
              <w:rPr>
                <w:b/>
                <w:bCs/>
                <w:sz w:val="26"/>
                <w:szCs w:val="26"/>
              </w:rPr>
              <w:t xml:space="preserve">NEW REQUIREMENTS </w:t>
            </w:r>
            <w:r w:rsidRPr="00B3772C" w:rsidR="00B3772C">
              <w:rPr>
                <w:b/>
                <w:bCs/>
                <w:sz w:val="26"/>
                <w:szCs w:val="26"/>
              </w:rPr>
              <w:t xml:space="preserve">TO PREVENT GAMING OF </w:t>
            </w:r>
            <w:r w:rsidR="00B15E17">
              <w:rPr>
                <w:b/>
                <w:bCs/>
                <w:sz w:val="26"/>
                <w:szCs w:val="26"/>
              </w:rPr>
              <w:t xml:space="preserve">ITS </w:t>
            </w:r>
            <w:r w:rsidRPr="00B3772C" w:rsidR="00B3772C">
              <w:rPr>
                <w:b/>
                <w:bCs/>
                <w:sz w:val="26"/>
                <w:szCs w:val="26"/>
              </w:rPr>
              <w:t>ACCESS STIMULATION RULES</w:t>
            </w:r>
          </w:p>
          <w:p w:rsidR="00CC5E08" w:rsidRPr="008A3940" w:rsidP="00040127" w14:paraId="6CC6DA0B" w14:textId="5B2A3629">
            <w:pPr>
              <w:tabs>
                <w:tab w:val="left" w:pos="8625"/>
              </w:tabs>
              <w:jc w:val="center"/>
              <w:rPr>
                <w:i/>
              </w:rPr>
            </w:pPr>
            <w:r w:rsidRPr="00620BF3">
              <w:rPr>
                <w:b/>
                <w:bCs/>
                <w:i/>
              </w:rPr>
              <w:t>Arbitrage Schemes R</w:t>
            </w:r>
            <w:r w:rsidR="006B4E84">
              <w:rPr>
                <w:b/>
                <w:bCs/>
                <w:i/>
              </w:rPr>
              <w:t xml:space="preserve">aise </w:t>
            </w:r>
            <w:r w:rsidRPr="00620BF3">
              <w:rPr>
                <w:b/>
                <w:bCs/>
                <w:i/>
              </w:rPr>
              <w:t>Costs for Long-Distance Carriers and Their Customers</w:t>
            </w:r>
          </w:p>
          <w:p w:rsidR="00F61155" w:rsidRPr="006B0A70" w:rsidP="00BB4E29" w14:paraId="23A7BAC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B4E84" w:rsidP="002E165B" w14:paraId="1645ACEF" w14:textId="0F6BE4F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897D91">
              <w:rPr>
                <w:sz w:val="22"/>
                <w:szCs w:val="22"/>
              </w:rPr>
              <w:t>April 20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B15E17">
              <w:rPr>
                <w:sz w:val="22"/>
                <w:szCs w:val="22"/>
              </w:rPr>
              <w:t xml:space="preserve">adopted </w:t>
            </w:r>
            <w:r w:rsidRPr="00620BF3" w:rsidR="00620BF3">
              <w:rPr>
                <w:sz w:val="22"/>
                <w:szCs w:val="22"/>
              </w:rPr>
              <w:t>rules to</w:t>
            </w:r>
            <w:r>
              <w:t xml:space="preserve"> </w:t>
            </w:r>
            <w:r w:rsidRPr="006B4E84">
              <w:rPr>
                <w:sz w:val="22"/>
                <w:szCs w:val="22"/>
              </w:rPr>
              <w:t xml:space="preserve">deter arbitrage of </w:t>
            </w:r>
            <w:r>
              <w:rPr>
                <w:sz w:val="22"/>
                <w:szCs w:val="22"/>
              </w:rPr>
              <w:t>the</w:t>
            </w:r>
            <w:r w:rsidRPr="006B4E84">
              <w:rPr>
                <w:sz w:val="22"/>
                <w:szCs w:val="22"/>
              </w:rPr>
              <w:t xml:space="preserve"> access charge system</w:t>
            </w:r>
            <w:r>
              <w:rPr>
                <w:sz w:val="22"/>
                <w:szCs w:val="22"/>
              </w:rPr>
              <w:t xml:space="preserve"> that is designed to compensate carriers for use of their networks by other carriers</w:t>
            </w:r>
            <w:r w:rsidR="001B58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193CB7">
              <w:rPr>
                <w:sz w:val="22"/>
                <w:szCs w:val="22"/>
              </w:rPr>
              <w:t xml:space="preserve">The rules adopted today are </w:t>
            </w:r>
            <w:r>
              <w:rPr>
                <w:sz w:val="22"/>
                <w:szCs w:val="22"/>
              </w:rPr>
              <w:t xml:space="preserve">aimed at ending </w:t>
            </w:r>
            <w:r w:rsidRPr="006B4E84">
              <w:rPr>
                <w:sz w:val="22"/>
                <w:szCs w:val="22"/>
              </w:rPr>
              <w:t>harmful arbitrage practices that raise costs for long-distance carriers and their customers.</w:t>
            </w:r>
          </w:p>
          <w:p w:rsidR="006B4E84" w:rsidP="002E165B" w14:paraId="6D016D56" w14:textId="77777777">
            <w:pPr>
              <w:rPr>
                <w:sz w:val="22"/>
                <w:szCs w:val="22"/>
              </w:rPr>
            </w:pPr>
          </w:p>
          <w:p w:rsidR="001B58C8" w:rsidP="002E165B" w14:paraId="1746D725" w14:textId="7FCF5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local exchange carriers (LEC</w:t>
            </w:r>
            <w:r w:rsidR="00452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) have exploited </w:t>
            </w:r>
            <w:r w:rsidR="0045260F">
              <w:rPr>
                <w:sz w:val="22"/>
                <w:szCs w:val="22"/>
              </w:rPr>
              <w:t xml:space="preserve">the Commission’s </w:t>
            </w:r>
            <w:r w:rsidR="00193CB7">
              <w:rPr>
                <w:sz w:val="22"/>
                <w:szCs w:val="22"/>
              </w:rPr>
              <w:t xml:space="preserve">existing </w:t>
            </w:r>
            <w:r>
              <w:rPr>
                <w:sz w:val="22"/>
                <w:szCs w:val="22"/>
              </w:rPr>
              <w:t xml:space="preserve">access charge rules by inserting an Internet </w:t>
            </w:r>
            <w:r w:rsidRPr="001B58C8">
              <w:rPr>
                <w:sz w:val="22"/>
                <w:szCs w:val="22"/>
              </w:rPr>
              <w:t>Protocol Enabled Service (IPES) Provider into the call flow to deliver traffic to end users</w:t>
            </w:r>
            <w:r w:rsidR="00302E68">
              <w:rPr>
                <w:sz w:val="22"/>
                <w:szCs w:val="22"/>
              </w:rPr>
              <w:t>.</w:t>
            </w:r>
            <w:r w:rsidRPr="001B58C8">
              <w:rPr>
                <w:sz w:val="22"/>
                <w:szCs w:val="22"/>
              </w:rPr>
              <w:t xml:space="preserve"> </w:t>
            </w:r>
            <w:r w:rsidR="00302E68">
              <w:rPr>
                <w:sz w:val="22"/>
                <w:szCs w:val="22"/>
              </w:rPr>
              <w:t xml:space="preserve"> The LECs </w:t>
            </w:r>
            <w:r w:rsidRPr="001B58C8">
              <w:rPr>
                <w:sz w:val="22"/>
                <w:szCs w:val="22"/>
              </w:rPr>
              <w:t>then claim</w:t>
            </w:r>
            <w:r w:rsidR="00302E68">
              <w:rPr>
                <w:sz w:val="22"/>
                <w:szCs w:val="22"/>
              </w:rPr>
              <w:t>ed</w:t>
            </w:r>
            <w:r w:rsidRPr="001B58C8">
              <w:rPr>
                <w:sz w:val="22"/>
                <w:szCs w:val="22"/>
              </w:rPr>
              <w:t xml:space="preserve"> </w:t>
            </w:r>
            <w:r w:rsidR="00302E68">
              <w:rPr>
                <w:sz w:val="22"/>
                <w:szCs w:val="22"/>
              </w:rPr>
              <w:t xml:space="preserve">that </w:t>
            </w:r>
            <w:r w:rsidRPr="001B58C8">
              <w:rPr>
                <w:sz w:val="22"/>
                <w:szCs w:val="22"/>
              </w:rPr>
              <w:t>the rules did not apply so the</w:t>
            </w:r>
            <w:r w:rsidR="009118D5">
              <w:rPr>
                <w:sz w:val="22"/>
                <w:szCs w:val="22"/>
              </w:rPr>
              <w:t>y</w:t>
            </w:r>
            <w:r w:rsidRPr="001B58C8">
              <w:rPr>
                <w:sz w:val="22"/>
                <w:szCs w:val="22"/>
              </w:rPr>
              <w:t xml:space="preserve"> could avoid financial responsibility </w:t>
            </w:r>
            <w:r w:rsidR="009118D5">
              <w:rPr>
                <w:sz w:val="22"/>
                <w:szCs w:val="22"/>
              </w:rPr>
              <w:t xml:space="preserve">by </w:t>
            </w:r>
            <w:r w:rsidR="00193CB7">
              <w:rPr>
                <w:sz w:val="22"/>
                <w:szCs w:val="22"/>
              </w:rPr>
              <w:t>pass</w:t>
            </w:r>
            <w:r w:rsidR="009118D5">
              <w:rPr>
                <w:sz w:val="22"/>
                <w:szCs w:val="22"/>
              </w:rPr>
              <w:t>ing</w:t>
            </w:r>
            <w:r w:rsidR="00193CB7">
              <w:rPr>
                <w:sz w:val="22"/>
                <w:szCs w:val="22"/>
              </w:rPr>
              <w:t xml:space="preserve"> the costs</w:t>
            </w:r>
            <w:r w:rsidR="002E5E55">
              <w:rPr>
                <w:sz w:val="22"/>
                <w:szCs w:val="22"/>
              </w:rPr>
              <w:t xml:space="preserve"> on to long-distance carriers</w:t>
            </w:r>
            <w:r w:rsidRPr="001B58C8">
              <w:rPr>
                <w:sz w:val="22"/>
                <w:szCs w:val="22"/>
              </w:rPr>
              <w:t xml:space="preserve">.  </w:t>
            </w:r>
          </w:p>
          <w:p w:rsidR="001B58C8" w:rsidP="002E165B" w14:paraId="5C5C1B1E" w14:textId="77777777">
            <w:pPr>
              <w:rPr>
                <w:sz w:val="22"/>
                <w:szCs w:val="22"/>
              </w:rPr>
            </w:pPr>
          </w:p>
          <w:p w:rsidR="00B3772C" w:rsidRPr="00B3772C" w:rsidP="00B3772C" w14:paraId="2B2E7ABC" w14:textId="7ACDC871">
            <w:pPr>
              <w:rPr>
                <w:sz w:val="22"/>
                <w:szCs w:val="22"/>
              </w:rPr>
            </w:pPr>
            <w:r w:rsidRPr="00B3772C">
              <w:rPr>
                <w:sz w:val="22"/>
                <w:szCs w:val="22"/>
              </w:rPr>
              <w:t xml:space="preserve">Historically, access arbitrage schemes used a simple tactic: a </w:t>
            </w:r>
            <w:r w:rsidR="0045260F">
              <w:rPr>
                <w:sz w:val="22"/>
                <w:szCs w:val="22"/>
              </w:rPr>
              <w:t xml:space="preserve">local </w:t>
            </w:r>
            <w:r w:rsidRPr="00B3772C">
              <w:rPr>
                <w:sz w:val="22"/>
                <w:szCs w:val="22"/>
              </w:rPr>
              <w:t>phone company with high access charge rates attracted large volumes of incoming traffic, often by partnering with high-volume calling services</w:t>
            </w:r>
            <w:r w:rsidR="0045260F">
              <w:rPr>
                <w:sz w:val="22"/>
                <w:szCs w:val="22"/>
              </w:rPr>
              <w:t>,</w:t>
            </w:r>
            <w:r w:rsidRPr="00B3772C">
              <w:rPr>
                <w:sz w:val="22"/>
                <w:szCs w:val="22"/>
              </w:rPr>
              <w:t xml:space="preserve"> such as “free” conference calling services.  The phone company (or its designated intermediate access provider) then collected access charges from long-distance companies that far exceeded the costs of completing the calls.  These excessive access charges were ultimately passed on to long-distance customers, regardless of whether those customers actually made calls to high-volume calling services.</w:t>
            </w:r>
          </w:p>
          <w:p w:rsidR="00040127" w:rsidP="002E165B" w14:paraId="423524A1" w14:textId="77777777">
            <w:pPr>
              <w:rPr>
                <w:sz w:val="22"/>
                <w:szCs w:val="22"/>
              </w:rPr>
            </w:pPr>
          </w:p>
          <w:p w:rsidR="00BD19E8" w:rsidP="002E165B" w14:paraId="21E9BEBF" w14:textId="3F921981">
            <w:pPr>
              <w:rPr>
                <w:sz w:val="22"/>
                <w:szCs w:val="22"/>
              </w:rPr>
            </w:pPr>
            <w:r w:rsidRPr="001B58C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rules adopted today</w:t>
            </w:r>
            <w:r w:rsidRPr="001B58C8">
              <w:rPr>
                <w:sz w:val="22"/>
                <w:szCs w:val="22"/>
              </w:rPr>
              <w:t xml:space="preserve"> apply to access-stimulation traffic that terminates through IPES Providers, and would establish a bright-line methodology for determining the relevant traffic ratios for both LECs and IPES Providers, thereby avoiding any confusion about whether a LEC or IPES Provider should be considered to be engaged in Access Stimulation, as defined by the Commission’s rules.</w:t>
            </w:r>
          </w:p>
          <w:p w:rsidR="003B1254" w:rsidP="002E165B" w14:paraId="414D82F2" w14:textId="77777777">
            <w:pPr>
              <w:rPr>
                <w:sz w:val="22"/>
                <w:szCs w:val="22"/>
              </w:rPr>
            </w:pPr>
          </w:p>
          <w:p w:rsidR="003B1254" w:rsidRPr="003B1254" w:rsidP="003B1254" w14:paraId="5A7B8DEE" w14:textId="62FF5B10">
            <w:pPr>
              <w:rPr>
                <w:sz w:val="22"/>
                <w:szCs w:val="22"/>
              </w:rPr>
            </w:pPr>
            <w:r w:rsidRPr="003B1254">
              <w:rPr>
                <w:sz w:val="22"/>
                <w:szCs w:val="22"/>
              </w:rPr>
              <w:t>Action by the Commission April 20, 2023 by Second Report and Order (FCC 23-31).  Chairwoman Rosenworcel, Commissioners Carr, Starks, and Simington approving.  Chairwoman Rosenworcel issuing a separate statement.</w:t>
            </w:r>
          </w:p>
          <w:p w:rsidR="003B1254" w:rsidRPr="003B1254" w:rsidP="003B1254" w14:paraId="5100C4CB" w14:textId="77777777">
            <w:pPr>
              <w:rPr>
                <w:sz w:val="22"/>
                <w:szCs w:val="22"/>
              </w:rPr>
            </w:pPr>
          </w:p>
          <w:p w:rsidR="003B1254" w:rsidP="003B1254" w14:paraId="43F87A28" w14:textId="258A77B7">
            <w:pPr>
              <w:rPr>
                <w:sz w:val="22"/>
                <w:szCs w:val="22"/>
              </w:rPr>
            </w:pPr>
            <w:r w:rsidRPr="003B1254">
              <w:rPr>
                <w:sz w:val="22"/>
                <w:szCs w:val="22"/>
              </w:rPr>
              <w:t>WC Docket No. 18-155</w:t>
            </w:r>
          </w:p>
          <w:p w:rsidR="002E5E55" w:rsidRPr="002E165B" w:rsidP="002E165B" w14:paraId="29BD433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F475ED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00EDD9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55892A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1FEB02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AD66E1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16"/>
    <w:rsid w:val="0002500C"/>
    <w:rsid w:val="000311FC"/>
    <w:rsid w:val="00040127"/>
    <w:rsid w:val="00065E2D"/>
    <w:rsid w:val="00081232"/>
    <w:rsid w:val="00091E65"/>
    <w:rsid w:val="00096873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6764"/>
    <w:rsid w:val="001577D3"/>
    <w:rsid w:val="001733A6"/>
    <w:rsid w:val="001865A9"/>
    <w:rsid w:val="00187DB2"/>
    <w:rsid w:val="00193CB7"/>
    <w:rsid w:val="001B20BB"/>
    <w:rsid w:val="001B58C8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E5E55"/>
    <w:rsid w:val="002F31D0"/>
    <w:rsid w:val="00300359"/>
    <w:rsid w:val="00302E68"/>
    <w:rsid w:val="0031773E"/>
    <w:rsid w:val="00333871"/>
    <w:rsid w:val="00347716"/>
    <w:rsid w:val="003506E1"/>
    <w:rsid w:val="00364D81"/>
    <w:rsid w:val="003727E3"/>
    <w:rsid w:val="00385A93"/>
    <w:rsid w:val="003910F1"/>
    <w:rsid w:val="003B1254"/>
    <w:rsid w:val="003D7499"/>
    <w:rsid w:val="003E42FC"/>
    <w:rsid w:val="003E5991"/>
    <w:rsid w:val="003F344A"/>
    <w:rsid w:val="00403FF0"/>
    <w:rsid w:val="0040748B"/>
    <w:rsid w:val="0042046D"/>
    <w:rsid w:val="0042116E"/>
    <w:rsid w:val="00425AEF"/>
    <w:rsid w:val="00426518"/>
    <w:rsid w:val="00427B06"/>
    <w:rsid w:val="00441F59"/>
    <w:rsid w:val="00444E07"/>
    <w:rsid w:val="00444FA9"/>
    <w:rsid w:val="0045260F"/>
    <w:rsid w:val="00473E9C"/>
    <w:rsid w:val="004744C8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76E8C"/>
    <w:rsid w:val="00586417"/>
    <w:rsid w:val="0058673C"/>
    <w:rsid w:val="005A503E"/>
    <w:rsid w:val="005A7972"/>
    <w:rsid w:val="005B17E7"/>
    <w:rsid w:val="005B2643"/>
    <w:rsid w:val="005D17FD"/>
    <w:rsid w:val="005D2C34"/>
    <w:rsid w:val="005F0D55"/>
    <w:rsid w:val="005F183E"/>
    <w:rsid w:val="00600DDA"/>
    <w:rsid w:val="00603A30"/>
    <w:rsid w:val="00604211"/>
    <w:rsid w:val="00613498"/>
    <w:rsid w:val="00617B94"/>
    <w:rsid w:val="00620BED"/>
    <w:rsid w:val="00620BF3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6B3E"/>
    <w:rsid w:val="006A7D75"/>
    <w:rsid w:val="006B0A70"/>
    <w:rsid w:val="006B4E84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97D91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18D5"/>
    <w:rsid w:val="00913617"/>
    <w:rsid w:val="0093373C"/>
    <w:rsid w:val="00961620"/>
    <w:rsid w:val="0097219C"/>
    <w:rsid w:val="009734B6"/>
    <w:rsid w:val="0098096F"/>
    <w:rsid w:val="0098437A"/>
    <w:rsid w:val="00986C92"/>
    <w:rsid w:val="00993C47"/>
    <w:rsid w:val="009972BC"/>
    <w:rsid w:val="0099746E"/>
    <w:rsid w:val="009B4B16"/>
    <w:rsid w:val="009E54A1"/>
    <w:rsid w:val="009F4E25"/>
    <w:rsid w:val="009F5B1F"/>
    <w:rsid w:val="00A225A9"/>
    <w:rsid w:val="00A3308E"/>
    <w:rsid w:val="00A35DFD"/>
    <w:rsid w:val="00A63721"/>
    <w:rsid w:val="00A702DF"/>
    <w:rsid w:val="00A775A3"/>
    <w:rsid w:val="00A81700"/>
    <w:rsid w:val="00A81B5B"/>
    <w:rsid w:val="00A82FAD"/>
    <w:rsid w:val="00A87B16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5E17"/>
    <w:rsid w:val="00B31870"/>
    <w:rsid w:val="00B320B8"/>
    <w:rsid w:val="00B35EE2"/>
    <w:rsid w:val="00B36DEF"/>
    <w:rsid w:val="00B3772C"/>
    <w:rsid w:val="00B52DE3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0649"/>
    <w:rsid w:val="00C31ED8"/>
    <w:rsid w:val="00C432E4"/>
    <w:rsid w:val="00C70C26"/>
    <w:rsid w:val="00C72001"/>
    <w:rsid w:val="00C772B7"/>
    <w:rsid w:val="00C80347"/>
    <w:rsid w:val="00CA7C1F"/>
    <w:rsid w:val="00CB1095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5A3A"/>
    <w:rsid w:val="00E606DE"/>
    <w:rsid w:val="00E644FE"/>
    <w:rsid w:val="00E72733"/>
    <w:rsid w:val="00E742FA"/>
    <w:rsid w:val="00E76816"/>
    <w:rsid w:val="00E83DBF"/>
    <w:rsid w:val="00E84334"/>
    <w:rsid w:val="00E87C13"/>
    <w:rsid w:val="00E94CD9"/>
    <w:rsid w:val="00EA1A76"/>
    <w:rsid w:val="00EA290B"/>
    <w:rsid w:val="00EB2820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7C27"/>
    <w:rsid w:val="00F50D25"/>
    <w:rsid w:val="00F535D8"/>
    <w:rsid w:val="00F61155"/>
    <w:rsid w:val="00F708E3"/>
    <w:rsid w:val="00F76561"/>
    <w:rsid w:val="00F84736"/>
    <w:rsid w:val="00F86B3A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A6D69F"/>
  <w15:docId w15:val="{9DAEA3CE-4D07-4AC6-9DDB-3A039C6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5E1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5E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5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E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