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84A7C1E" w14:textId="77777777" w:rsidTr="00562826">
        <w:tblPrEx>
          <w:tblW w:w="0" w:type="auto"/>
          <w:tblLook w:val="0000"/>
        </w:tblPrEx>
        <w:trPr>
          <w:trHeight w:val="2181"/>
        </w:trPr>
        <w:tc>
          <w:tcPr>
            <w:tcW w:w="8856" w:type="dxa"/>
          </w:tcPr>
          <w:p w:rsidR="00FF232D" w:rsidP="001C3DDE" w14:paraId="4B5C498C"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E7E6EFB" w14:textId="77777777">
            <w:pPr>
              <w:rPr>
                <w:b/>
                <w:bCs/>
                <w:sz w:val="12"/>
                <w:szCs w:val="12"/>
              </w:rPr>
            </w:pPr>
          </w:p>
          <w:p w:rsidR="007A44F8" w:rsidRPr="008A3940" w:rsidP="00BB4E29" w14:paraId="437454F9" w14:textId="77777777">
            <w:pPr>
              <w:rPr>
                <w:b/>
                <w:bCs/>
                <w:sz w:val="22"/>
                <w:szCs w:val="22"/>
              </w:rPr>
            </w:pPr>
            <w:r w:rsidRPr="008A3940">
              <w:rPr>
                <w:b/>
                <w:bCs/>
                <w:sz w:val="22"/>
                <w:szCs w:val="22"/>
              </w:rPr>
              <w:t xml:space="preserve">Media Contact: </w:t>
            </w:r>
          </w:p>
          <w:p w:rsidR="007A44F8" w:rsidRPr="008A3940" w:rsidP="00BB4E29" w14:paraId="60EC9A5D" w14:textId="62B241B9">
            <w:pPr>
              <w:rPr>
                <w:bCs/>
                <w:sz w:val="22"/>
                <w:szCs w:val="22"/>
              </w:rPr>
            </w:pPr>
            <w:r>
              <w:rPr>
                <w:bCs/>
                <w:sz w:val="22"/>
                <w:szCs w:val="22"/>
              </w:rPr>
              <w:t>Anne Veigle</w:t>
            </w:r>
          </w:p>
          <w:p w:rsidR="00FF232D" w:rsidRPr="008A3940" w:rsidP="00BB4E29" w14:paraId="6FEACDAE" w14:textId="7FD2AD0F">
            <w:pPr>
              <w:rPr>
                <w:bCs/>
                <w:sz w:val="22"/>
                <w:szCs w:val="22"/>
              </w:rPr>
            </w:pPr>
            <w:r>
              <w:rPr>
                <w:bCs/>
                <w:sz w:val="22"/>
                <w:szCs w:val="22"/>
              </w:rPr>
              <w:t>anne.veigle</w:t>
            </w:r>
            <w:r w:rsidRPr="008A3940" w:rsidR="007A44F8">
              <w:rPr>
                <w:bCs/>
                <w:sz w:val="22"/>
                <w:szCs w:val="22"/>
              </w:rPr>
              <w:t>@fcc.gov</w:t>
            </w:r>
          </w:p>
          <w:p w:rsidR="007A44F8" w:rsidRPr="008A3940" w:rsidP="00BB4E29" w14:paraId="1DE17BA2" w14:textId="77777777">
            <w:pPr>
              <w:rPr>
                <w:bCs/>
                <w:sz w:val="22"/>
                <w:szCs w:val="22"/>
              </w:rPr>
            </w:pPr>
          </w:p>
          <w:p w:rsidR="007A44F8" w:rsidRPr="008A3940" w:rsidP="00BB4E29" w14:paraId="6E50AD39" w14:textId="77777777">
            <w:pPr>
              <w:rPr>
                <w:b/>
                <w:sz w:val="22"/>
                <w:szCs w:val="22"/>
              </w:rPr>
            </w:pPr>
            <w:r w:rsidRPr="008A3940">
              <w:rPr>
                <w:b/>
                <w:sz w:val="22"/>
                <w:szCs w:val="22"/>
              </w:rPr>
              <w:t>For Immediate Release</w:t>
            </w:r>
          </w:p>
          <w:p w:rsidR="007A44F8" w:rsidRPr="004A729A" w:rsidP="00BB4E29" w14:paraId="28124677" w14:textId="77777777">
            <w:pPr>
              <w:jc w:val="center"/>
              <w:rPr>
                <w:b/>
                <w:bCs/>
                <w:sz w:val="22"/>
                <w:szCs w:val="22"/>
              </w:rPr>
            </w:pPr>
          </w:p>
          <w:p w:rsidR="000E049E" w:rsidP="00D861EE" w14:paraId="6026064A" w14:textId="780562C8">
            <w:pPr>
              <w:tabs>
                <w:tab w:val="left" w:pos="8625"/>
              </w:tabs>
              <w:spacing w:after="120"/>
              <w:jc w:val="center"/>
              <w:rPr>
                <w:b/>
                <w:bCs/>
                <w:sz w:val="26"/>
                <w:szCs w:val="26"/>
              </w:rPr>
            </w:pPr>
            <w:r w:rsidRPr="000E049E">
              <w:rPr>
                <w:b/>
                <w:bCs/>
                <w:sz w:val="26"/>
                <w:szCs w:val="26"/>
              </w:rPr>
              <w:t xml:space="preserve">FCC </w:t>
            </w:r>
            <w:r w:rsidR="000F1988">
              <w:rPr>
                <w:b/>
                <w:bCs/>
                <w:sz w:val="26"/>
                <w:szCs w:val="26"/>
              </w:rPr>
              <w:t xml:space="preserve">PROPOSES </w:t>
            </w:r>
            <w:r w:rsidR="00562826">
              <w:rPr>
                <w:b/>
                <w:bCs/>
                <w:sz w:val="26"/>
                <w:szCs w:val="26"/>
              </w:rPr>
              <w:t>MORE THAN $8 MILLION</w:t>
            </w:r>
            <w:r w:rsidR="00357F7B">
              <w:rPr>
                <w:b/>
                <w:bCs/>
                <w:sz w:val="26"/>
                <w:szCs w:val="26"/>
              </w:rPr>
              <w:t xml:space="preserve"> </w:t>
            </w:r>
            <w:r w:rsidRPr="00357F7B" w:rsidR="00357F7B">
              <w:rPr>
                <w:b/>
                <w:bCs/>
                <w:sz w:val="26"/>
                <w:szCs w:val="26"/>
              </w:rPr>
              <w:t xml:space="preserve">IN FINES AGAINST </w:t>
            </w:r>
            <w:r w:rsidR="00357F7B">
              <w:rPr>
                <w:b/>
                <w:bCs/>
                <w:sz w:val="26"/>
                <w:szCs w:val="26"/>
              </w:rPr>
              <w:t>2</w:t>
            </w:r>
            <w:r w:rsidR="000965A5">
              <w:rPr>
                <w:b/>
                <w:bCs/>
                <w:sz w:val="26"/>
                <w:szCs w:val="26"/>
              </w:rPr>
              <w:t>2</w:t>
            </w:r>
            <w:r w:rsidRPr="00357F7B" w:rsidR="00357F7B">
              <w:rPr>
                <w:b/>
                <w:bCs/>
                <w:sz w:val="26"/>
                <w:szCs w:val="26"/>
              </w:rPr>
              <w:t xml:space="preserve"> RURAL DIGITAL OPPORTUNITY FUND APPLICANTS</w:t>
            </w:r>
            <w:r w:rsidR="00562826">
              <w:rPr>
                <w:b/>
                <w:bCs/>
                <w:sz w:val="26"/>
                <w:szCs w:val="26"/>
              </w:rPr>
              <w:t xml:space="preserve"> FOR DEFAULTING ON </w:t>
            </w:r>
            <w:r w:rsidR="008B0A29">
              <w:rPr>
                <w:b/>
                <w:bCs/>
                <w:sz w:val="26"/>
                <w:szCs w:val="26"/>
              </w:rPr>
              <w:t>AUCTION 904 OBLIGATIONS</w:t>
            </w:r>
          </w:p>
          <w:p w:rsidR="00CC5E08" w:rsidRPr="008A3940" w:rsidP="00040127" w14:paraId="2DCC3487" w14:textId="4FB71827">
            <w:pPr>
              <w:tabs>
                <w:tab w:val="left" w:pos="8625"/>
              </w:tabs>
              <w:jc w:val="center"/>
              <w:rPr>
                <w:i/>
              </w:rPr>
            </w:pPr>
            <w:r>
              <w:rPr>
                <w:b/>
                <w:bCs/>
                <w:i/>
              </w:rPr>
              <w:t xml:space="preserve">Defaults </w:t>
            </w:r>
            <w:r w:rsidR="00562826">
              <w:rPr>
                <w:b/>
                <w:bCs/>
                <w:i/>
              </w:rPr>
              <w:t>Impede Funding</w:t>
            </w:r>
            <w:r w:rsidR="00B71C22">
              <w:rPr>
                <w:b/>
                <w:bCs/>
                <w:i/>
              </w:rPr>
              <w:t xml:space="preserve"> for</w:t>
            </w:r>
            <w:r>
              <w:rPr>
                <w:b/>
                <w:bCs/>
                <w:i/>
              </w:rPr>
              <w:t xml:space="preserve"> </w:t>
            </w:r>
            <w:r w:rsidR="00B71C22">
              <w:rPr>
                <w:b/>
                <w:bCs/>
                <w:i/>
              </w:rPr>
              <w:t xml:space="preserve">New Rural </w:t>
            </w:r>
            <w:r>
              <w:rPr>
                <w:b/>
                <w:bCs/>
                <w:i/>
              </w:rPr>
              <w:t>Broadband</w:t>
            </w:r>
            <w:r w:rsidR="00040127">
              <w:rPr>
                <w:b/>
                <w:bCs/>
                <w:i/>
              </w:rPr>
              <w:t xml:space="preserve"> </w:t>
            </w:r>
            <w:r>
              <w:rPr>
                <w:b/>
                <w:bCs/>
                <w:i/>
              </w:rPr>
              <w:t>Deployments</w:t>
            </w:r>
          </w:p>
          <w:p w:rsidR="00F61155" w:rsidRPr="006B0A70" w:rsidP="00357F7B" w14:paraId="0E07EB40" w14:textId="4B17931F">
            <w:pPr>
              <w:tabs>
                <w:tab w:val="center" w:pos="4212"/>
                <w:tab w:val="left" w:pos="5520"/>
                <w:tab w:val="left" w:pos="8625"/>
              </w:tabs>
              <w:rPr>
                <w:i/>
                <w:color w:val="F2F2F2" w:themeColor="background1" w:themeShade="F2"/>
                <w:sz w:val="28"/>
              </w:rPr>
            </w:pPr>
            <w:r>
              <w:rPr>
                <w:b/>
                <w:bCs/>
                <w:i/>
                <w:sz w:val="28"/>
                <w:szCs w:val="32"/>
              </w:rPr>
              <w:tab/>
            </w:r>
            <w:r w:rsidRPr="006B0A70" w:rsidR="00F228ED">
              <w:rPr>
                <w:b/>
                <w:bCs/>
                <w:i/>
                <w:sz w:val="28"/>
                <w:szCs w:val="32"/>
              </w:rPr>
              <w:t xml:space="preserve">  </w:t>
            </w:r>
            <w:r w:rsidRPr="006B0A70" w:rsidR="00F228ED">
              <w:rPr>
                <w:b/>
                <w:bCs/>
                <w:i/>
                <w:color w:val="F2F2F2" w:themeColor="background1" w:themeShade="F2"/>
                <w:sz w:val="28"/>
                <w:szCs w:val="32"/>
              </w:rPr>
              <w:t>--</w:t>
            </w:r>
          </w:p>
          <w:p w:rsidR="00A13D9F" w:rsidRPr="00A13D9F" w:rsidP="00A13D9F" w14:paraId="098C6CC3" w14:textId="725E1154">
            <w:pPr>
              <w:rPr>
                <w:sz w:val="22"/>
                <w:szCs w:val="22"/>
              </w:rPr>
            </w:pPr>
            <w:r w:rsidRPr="002E165B">
              <w:rPr>
                <w:sz w:val="22"/>
                <w:szCs w:val="22"/>
              </w:rPr>
              <w:t>WASHINGTON,</w:t>
            </w:r>
            <w:r w:rsidR="001C3DDE">
              <w:rPr>
                <w:sz w:val="22"/>
                <w:szCs w:val="22"/>
              </w:rPr>
              <w:t xml:space="preserve"> May 1</w:t>
            </w:r>
            <w:r w:rsidRPr="002E165B" w:rsidR="00065E2D">
              <w:rPr>
                <w:sz w:val="22"/>
                <w:szCs w:val="22"/>
              </w:rPr>
              <w:t>, 20</w:t>
            </w:r>
            <w:r w:rsidR="006D16EF">
              <w:rPr>
                <w:sz w:val="22"/>
                <w:szCs w:val="22"/>
              </w:rPr>
              <w:t>2</w:t>
            </w:r>
            <w:r w:rsidR="006E5FFB">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Pr="00B71C22" w:rsidR="00B71C22">
              <w:rPr>
                <w:sz w:val="22"/>
                <w:szCs w:val="22"/>
              </w:rPr>
              <w:t xml:space="preserve">proposed </w:t>
            </w:r>
            <w:r w:rsidRPr="000965A5" w:rsidR="000965A5">
              <w:rPr>
                <w:sz w:val="22"/>
                <w:szCs w:val="22"/>
              </w:rPr>
              <w:t>$8,778,527.39</w:t>
            </w:r>
            <w:r w:rsidR="000965A5">
              <w:rPr>
                <w:sz w:val="22"/>
                <w:szCs w:val="22"/>
              </w:rPr>
              <w:t xml:space="preserve"> </w:t>
            </w:r>
            <w:r w:rsidRPr="00B71C22" w:rsidR="00B71C22">
              <w:rPr>
                <w:sz w:val="22"/>
                <w:szCs w:val="22"/>
              </w:rPr>
              <w:t xml:space="preserve">in fines against </w:t>
            </w:r>
            <w:r w:rsidR="00B71C22">
              <w:rPr>
                <w:sz w:val="22"/>
                <w:szCs w:val="22"/>
              </w:rPr>
              <w:t>2</w:t>
            </w:r>
            <w:r w:rsidR="000965A5">
              <w:rPr>
                <w:sz w:val="22"/>
                <w:szCs w:val="22"/>
              </w:rPr>
              <w:t>2</w:t>
            </w:r>
            <w:r w:rsidRPr="00B71C22" w:rsidR="00B71C22">
              <w:rPr>
                <w:sz w:val="22"/>
                <w:szCs w:val="22"/>
              </w:rPr>
              <w:t xml:space="preserve"> applicants in the Rural Digital Opportunity Fund </w:t>
            </w:r>
            <w:r w:rsidR="007A3A00">
              <w:rPr>
                <w:sz w:val="22"/>
                <w:szCs w:val="22"/>
              </w:rPr>
              <w:t>Phase I A</w:t>
            </w:r>
            <w:r w:rsidRPr="00B71C22" w:rsidR="00B71C22">
              <w:rPr>
                <w:sz w:val="22"/>
                <w:szCs w:val="22"/>
              </w:rPr>
              <w:t xml:space="preserve">uction (Auction 904) for apparently violating Commission requirements by defaulting on their bids between </w:t>
            </w:r>
            <w:r w:rsidR="00B71C22">
              <w:rPr>
                <w:sz w:val="22"/>
                <w:szCs w:val="22"/>
              </w:rPr>
              <w:t>May 3, 2022 and December 16, 2022</w:t>
            </w:r>
            <w:r w:rsidR="00EE12BF">
              <w:rPr>
                <w:sz w:val="22"/>
                <w:szCs w:val="22"/>
              </w:rPr>
              <w:t xml:space="preserve">.  Two applicants also </w:t>
            </w:r>
            <w:r w:rsidRPr="000965A5" w:rsidR="000965A5">
              <w:rPr>
                <w:sz w:val="22"/>
                <w:szCs w:val="22"/>
              </w:rPr>
              <w:t>failed to submit their audited financial paperwork</w:t>
            </w:r>
            <w:r w:rsidR="00EE12BF">
              <w:rPr>
                <w:sz w:val="22"/>
                <w:szCs w:val="22"/>
              </w:rPr>
              <w:t xml:space="preserve">, resulting in an additional </w:t>
            </w:r>
            <w:r w:rsidR="008B0A29">
              <w:rPr>
                <w:sz w:val="22"/>
                <w:szCs w:val="22"/>
              </w:rPr>
              <w:t>monetary liability</w:t>
            </w:r>
            <w:r w:rsidR="00CC6B1A">
              <w:rPr>
                <w:sz w:val="22"/>
                <w:szCs w:val="22"/>
              </w:rPr>
              <w:t xml:space="preserve">.  </w:t>
            </w:r>
            <w:r w:rsidRPr="00B71C22" w:rsidR="00B71C22">
              <w:rPr>
                <w:sz w:val="22"/>
                <w:szCs w:val="22"/>
              </w:rPr>
              <w:t>The FCC provided clear guidance in its rules and notices on the monetary forfeitures associated with defaults in Auction 904.</w:t>
            </w:r>
            <w:r>
              <w:t xml:space="preserve"> </w:t>
            </w:r>
            <w:r w:rsidRPr="00A13D9F">
              <w:rPr>
                <w:sz w:val="22"/>
                <w:szCs w:val="22"/>
              </w:rPr>
              <w:t>The bid defaults prevented 2,994 census block groups in 31 states and an estimated 293,128 locations from receiving new investments in broadband infrastructure.</w:t>
            </w:r>
          </w:p>
          <w:p w:rsidR="00A13D9F" w:rsidP="00727002" w14:paraId="1AB3346B" w14:textId="1DCBA599">
            <w:pPr>
              <w:rPr>
                <w:sz w:val="22"/>
                <w:szCs w:val="22"/>
              </w:rPr>
            </w:pPr>
            <w:r>
              <w:rPr>
                <w:sz w:val="22"/>
                <w:szCs w:val="22"/>
              </w:rPr>
              <w:t xml:space="preserve">  </w:t>
            </w:r>
          </w:p>
          <w:p w:rsidR="00446B91" w:rsidP="00727002" w14:paraId="20C0B398" w14:textId="109C51C1">
            <w:pPr>
              <w:rPr>
                <w:sz w:val="22"/>
                <w:szCs w:val="22"/>
              </w:rPr>
            </w:pPr>
            <w:r w:rsidRPr="00446B91">
              <w:rPr>
                <w:sz w:val="22"/>
                <w:szCs w:val="22"/>
              </w:rPr>
              <w:t xml:space="preserve">“When the Commission set up this program, it set clear rules of the road to ensure that winning bidders would fulfill their promise to use this funding to build new broadband infrastructure,” </w:t>
            </w:r>
            <w:r w:rsidRPr="00446B91">
              <w:rPr>
                <w:b/>
                <w:bCs/>
                <w:sz w:val="22"/>
                <w:szCs w:val="22"/>
              </w:rPr>
              <w:t>said Chairwoman Rosenworcel</w:t>
            </w:r>
            <w:r w:rsidRPr="00446B91">
              <w:rPr>
                <w:sz w:val="22"/>
                <w:szCs w:val="22"/>
              </w:rPr>
              <w:t>.  “Not following the rules has consequences.  For those who failed to meet their obligations, today’s action shows the Commission takes seriously its commitment to hold applicants accountable and ensure the integrity of our universal service funding.”</w:t>
            </w:r>
          </w:p>
          <w:p w:rsidR="00850E26" w:rsidP="00727002" w14:paraId="50E05033" w14:textId="077247EC">
            <w:pPr>
              <w:rPr>
                <w:sz w:val="22"/>
                <w:szCs w:val="22"/>
              </w:rPr>
            </w:pPr>
          </w:p>
          <w:p w:rsidR="00357F7B" w:rsidP="002E165B" w14:paraId="60090733" w14:textId="6FAEAE01">
            <w:pPr>
              <w:rPr>
                <w:sz w:val="22"/>
                <w:szCs w:val="22"/>
              </w:rPr>
            </w:pPr>
            <w:r w:rsidRPr="003748D9">
              <w:rPr>
                <w:sz w:val="22"/>
                <w:szCs w:val="22"/>
              </w:rPr>
              <w:t>“</w:t>
            </w:r>
            <w:r w:rsidR="009F32EA">
              <w:rPr>
                <w:sz w:val="22"/>
                <w:szCs w:val="22"/>
              </w:rPr>
              <w:t>This enforcement action represents the second group of bidders we have pursued for failing to live up to their obligations</w:t>
            </w:r>
            <w:r w:rsidRPr="003748D9">
              <w:rPr>
                <w:sz w:val="22"/>
                <w:szCs w:val="22"/>
              </w:rPr>
              <w:t>,” said FCC Enforcement Bureau Chief, Loyaan A. Egal.  “</w:t>
            </w:r>
            <w:r w:rsidR="009F32EA">
              <w:rPr>
                <w:sz w:val="22"/>
                <w:szCs w:val="22"/>
              </w:rPr>
              <w:t>We will be steadfast in making sure that those who impede the timely deployment of broadband-related infrastructure are held to account.</w:t>
            </w:r>
            <w:r w:rsidRPr="003748D9">
              <w:rPr>
                <w:sz w:val="22"/>
                <w:szCs w:val="22"/>
              </w:rPr>
              <w:t>”</w:t>
            </w:r>
          </w:p>
          <w:p w:rsidR="00A03B28" w:rsidP="002E165B" w14:paraId="5CB3A6E0" w14:textId="77777777">
            <w:pPr>
              <w:rPr>
                <w:sz w:val="22"/>
                <w:szCs w:val="22"/>
              </w:rPr>
            </w:pPr>
          </w:p>
          <w:p w:rsidR="00040127" w:rsidRPr="002E165B" w:rsidP="002E165B" w14:paraId="48718500" w14:textId="76283604">
            <w:pPr>
              <w:rPr>
                <w:sz w:val="22"/>
                <w:szCs w:val="22"/>
              </w:rPr>
            </w:pPr>
            <w:r w:rsidRPr="00B6779D">
              <w:rPr>
                <w:sz w:val="22"/>
                <w:szCs w:val="22"/>
              </w:rPr>
              <w:t>The proposed action, formally called a Notice of Apparent Liability for Forfeiture, or NAL, advise</w:t>
            </w:r>
            <w:r w:rsidR="00EE12BF">
              <w:rPr>
                <w:sz w:val="22"/>
                <w:szCs w:val="22"/>
              </w:rPr>
              <w:t xml:space="preserve">s </w:t>
            </w:r>
            <w:r w:rsidRPr="00B6779D">
              <w:rPr>
                <w:sz w:val="22"/>
                <w:szCs w:val="22"/>
              </w:rPr>
              <w:t>part</w:t>
            </w:r>
            <w:r w:rsidR="00EE12BF">
              <w:rPr>
                <w:sz w:val="22"/>
                <w:szCs w:val="22"/>
              </w:rPr>
              <w:t xml:space="preserve">ies that they apparently violation the Commission’s rules and proposes a monetary penalty for violations.  </w:t>
            </w:r>
            <w:r w:rsidRPr="00B6779D">
              <w:rPr>
                <w:sz w:val="22"/>
                <w:szCs w:val="22"/>
              </w:rPr>
              <w:t>The Commission may not impose a greater monetary penalty in this case than the amount proposed in the NAL.  Neither the allegations nor the proposed sanctions in the NAL are final Commission actions.  The part</w:t>
            </w:r>
            <w:r w:rsidR="004C1EA8">
              <w:rPr>
                <w:sz w:val="22"/>
                <w:szCs w:val="22"/>
              </w:rPr>
              <w:t>ies</w:t>
            </w:r>
            <w:r w:rsidRPr="00B6779D">
              <w:rPr>
                <w:sz w:val="22"/>
                <w:szCs w:val="22"/>
              </w:rPr>
              <w:t xml:space="preserve"> </w:t>
            </w:r>
            <w:r w:rsidR="000702C2">
              <w:rPr>
                <w:sz w:val="22"/>
                <w:szCs w:val="22"/>
              </w:rPr>
              <w:t xml:space="preserve">named </w:t>
            </w:r>
            <w:r w:rsidRPr="00B6779D">
              <w:rPr>
                <w:sz w:val="22"/>
                <w:szCs w:val="22"/>
              </w:rPr>
              <w:t xml:space="preserve">will be given an opportunity to respond and the Commission will consider </w:t>
            </w:r>
            <w:r w:rsidR="004C1EA8">
              <w:rPr>
                <w:sz w:val="22"/>
                <w:szCs w:val="22"/>
              </w:rPr>
              <w:t>each</w:t>
            </w:r>
            <w:r w:rsidRPr="00B6779D" w:rsidR="004C1EA8">
              <w:rPr>
                <w:sz w:val="22"/>
                <w:szCs w:val="22"/>
              </w:rPr>
              <w:t xml:space="preserve"> </w:t>
            </w:r>
            <w:r w:rsidR="00B00A2B">
              <w:rPr>
                <w:sz w:val="22"/>
                <w:szCs w:val="22"/>
              </w:rPr>
              <w:t>part</w:t>
            </w:r>
            <w:r w:rsidR="000702C2">
              <w:rPr>
                <w:sz w:val="22"/>
                <w:szCs w:val="22"/>
              </w:rPr>
              <w:t>y</w:t>
            </w:r>
            <w:r w:rsidR="00B00A2B">
              <w:rPr>
                <w:sz w:val="22"/>
                <w:szCs w:val="22"/>
              </w:rPr>
              <w:t>’</w:t>
            </w:r>
            <w:r w:rsidR="000702C2">
              <w:rPr>
                <w:sz w:val="22"/>
                <w:szCs w:val="22"/>
              </w:rPr>
              <w:t>s</w:t>
            </w:r>
            <w:r w:rsidRPr="00B6779D">
              <w:rPr>
                <w:sz w:val="22"/>
                <w:szCs w:val="22"/>
              </w:rPr>
              <w:t xml:space="preserve"> submission of evidence and legal arguments before acting further to resolve the matter.</w:t>
            </w:r>
          </w:p>
          <w:p w:rsidR="00BD19E8" w:rsidRPr="002E165B" w:rsidP="002E165B" w14:paraId="46082DFC" w14:textId="77777777">
            <w:pPr>
              <w:rPr>
                <w:sz w:val="22"/>
                <w:szCs w:val="22"/>
              </w:rPr>
            </w:pPr>
          </w:p>
          <w:p w:rsidR="004F0F1F" w:rsidRPr="007475A1" w:rsidP="00850E26" w14:paraId="42D90659" w14:textId="77777777">
            <w:pPr>
              <w:ind w:right="72"/>
              <w:jc w:val="center"/>
              <w:rPr>
                <w:sz w:val="22"/>
                <w:szCs w:val="22"/>
              </w:rPr>
            </w:pPr>
            <w:r w:rsidRPr="007475A1">
              <w:rPr>
                <w:sz w:val="22"/>
                <w:szCs w:val="22"/>
              </w:rPr>
              <w:t>###</w:t>
            </w:r>
          </w:p>
          <w:p w:rsidR="00CC5E08" w:rsidRPr="0080486B" w:rsidP="00850E26" w14:paraId="1AD54A1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883252" w14:textId="77777777">
            <w:pPr>
              <w:ind w:right="72"/>
              <w:jc w:val="center"/>
              <w:rPr>
                <w:b/>
                <w:bCs/>
                <w:sz w:val="18"/>
                <w:szCs w:val="18"/>
              </w:rPr>
            </w:pPr>
          </w:p>
          <w:p w:rsidR="00EE0E90" w:rsidRPr="00EF729B" w:rsidP="00850E26" w14:paraId="1AFF1EB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C886DB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C9"/>
    <w:rsid w:val="00014357"/>
    <w:rsid w:val="0002500C"/>
    <w:rsid w:val="000311FC"/>
    <w:rsid w:val="00040127"/>
    <w:rsid w:val="00065E2D"/>
    <w:rsid w:val="000702C2"/>
    <w:rsid w:val="00081232"/>
    <w:rsid w:val="00091E65"/>
    <w:rsid w:val="000965A5"/>
    <w:rsid w:val="00096D4A"/>
    <w:rsid w:val="000A38EA"/>
    <w:rsid w:val="000C1E47"/>
    <w:rsid w:val="000C26F3"/>
    <w:rsid w:val="000E049E"/>
    <w:rsid w:val="000F1988"/>
    <w:rsid w:val="0010799B"/>
    <w:rsid w:val="00117DB2"/>
    <w:rsid w:val="00123ED2"/>
    <w:rsid w:val="00125BE0"/>
    <w:rsid w:val="00142C13"/>
    <w:rsid w:val="00152776"/>
    <w:rsid w:val="00153222"/>
    <w:rsid w:val="001577D3"/>
    <w:rsid w:val="001733A6"/>
    <w:rsid w:val="00183B58"/>
    <w:rsid w:val="001865A9"/>
    <w:rsid w:val="00187DB2"/>
    <w:rsid w:val="001B20BB"/>
    <w:rsid w:val="001C3DDE"/>
    <w:rsid w:val="001C4370"/>
    <w:rsid w:val="001C5685"/>
    <w:rsid w:val="001D3779"/>
    <w:rsid w:val="001F0469"/>
    <w:rsid w:val="00203A98"/>
    <w:rsid w:val="00206EDD"/>
    <w:rsid w:val="0021247E"/>
    <w:rsid w:val="002146F6"/>
    <w:rsid w:val="00231C32"/>
    <w:rsid w:val="00240345"/>
    <w:rsid w:val="002421F0"/>
    <w:rsid w:val="00247274"/>
    <w:rsid w:val="002573A4"/>
    <w:rsid w:val="00266966"/>
    <w:rsid w:val="00285C36"/>
    <w:rsid w:val="00294C0C"/>
    <w:rsid w:val="002A0934"/>
    <w:rsid w:val="002B1013"/>
    <w:rsid w:val="002D03E5"/>
    <w:rsid w:val="002E165B"/>
    <w:rsid w:val="002E1C9D"/>
    <w:rsid w:val="002E3F1D"/>
    <w:rsid w:val="002F31D0"/>
    <w:rsid w:val="00300359"/>
    <w:rsid w:val="0031773E"/>
    <w:rsid w:val="00333871"/>
    <w:rsid w:val="00347716"/>
    <w:rsid w:val="003506E1"/>
    <w:rsid w:val="00357F7B"/>
    <w:rsid w:val="003727E3"/>
    <w:rsid w:val="003748D9"/>
    <w:rsid w:val="00385A93"/>
    <w:rsid w:val="003910F1"/>
    <w:rsid w:val="003E42FC"/>
    <w:rsid w:val="003E5991"/>
    <w:rsid w:val="003F344A"/>
    <w:rsid w:val="00403FF0"/>
    <w:rsid w:val="0042046D"/>
    <w:rsid w:val="0042116E"/>
    <w:rsid w:val="00425AEF"/>
    <w:rsid w:val="00426518"/>
    <w:rsid w:val="00427B06"/>
    <w:rsid w:val="00427C02"/>
    <w:rsid w:val="004332BC"/>
    <w:rsid w:val="00441F59"/>
    <w:rsid w:val="00444E07"/>
    <w:rsid w:val="00444FA9"/>
    <w:rsid w:val="00446B91"/>
    <w:rsid w:val="00473E9C"/>
    <w:rsid w:val="00480099"/>
    <w:rsid w:val="00487E4F"/>
    <w:rsid w:val="004941A2"/>
    <w:rsid w:val="00497858"/>
    <w:rsid w:val="004A110F"/>
    <w:rsid w:val="004A729A"/>
    <w:rsid w:val="004B4FEA"/>
    <w:rsid w:val="004C0ADA"/>
    <w:rsid w:val="004C1EA8"/>
    <w:rsid w:val="004C433E"/>
    <w:rsid w:val="004C4512"/>
    <w:rsid w:val="004C4F36"/>
    <w:rsid w:val="004D3D85"/>
    <w:rsid w:val="004E2BD8"/>
    <w:rsid w:val="004F0F1F"/>
    <w:rsid w:val="005022AA"/>
    <w:rsid w:val="00504845"/>
    <w:rsid w:val="0050757F"/>
    <w:rsid w:val="00516AD2"/>
    <w:rsid w:val="00545DAE"/>
    <w:rsid w:val="00562826"/>
    <w:rsid w:val="00571B83"/>
    <w:rsid w:val="00575A00"/>
    <w:rsid w:val="00586417"/>
    <w:rsid w:val="0058673C"/>
    <w:rsid w:val="005A6A6B"/>
    <w:rsid w:val="005A7972"/>
    <w:rsid w:val="005B17E7"/>
    <w:rsid w:val="005B2643"/>
    <w:rsid w:val="005D17FD"/>
    <w:rsid w:val="005E736C"/>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5E70"/>
    <w:rsid w:val="006A2FC5"/>
    <w:rsid w:val="006A7D75"/>
    <w:rsid w:val="006B0A70"/>
    <w:rsid w:val="006B606A"/>
    <w:rsid w:val="006C33AF"/>
    <w:rsid w:val="006D16EF"/>
    <w:rsid w:val="006D5D22"/>
    <w:rsid w:val="006E0324"/>
    <w:rsid w:val="006E4A76"/>
    <w:rsid w:val="006E5FFB"/>
    <w:rsid w:val="006F1DBD"/>
    <w:rsid w:val="00700556"/>
    <w:rsid w:val="0070313E"/>
    <w:rsid w:val="0070589A"/>
    <w:rsid w:val="007167DD"/>
    <w:rsid w:val="0072478B"/>
    <w:rsid w:val="00727002"/>
    <w:rsid w:val="0073414D"/>
    <w:rsid w:val="007475A1"/>
    <w:rsid w:val="0075235E"/>
    <w:rsid w:val="007528A5"/>
    <w:rsid w:val="007732CC"/>
    <w:rsid w:val="00774079"/>
    <w:rsid w:val="0077752B"/>
    <w:rsid w:val="00793D6F"/>
    <w:rsid w:val="00794090"/>
    <w:rsid w:val="007A3A00"/>
    <w:rsid w:val="007A44F8"/>
    <w:rsid w:val="007C1C3F"/>
    <w:rsid w:val="007D21BF"/>
    <w:rsid w:val="007F3C12"/>
    <w:rsid w:val="007F5205"/>
    <w:rsid w:val="0080486B"/>
    <w:rsid w:val="008114D9"/>
    <w:rsid w:val="008215E7"/>
    <w:rsid w:val="00826DA7"/>
    <w:rsid w:val="00830FC6"/>
    <w:rsid w:val="00850E26"/>
    <w:rsid w:val="00865EAA"/>
    <w:rsid w:val="00866F06"/>
    <w:rsid w:val="008728F5"/>
    <w:rsid w:val="008824C2"/>
    <w:rsid w:val="008960E4"/>
    <w:rsid w:val="008A3940"/>
    <w:rsid w:val="008B0A29"/>
    <w:rsid w:val="008B13C9"/>
    <w:rsid w:val="008C248C"/>
    <w:rsid w:val="008C5432"/>
    <w:rsid w:val="008C7BF1"/>
    <w:rsid w:val="008D00D6"/>
    <w:rsid w:val="008D411F"/>
    <w:rsid w:val="008D4D00"/>
    <w:rsid w:val="008D4E5E"/>
    <w:rsid w:val="008D7ABD"/>
    <w:rsid w:val="008E55A2"/>
    <w:rsid w:val="008F1609"/>
    <w:rsid w:val="008F78D8"/>
    <w:rsid w:val="00923114"/>
    <w:rsid w:val="0093373C"/>
    <w:rsid w:val="0093426E"/>
    <w:rsid w:val="00961620"/>
    <w:rsid w:val="009734B6"/>
    <w:rsid w:val="0098096F"/>
    <w:rsid w:val="0098437A"/>
    <w:rsid w:val="00986C92"/>
    <w:rsid w:val="00993C47"/>
    <w:rsid w:val="009972BC"/>
    <w:rsid w:val="009A5E30"/>
    <w:rsid w:val="009B1C49"/>
    <w:rsid w:val="009B4B16"/>
    <w:rsid w:val="009E54A1"/>
    <w:rsid w:val="009F32EA"/>
    <w:rsid w:val="009F4E25"/>
    <w:rsid w:val="009F561F"/>
    <w:rsid w:val="009F5B1F"/>
    <w:rsid w:val="00A03B28"/>
    <w:rsid w:val="00A13565"/>
    <w:rsid w:val="00A13D9F"/>
    <w:rsid w:val="00A225A9"/>
    <w:rsid w:val="00A3308E"/>
    <w:rsid w:val="00A35DFD"/>
    <w:rsid w:val="00A51EB5"/>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0A2B"/>
    <w:rsid w:val="00B037A2"/>
    <w:rsid w:val="00B31870"/>
    <w:rsid w:val="00B320B8"/>
    <w:rsid w:val="00B35EE2"/>
    <w:rsid w:val="00B36DEF"/>
    <w:rsid w:val="00B36F0D"/>
    <w:rsid w:val="00B53CD6"/>
    <w:rsid w:val="00B57131"/>
    <w:rsid w:val="00B62F2C"/>
    <w:rsid w:val="00B659CB"/>
    <w:rsid w:val="00B6779D"/>
    <w:rsid w:val="00B71C22"/>
    <w:rsid w:val="00B727C9"/>
    <w:rsid w:val="00B735C8"/>
    <w:rsid w:val="00B76A63"/>
    <w:rsid w:val="00B90E85"/>
    <w:rsid w:val="00B975B9"/>
    <w:rsid w:val="00BA6350"/>
    <w:rsid w:val="00BB4E29"/>
    <w:rsid w:val="00BB74C9"/>
    <w:rsid w:val="00BC3AB6"/>
    <w:rsid w:val="00BD19E8"/>
    <w:rsid w:val="00BD4273"/>
    <w:rsid w:val="00C02160"/>
    <w:rsid w:val="00C31ED8"/>
    <w:rsid w:val="00C432E4"/>
    <w:rsid w:val="00C70C26"/>
    <w:rsid w:val="00C72001"/>
    <w:rsid w:val="00C772B7"/>
    <w:rsid w:val="00C80347"/>
    <w:rsid w:val="00CB24D2"/>
    <w:rsid w:val="00CB7C1A"/>
    <w:rsid w:val="00CC53BE"/>
    <w:rsid w:val="00CC5E08"/>
    <w:rsid w:val="00CC6B1A"/>
    <w:rsid w:val="00CE14FD"/>
    <w:rsid w:val="00CE1EF6"/>
    <w:rsid w:val="00CE42A5"/>
    <w:rsid w:val="00CF6860"/>
    <w:rsid w:val="00D02AC6"/>
    <w:rsid w:val="00D03F0C"/>
    <w:rsid w:val="00D04312"/>
    <w:rsid w:val="00D16A7F"/>
    <w:rsid w:val="00D16AD2"/>
    <w:rsid w:val="00D22596"/>
    <w:rsid w:val="00D22691"/>
    <w:rsid w:val="00D24C3D"/>
    <w:rsid w:val="00D46CB1"/>
    <w:rsid w:val="00D573B6"/>
    <w:rsid w:val="00D723F0"/>
    <w:rsid w:val="00D73BF5"/>
    <w:rsid w:val="00D8133F"/>
    <w:rsid w:val="00D8512F"/>
    <w:rsid w:val="00D861EE"/>
    <w:rsid w:val="00D876C9"/>
    <w:rsid w:val="00D95B05"/>
    <w:rsid w:val="00D97079"/>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7E83"/>
    <w:rsid w:val="00EA1A76"/>
    <w:rsid w:val="00EA290B"/>
    <w:rsid w:val="00EA40B4"/>
    <w:rsid w:val="00EC44B5"/>
    <w:rsid w:val="00EE0E90"/>
    <w:rsid w:val="00EE12BF"/>
    <w:rsid w:val="00EF3BCA"/>
    <w:rsid w:val="00EF729B"/>
    <w:rsid w:val="00F01B0D"/>
    <w:rsid w:val="00F0327D"/>
    <w:rsid w:val="00F1238F"/>
    <w:rsid w:val="00F16485"/>
    <w:rsid w:val="00F228ED"/>
    <w:rsid w:val="00F26E31"/>
    <w:rsid w:val="00F27C6C"/>
    <w:rsid w:val="00F34A8D"/>
    <w:rsid w:val="00F353DF"/>
    <w:rsid w:val="00F50D25"/>
    <w:rsid w:val="00F535D8"/>
    <w:rsid w:val="00F57E52"/>
    <w:rsid w:val="00F61155"/>
    <w:rsid w:val="00F708E3"/>
    <w:rsid w:val="00F76561"/>
    <w:rsid w:val="00F84736"/>
    <w:rsid w:val="00FB64E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48600F"/>
  <w15:docId w15:val="{7CCE55F8-E83A-4F12-B4DF-FCFF989B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562826"/>
    <w:rPr>
      <w:sz w:val="24"/>
      <w:szCs w:val="24"/>
    </w:rPr>
  </w:style>
  <w:style w:type="character" w:styleId="CommentReference">
    <w:name w:val="annotation reference"/>
    <w:basedOn w:val="DefaultParagraphFont"/>
    <w:semiHidden/>
    <w:unhideWhenUsed/>
    <w:rsid w:val="004C1EA8"/>
    <w:rPr>
      <w:sz w:val="16"/>
      <w:szCs w:val="16"/>
    </w:rPr>
  </w:style>
  <w:style w:type="paragraph" w:styleId="CommentText">
    <w:name w:val="annotation text"/>
    <w:basedOn w:val="Normal"/>
    <w:link w:val="CommentTextChar"/>
    <w:unhideWhenUsed/>
    <w:rsid w:val="004C1EA8"/>
    <w:rPr>
      <w:sz w:val="20"/>
      <w:szCs w:val="20"/>
    </w:rPr>
  </w:style>
  <w:style w:type="character" w:customStyle="1" w:styleId="CommentTextChar">
    <w:name w:val="Comment Text Char"/>
    <w:basedOn w:val="DefaultParagraphFont"/>
    <w:link w:val="CommentText"/>
    <w:rsid w:val="004C1EA8"/>
  </w:style>
  <w:style w:type="paragraph" w:styleId="CommentSubject">
    <w:name w:val="annotation subject"/>
    <w:basedOn w:val="CommentText"/>
    <w:next w:val="CommentText"/>
    <w:link w:val="CommentSubjectChar"/>
    <w:semiHidden/>
    <w:unhideWhenUsed/>
    <w:rsid w:val="004C1EA8"/>
    <w:rPr>
      <w:b/>
      <w:bCs/>
    </w:rPr>
  </w:style>
  <w:style w:type="character" w:customStyle="1" w:styleId="CommentSubjectChar">
    <w:name w:val="Comment Subject Char"/>
    <w:basedOn w:val="CommentTextChar"/>
    <w:link w:val="CommentSubject"/>
    <w:semiHidden/>
    <w:rsid w:val="004C1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