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F0135" w14:paraId="41506725" w14:textId="77777777">
      <w:pPr>
        <w:jc w:val="center"/>
        <w:rPr>
          <w:b/>
          <w:snapToGrid/>
        </w:rPr>
      </w:pPr>
      <w:r>
        <w:rPr>
          <w:b/>
        </w:rPr>
        <w:t>Before the</w:t>
      </w:r>
    </w:p>
    <w:p w:rsidR="00FF0135" w14:paraId="4491C80A" w14:textId="77777777">
      <w:pPr>
        <w:jc w:val="center"/>
        <w:rPr>
          <w:b/>
        </w:rPr>
      </w:pPr>
      <w:r>
        <w:rPr>
          <w:b/>
        </w:rPr>
        <w:t>Federal Communications Commission</w:t>
      </w:r>
    </w:p>
    <w:p w:rsidR="00FF0135" w14:paraId="27B3FA0E" w14:textId="77777777">
      <w:pPr>
        <w:jc w:val="center"/>
        <w:rPr>
          <w:b/>
        </w:rPr>
      </w:pPr>
      <w:r>
        <w:rPr>
          <w:b/>
        </w:rPr>
        <w:t>Washington, D.C. 20554</w:t>
      </w:r>
    </w:p>
    <w:p w:rsidR="00FF0135" w14:paraId="3E8CBD6F" w14:textId="77777777"/>
    <w:p w:rsidR="00FF0135" w14:paraId="384C16B4" w14:textId="77777777"/>
    <w:tbl>
      <w:tblPr>
        <w:tblW w:w="0" w:type="auto"/>
        <w:tblLayout w:type="fixed"/>
        <w:tblLook w:val="04A0"/>
      </w:tblPr>
      <w:tblGrid>
        <w:gridCol w:w="4698"/>
        <w:gridCol w:w="720"/>
        <w:gridCol w:w="4230"/>
      </w:tblGrid>
      <w:tr w14:paraId="5B501D3D" w14:textId="77777777">
        <w:tblPrEx>
          <w:tblW w:w="0" w:type="auto"/>
          <w:tblLayout w:type="fixed"/>
          <w:tblLook w:val="04A0"/>
        </w:tblPrEx>
        <w:tc>
          <w:tcPr>
            <w:tcW w:w="4698" w:type="dxa"/>
          </w:tcPr>
          <w:p w:rsidR="00FF0135" w14:paraId="5A0FC6E3" w14:textId="77777777">
            <w:pPr>
              <w:ind w:right="-18"/>
            </w:pPr>
            <w:r>
              <w:t>In the Matter of</w:t>
            </w:r>
          </w:p>
          <w:p w:rsidR="00FF0135" w14:paraId="2A4DE7F4" w14:textId="77777777">
            <w:pPr>
              <w:ind w:right="-18"/>
            </w:pPr>
          </w:p>
          <w:p w:rsidR="00FF0135" w14:paraId="4F582A5C" w14:textId="77777777">
            <w:pPr>
              <w:ind w:right="-18"/>
            </w:pPr>
            <w:r>
              <w:t xml:space="preserve">The </w:t>
            </w:r>
            <w:r>
              <w:t>Uniendo</w:t>
            </w:r>
            <w:r>
              <w:t xml:space="preserve"> a Puerto Rico Fund and the Connect USVI Fund Connect America Fund</w:t>
            </w:r>
          </w:p>
          <w:p w:rsidR="00EE3EE9" w14:paraId="2161EAD1" w14:textId="77777777">
            <w:pPr>
              <w:ind w:right="-18"/>
            </w:pPr>
          </w:p>
          <w:p w:rsidR="00EE3EE9" w14:paraId="09C84E4A" w14:textId="6ECC7BD1">
            <w:pPr>
              <w:ind w:right="-18"/>
            </w:pPr>
            <w:r>
              <w:t>Connect America Fund</w:t>
            </w:r>
          </w:p>
        </w:tc>
        <w:tc>
          <w:tcPr>
            <w:tcW w:w="720" w:type="dxa"/>
          </w:tcPr>
          <w:p w:rsidR="00FF0135" w14:paraId="64702DC5" w14:textId="77777777">
            <w:pPr>
              <w:rPr>
                <w:b/>
              </w:rPr>
            </w:pPr>
            <w:r>
              <w:rPr>
                <w:b/>
              </w:rPr>
              <w:t>)</w:t>
            </w:r>
          </w:p>
          <w:p w:rsidR="00FF0135" w14:paraId="3E98C3F2" w14:textId="77777777">
            <w:pPr>
              <w:rPr>
                <w:b/>
              </w:rPr>
            </w:pPr>
            <w:r>
              <w:rPr>
                <w:b/>
              </w:rPr>
              <w:t>)</w:t>
            </w:r>
          </w:p>
          <w:p w:rsidR="00FF0135" w14:paraId="05A1EB8A" w14:textId="77777777">
            <w:pPr>
              <w:rPr>
                <w:b/>
              </w:rPr>
            </w:pPr>
            <w:r>
              <w:rPr>
                <w:b/>
              </w:rPr>
              <w:t>)</w:t>
            </w:r>
          </w:p>
          <w:p w:rsidR="00FF0135" w14:paraId="2FD5D1B2" w14:textId="77777777">
            <w:pPr>
              <w:rPr>
                <w:b/>
              </w:rPr>
            </w:pPr>
            <w:r>
              <w:rPr>
                <w:b/>
              </w:rPr>
              <w:t>)</w:t>
            </w:r>
          </w:p>
          <w:p w:rsidR="00FF0135" w14:paraId="38DA54DC" w14:textId="77777777">
            <w:pPr>
              <w:rPr>
                <w:b/>
              </w:rPr>
            </w:pPr>
            <w:r>
              <w:rPr>
                <w:b/>
              </w:rPr>
              <w:t>)</w:t>
            </w:r>
          </w:p>
          <w:p w:rsidR="00FF0135" w14:paraId="445F4CE1" w14:textId="07C3D979">
            <w:pPr>
              <w:rPr>
                <w:b/>
              </w:rPr>
            </w:pPr>
            <w:r>
              <w:rPr>
                <w:b/>
              </w:rPr>
              <w:t>)</w:t>
            </w:r>
          </w:p>
          <w:p w:rsidR="00FF0135" w14:paraId="17152231" w14:textId="77777777">
            <w:pPr>
              <w:rPr>
                <w:b/>
              </w:rPr>
            </w:pPr>
          </w:p>
        </w:tc>
        <w:tc>
          <w:tcPr>
            <w:tcW w:w="4230" w:type="dxa"/>
          </w:tcPr>
          <w:p w:rsidR="00FF0135" w14:paraId="20CD6C19" w14:textId="77777777"/>
          <w:p w:rsidR="00FF0135" w14:paraId="03B8BAB3" w14:textId="77777777"/>
          <w:p w:rsidR="00FF0135" w14:paraId="60DF20AB" w14:textId="7175C3A0">
            <w:r>
              <w:t>WC Docket No. 18-143</w:t>
            </w:r>
          </w:p>
          <w:p w:rsidR="00FF0135" w14:paraId="75AFF0AD" w14:textId="77777777">
            <w:pPr>
              <w:rPr>
                <w:b/>
              </w:rPr>
            </w:pPr>
          </w:p>
          <w:p w:rsidR="00EE3EE9" w14:paraId="1A60F14C" w14:textId="77777777">
            <w:pPr>
              <w:rPr>
                <w:b/>
              </w:rPr>
            </w:pPr>
          </w:p>
          <w:p w:rsidR="00EE3EE9" w:rsidRPr="00EE3EE9" w14:paraId="6AF53070" w14:textId="3DDFB6E6">
            <w:pPr>
              <w:rPr>
                <w:bCs/>
              </w:rPr>
            </w:pPr>
            <w:r w:rsidRPr="00EE3EE9">
              <w:rPr>
                <w:bCs/>
              </w:rPr>
              <w:t>WC Docket No. 10-90</w:t>
            </w:r>
          </w:p>
        </w:tc>
      </w:tr>
    </w:tbl>
    <w:p w:rsidR="00EE3EE9" w:rsidP="00E641C1" w14:paraId="3CD74881" w14:textId="77777777"/>
    <w:p w:rsidR="00FF0135" w:rsidP="00E641C1" w14:paraId="3474A9FA" w14:textId="2951A943">
      <w:pPr>
        <w:spacing w:after="120"/>
        <w:jc w:val="center"/>
        <w:rPr>
          <w:b/>
          <w:spacing w:val="-2"/>
        </w:rPr>
      </w:pPr>
      <w:r>
        <w:rPr>
          <w:b/>
          <w:spacing w:val="-2"/>
        </w:rPr>
        <w:t>ERRATUM</w:t>
      </w:r>
    </w:p>
    <w:p w:rsidR="00FF0135" w:rsidP="00E641C1" w14:paraId="5AF8AE15" w14:textId="3B1B16CD">
      <w:pPr>
        <w:spacing w:after="120"/>
        <w:jc w:val="right"/>
        <w:rPr>
          <w:b/>
        </w:rPr>
      </w:pPr>
      <w:r>
        <w:rPr>
          <w:b/>
        </w:rPr>
        <w:t xml:space="preserve">Released:  </w:t>
      </w:r>
      <w:r w:rsidR="00E94742">
        <w:rPr>
          <w:b/>
        </w:rPr>
        <w:t>May</w:t>
      </w:r>
      <w:r w:rsidR="00710B2F">
        <w:rPr>
          <w:b/>
        </w:rPr>
        <w:t xml:space="preserve"> </w:t>
      </w:r>
      <w:r w:rsidR="00E94742">
        <w:rPr>
          <w:b/>
        </w:rPr>
        <w:t>2</w:t>
      </w:r>
      <w:r w:rsidR="00710B2F">
        <w:rPr>
          <w:b/>
        </w:rPr>
        <w:t>, 2023</w:t>
      </w:r>
    </w:p>
    <w:p w:rsidR="00FF0135" w:rsidP="00E641C1" w14:paraId="2B396355" w14:textId="0929C22C">
      <w:pPr>
        <w:tabs>
          <w:tab w:val="left" w:pos="5760"/>
        </w:tabs>
        <w:spacing w:after="120"/>
      </w:pPr>
      <w:r>
        <w:t xml:space="preserve">By the </w:t>
      </w:r>
      <w:r w:rsidR="00EE3EE9">
        <w:t>Chief, Wireline Competition Bureau:</w:t>
      </w:r>
    </w:p>
    <w:p w:rsidR="00FF0135" w:rsidP="00E641C1" w14:paraId="66FB0A43" w14:textId="19467E2F">
      <w:pPr>
        <w:pStyle w:val="ParaNum"/>
        <w:numPr>
          <w:ilvl w:val="0"/>
          <w:numId w:val="0"/>
        </w:numPr>
        <w:ind w:firstLine="720"/>
      </w:pPr>
      <w:r>
        <w:t xml:space="preserve">On </w:t>
      </w:r>
      <w:r w:rsidR="00EE3EE9">
        <w:t>April 19, 2023</w:t>
      </w:r>
      <w:r>
        <w:t>, th</w:t>
      </w:r>
      <w:r w:rsidR="00EE3EE9">
        <w:t>e Commission</w:t>
      </w:r>
      <w:r>
        <w:t xml:space="preserve"> released a </w:t>
      </w:r>
      <w:r w:rsidRPr="00EE3EE9" w:rsidR="00EE3EE9">
        <w:rPr>
          <w:i/>
          <w:iCs/>
        </w:rPr>
        <w:t>Report and Order and Order on Review</w:t>
      </w:r>
      <w:r w:rsidR="00EE3EE9">
        <w:rPr>
          <w:iCs/>
        </w:rPr>
        <w:t>, FCC 23-32</w:t>
      </w:r>
      <w:r>
        <w:t xml:space="preserve">, in the above captioned proceeding.  This Erratum </w:t>
      </w:r>
      <w:r w:rsidR="00EE3EE9">
        <w:t xml:space="preserve">amends </w:t>
      </w:r>
      <w:r w:rsidR="00E94742">
        <w:t>s</w:t>
      </w:r>
      <w:r w:rsidR="00B406DB">
        <w:t xml:space="preserve">ection 54.313 </w:t>
      </w:r>
      <w:r w:rsidR="00EF31FC">
        <w:t xml:space="preserve">in </w:t>
      </w:r>
      <w:r w:rsidR="00EE3EE9">
        <w:t xml:space="preserve">Appendix A of </w:t>
      </w:r>
      <w:r w:rsidR="00EF31FC">
        <w:t xml:space="preserve">the </w:t>
      </w:r>
      <w:r w:rsidRPr="00EE3EE9" w:rsidR="00EF31FC">
        <w:rPr>
          <w:i/>
          <w:iCs/>
        </w:rPr>
        <w:t>Report and Order and Order on Review</w:t>
      </w:r>
      <w:r w:rsidR="00EF31FC">
        <w:t xml:space="preserve"> </w:t>
      </w:r>
      <w:r w:rsidR="00EE3EE9">
        <w:t>as indicated below:</w:t>
      </w:r>
      <w:r>
        <w:rPr>
          <w:rStyle w:val="FootnoteReference"/>
        </w:rPr>
        <w:footnoteReference w:id="3"/>
      </w:r>
    </w:p>
    <w:p w:rsidR="00D45165" w:rsidP="00E641C1" w14:paraId="3FA4BB5A" w14:textId="0D2B0F14">
      <w:pPr>
        <w:pStyle w:val="ParaNum"/>
        <w:numPr>
          <w:ilvl w:val="0"/>
          <w:numId w:val="8"/>
        </w:numPr>
        <w:ind w:left="0" w:firstLine="360"/>
      </w:pPr>
      <w:r>
        <w:t>In p</w:t>
      </w:r>
      <w:r w:rsidR="00EE3EE9">
        <w:t>aragraph 2</w:t>
      </w:r>
      <w:r w:rsidR="006B3B29">
        <w:t>, the amendatory text</w:t>
      </w:r>
      <w:r>
        <w:t xml:space="preserve"> is corrected </w:t>
      </w:r>
      <w:r w:rsidR="00EE3EE9">
        <w:t xml:space="preserve">to read as follows: </w:t>
      </w:r>
    </w:p>
    <w:p w:rsidR="00EE3EE9" w:rsidP="00E641C1" w14:paraId="7ADC3234" w14:textId="2E74540A">
      <w:pPr>
        <w:pStyle w:val="ParaNum"/>
        <w:numPr>
          <w:ilvl w:val="0"/>
          <w:numId w:val="0"/>
        </w:numPr>
        <w:ind w:left="720" w:firstLine="360"/>
      </w:pPr>
      <w:r>
        <w:t>“Amend section 54.313 by revising paragraphs (c)</w:t>
      </w:r>
      <w:r w:rsidR="00F576C5">
        <w:t xml:space="preserve">, </w:t>
      </w:r>
      <w:r>
        <w:t>(</w:t>
      </w:r>
      <w:r w:rsidR="00853195">
        <w:t>c</w:t>
      </w:r>
      <w:r>
        <w:t>)</w:t>
      </w:r>
      <w:r w:rsidR="00853195">
        <w:t>(4)</w:t>
      </w:r>
      <w:r w:rsidR="00F576C5">
        <w:t xml:space="preserve"> and (o)</w:t>
      </w:r>
      <w:r w:rsidR="0059716B">
        <w:t>,</w:t>
      </w:r>
      <w:r>
        <w:t xml:space="preserve"> </w:t>
      </w:r>
      <w:r w:rsidR="00F75914">
        <w:t xml:space="preserve">adding and </w:t>
      </w:r>
      <w:r w:rsidR="00AF491A">
        <w:t xml:space="preserve">reserving </w:t>
      </w:r>
      <w:r w:rsidR="00202137">
        <w:t>paragraph (p)</w:t>
      </w:r>
      <w:r w:rsidR="0059716B">
        <w:t>,</w:t>
      </w:r>
      <w:r w:rsidR="00202137">
        <w:t xml:space="preserve"> </w:t>
      </w:r>
      <w:r>
        <w:t>and adding paragraph (</w:t>
      </w:r>
      <w:r w:rsidR="00042B53">
        <w:t>q</w:t>
      </w:r>
      <w:r>
        <w:t>) to read as follows:”</w:t>
      </w:r>
    </w:p>
    <w:p w:rsidR="00EE3EE9" w:rsidP="00E641C1" w14:paraId="0A969DAE" w14:textId="47EE3C72">
      <w:pPr>
        <w:pStyle w:val="ParaNum"/>
        <w:numPr>
          <w:ilvl w:val="0"/>
          <w:numId w:val="8"/>
        </w:numPr>
        <w:ind w:left="0" w:firstLine="360"/>
      </w:pPr>
      <w:r>
        <w:t xml:space="preserve">Paragraph (n) is </w:t>
      </w:r>
      <w:r>
        <w:t>delete</w:t>
      </w:r>
      <w:r>
        <w:t>d</w:t>
      </w:r>
      <w:r w:rsidR="002F24C7">
        <w:t>.</w:t>
      </w:r>
    </w:p>
    <w:p w:rsidR="00EE3EE9" w:rsidP="00E641C1" w14:paraId="49E72B1C" w14:textId="1991B483">
      <w:pPr>
        <w:pStyle w:val="ParaNum"/>
        <w:numPr>
          <w:ilvl w:val="0"/>
          <w:numId w:val="8"/>
        </w:numPr>
        <w:ind w:left="0" w:firstLine="360"/>
      </w:pPr>
      <w:r>
        <w:t>Below</w:t>
      </w:r>
      <w:r>
        <w:t xml:space="preserve"> paragraph (o), </w:t>
      </w:r>
      <w:r w:rsidR="00E94742">
        <w:t>the 3 asterisks “* * *” are replaced with new</w:t>
      </w:r>
      <w:r w:rsidR="00D317D8">
        <w:t xml:space="preserve"> paragraph</w:t>
      </w:r>
      <w:r w:rsidR="00F467ED">
        <w:t>s (p) and</w:t>
      </w:r>
      <w:r w:rsidR="00D317D8">
        <w:t xml:space="preserve"> (q) </w:t>
      </w:r>
      <w:r>
        <w:t>to read as follows</w:t>
      </w:r>
      <w:r>
        <w:t xml:space="preserve">: </w:t>
      </w:r>
    </w:p>
    <w:p w:rsidR="00EE3EE9" w:rsidP="00E641C1" w14:paraId="4A52D001" w14:textId="5F756DAD">
      <w:pPr>
        <w:pStyle w:val="ParaNum"/>
        <w:numPr>
          <w:ilvl w:val="0"/>
          <w:numId w:val="0"/>
        </w:numPr>
        <w:ind w:left="1080" w:hanging="90"/>
      </w:pPr>
      <w:r>
        <w:t>“</w:t>
      </w:r>
      <w:r w:rsidR="00202137">
        <w:t>(p)</w:t>
      </w:r>
      <w:r w:rsidR="001641E6">
        <w:t xml:space="preserve"> </w:t>
      </w:r>
      <w:r w:rsidR="00C71BDE">
        <w:t>[</w:t>
      </w:r>
      <w:r w:rsidR="001641E6">
        <w:t>Reserved</w:t>
      </w:r>
      <w:r w:rsidR="00C71BDE">
        <w:t>]</w:t>
      </w:r>
    </w:p>
    <w:p w:rsidR="00EE3EE9" w:rsidP="00E641C1" w14:paraId="4103C435" w14:textId="30350B9B">
      <w:pPr>
        <w:pStyle w:val="ParaNum"/>
        <w:numPr>
          <w:ilvl w:val="0"/>
          <w:numId w:val="0"/>
        </w:numPr>
        <w:ind w:left="1080"/>
      </w:pPr>
      <w:r>
        <w:t xml:space="preserve">(q) </w:t>
      </w:r>
      <w:r w:rsidRPr="00EE3EE9">
        <w:t xml:space="preserve">Recipients </w:t>
      </w:r>
      <w:r w:rsidR="00C15BCF">
        <w:t xml:space="preserve">of </w:t>
      </w:r>
      <w:r w:rsidRPr="00EE3EE9">
        <w:t xml:space="preserve">transitional support under § 54.1516, as part of either the </w:t>
      </w:r>
      <w:r w:rsidRPr="00EE3EE9">
        <w:t>Uniendo</w:t>
      </w:r>
      <w:r w:rsidRPr="00EE3EE9">
        <w:t xml:space="preserve"> a Puerto Rico Fund or Connect USVI Fund shall certify that such support was not used for costs that are (or will be) reimbursed by other sources of support, including Federal or local government aid or insurance reimbursements; and that support was not used for other purposes, such as the retirement of company debt unrelated to eligible expenditures, or other expenses not directly related to network restoration, hardening, and expansion consistent with the framework of the </w:t>
      </w:r>
      <w:r w:rsidRPr="00EE3EE9">
        <w:t>Uniendo</w:t>
      </w:r>
      <w:r w:rsidRPr="00EE3EE9">
        <w:t xml:space="preserve"> a Puerto Rico Fund or Connect USVI Fund, respectively. Recipients of transitional support under § 54.1516 shall certify that they have conducted an annual review of the documentation required by § 54.1515(a) through (c) or § 54.1524, respectively, to determine the need for and to implement changes or revisions to disaster preparation and recovery documentation.</w:t>
      </w:r>
      <w:r>
        <w:t>”</w:t>
      </w:r>
    </w:p>
    <w:p w:rsidR="00FF0135" w14:paraId="47C58C2C" w14:textId="77777777">
      <w:pPr>
        <w:pStyle w:val="Heading1"/>
        <w:numPr>
          <w:ilvl w:val="0"/>
          <w:numId w:val="0"/>
        </w:numPr>
        <w:tabs>
          <w:tab w:val="left" w:pos="720"/>
        </w:tabs>
        <w:spacing w:before="220" w:after="0"/>
        <w:rPr>
          <w:rFonts w:ascii="Times New Roman" w:hAnsi="Times New Roman"/>
          <w:b w:val="0"/>
          <w:caps w:val="0"/>
          <w:spacing w:val="-2"/>
        </w:rPr>
      </w:pP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Pr>
          <w:rFonts w:ascii="Times New Roman" w:hAnsi="Times New Roman"/>
          <w:b w:val="0"/>
          <w:caps w:val="0"/>
          <w:spacing w:val="-2"/>
        </w:rPr>
        <w:t>FEDERAL COMMUNICATIONS COMMISSION</w:t>
      </w:r>
    </w:p>
    <w:p w:rsidR="00FF0135" w14:paraId="009F5A0A" w14:textId="77777777">
      <w:pPr>
        <w:pStyle w:val="Heading1"/>
        <w:numPr>
          <w:ilvl w:val="0"/>
          <w:numId w:val="0"/>
        </w:numPr>
        <w:tabs>
          <w:tab w:val="left" w:pos="720"/>
        </w:tabs>
        <w:spacing w:after="0"/>
        <w:rPr>
          <w:rFonts w:ascii="Times New Roman" w:hAnsi="Times New Roman"/>
          <w:b w:val="0"/>
          <w:caps w:val="0"/>
          <w:spacing w:val="-2"/>
        </w:rPr>
      </w:pPr>
    </w:p>
    <w:p w:rsidR="00FF0135" w14:paraId="7C4DF43E" w14:textId="77777777">
      <w:pPr>
        <w:pStyle w:val="ParaNum"/>
        <w:numPr>
          <w:ilvl w:val="0"/>
          <w:numId w:val="0"/>
        </w:numPr>
        <w:tabs>
          <w:tab w:val="left" w:pos="720"/>
        </w:tabs>
        <w:spacing w:after="0"/>
      </w:pPr>
    </w:p>
    <w:p w:rsidR="00FF0135" w14:paraId="559FDAB8" w14:textId="4EE5096C">
      <w:pPr>
        <w:pStyle w:val="ParaNum"/>
        <w:numPr>
          <w:ilvl w:val="0"/>
          <w:numId w:val="0"/>
        </w:numPr>
        <w:tabs>
          <w:tab w:val="left" w:pos="720"/>
        </w:tabs>
        <w:spacing w:after="0"/>
      </w:pPr>
    </w:p>
    <w:p w:rsidR="007F29DB" w14:paraId="0951F0B8" w14:textId="77777777">
      <w:pPr>
        <w:pStyle w:val="Heading1"/>
        <w:widowControl/>
        <w:numPr>
          <w:ilvl w:val="0"/>
          <w:numId w:val="0"/>
        </w:numPr>
        <w:tabs>
          <w:tab w:val="left" w:pos="720"/>
        </w:tabs>
        <w:spacing w:after="0"/>
        <w:rPr>
          <w:rFonts w:ascii="Times New Roman" w:hAnsi="Times New Roman"/>
          <w:b w:val="0"/>
          <w:caps w:val="0"/>
          <w:spacing w:val="-2"/>
        </w:rPr>
      </w:pPr>
      <w:r>
        <w:rPr>
          <w:rFonts w:ascii="Times New Roman" w:hAnsi="Times New Roman"/>
          <w:b w:val="0"/>
          <w:caps w:val="0"/>
          <w:spacing w:val="-2"/>
        </w:rPr>
        <w:tab/>
      </w:r>
      <w:r>
        <w:rPr>
          <w:rFonts w:ascii="Times New Roman" w:hAnsi="Times New Roman"/>
          <w:b w:val="0"/>
          <w:caps w:val="0"/>
          <w:spacing w:val="-2"/>
        </w:rPr>
        <w:tab/>
      </w:r>
      <w:r>
        <w:rPr>
          <w:rFonts w:ascii="Times New Roman" w:hAnsi="Times New Roman"/>
          <w:b w:val="0"/>
          <w:caps w:val="0"/>
          <w:spacing w:val="-2"/>
        </w:rPr>
        <w:tab/>
      </w:r>
      <w:r>
        <w:rPr>
          <w:rFonts w:ascii="Times New Roman" w:hAnsi="Times New Roman"/>
          <w:b w:val="0"/>
          <w:caps w:val="0"/>
          <w:spacing w:val="-2"/>
        </w:rPr>
        <w:tab/>
      </w:r>
      <w:r>
        <w:rPr>
          <w:rFonts w:ascii="Times New Roman" w:hAnsi="Times New Roman"/>
          <w:b w:val="0"/>
          <w:caps w:val="0"/>
          <w:spacing w:val="-2"/>
        </w:rPr>
        <w:tab/>
      </w:r>
      <w:r>
        <w:rPr>
          <w:rFonts w:ascii="Times New Roman" w:hAnsi="Times New Roman"/>
          <w:b w:val="0"/>
          <w:caps w:val="0"/>
          <w:spacing w:val="-2"/>
        </w:rPr>
        <w:tab/>
      </w:r>
    </w:p>
    <w:p w:rsidR="00FF0135" w:rsidP="00E641C1" w14:paraId="60B68A30" w14:textId="5C5C1448">
      <w:pPr>
        <w:pStyle w:val="Heading1"/>
        <w:widowControl/>
        <w:numPr>
          <w:ilvl w:val="0"/>
          <w:numId w:val="0"/>
        </w:numPr>
        <w:tabs>
          <w:tab w:val="left" w:pos="720"/>
        </w:tabs>
        <w:spacing w:after="0"/>
        <w:rPr>
          <w:rFonts w:ascii="Times New Roman" w:hAnsi="Times New Roman"/>
          <w:b w:val="0"/>
          <w:caps w:val="0"/>
          <w:spacing w:val="-2"/>
        </w:rPr>
      </w:pPr>
      <w:r>
        <w:rPr>
          <w:rFonts w:ascii="Times New Roman" w:hAnsi="Times New Roman"/>
          <w:b w:val="0"/>
          <w:caps w:val="0"/>
          <w:spacing w:val="-2"/>
        </w:rPr>
        <w:tab/>
      </w:r>
      <w:r>
        <w:rPr>
          <w:rFonts w:ascii="Times New Roman" w:hAnsi="Times New Roman"/>
          <w:b w:val="0"/>
          <w:caps w:val="0"/>
          <w:spacing w:val="-2"/>
        </w:rPr>
        <w:tab/>
      </w:r>
      <w:r>
        <w:rPr>
          <w:rFonts w:ascii="Times New Roman" w:hAnsi="Times New Roman"/>
          <w:b w:val="0"/>
          <w:caps w:val="0"/>
          <w:spacing w:val="-2"/>
        </w:rPr>
        <w:tab/>
      </w:r>
      <w:r>
        <w:rPr>
          <w:rFonts w:ascii="Times New Roman" w:hAnsi="Times New Roman"/>
          <w:b w:val="0"/>
          <w:caps w:val="0"/>
          <w:spacing w:val="-2"/>
        </w:rPr>
        <w:tab/>
      </w:r>
      <w:r>
        <w:rPr>
          <w:rFonts w:ascii="Times New Roman" w:hAnsi="Times New Roman"/>
          <w:b w:val="0"/>
          <w:caps w:val="0"/>
          <w:spacing w:val="-2"/>
        </w:rPr>
        <w:tab/>
      </w:r>
      <w:r>
        <w:rPr>
          <w:rFonts w:ascii="Times New Roman" w:hAnsi="Times New Roman"/>
          <w:b w:val="0"/>
          <w:caps w:val="0"/>
          <w:spacing w:val="-2"/>
        </w:rPr>
        <w:tab/>
      </w:r>
      <w:r w:rsidR="00EE3EE9">
        <w:rPr>
          <w:rFonts w:ascii="Times New Roman" w:hAnsi="Times New Roman"/>
          <w:b w:val="0"/>
          <w:caps w:val="0"/>
          <w:spacing w:val="-2"/>
        </w:rPr>
        <w:t>Trent B. Harkrader</w:t>
      </w:r>
      <w:r w:rsidR="00635A10">
        <w:rPr>
          <w:rFonts w:ascii="Times New Roman" w:hAnsi="Times New Roman"/>
          <w:b w:val="0"/>
          <w:caps w:val="0"/>
          <w:spacing w:val="-2"/>
        </w:rPr>
        <w:t xml:space="preserve"> </w:t>
      </w:r>
    </w:p>
    <w:p w:rsidR="00EE3EE9" w:rsidP="00E641C1" w14:paraId="22DC65FC" w14:textId="375DCC78">
      <w:pPr>
        <w:pStyle w:val="Heading1"/>
        <w:widowControl/>
        <w:numPr>
          <w:ilvl w:val="0"/>
          <w:numId w:val="0"/>
        </w:numPr>
        <w:tabs>
          <w:tab w:val="left" w:pos="720"/>
        </w:tabs>
        <w:spacing w:after="0"/>
      </w:pPr>
      <w:r>
        <w:rPr>
          <w:rFonts w:ascii="Times New Roman" w:hAnsi="Times New Roman"/>
          <w:b w:val="0"/>
          <w:caps w:val="0"/>
          <w:spacing w:val="-2"/>
        </w:rPr>
        <w:tab/>
      </w:r>
      <w:r>
        <w:rPr>
          <w:rFonts w:ascii="Times New Roman" w:hAnsi="Times New Roman"/>
          <w:b w:val="0"/>
          <w:caps w:val="0"/>
          <w:spacing w:val="-2"/>
        </w:rPr>
        <w:tab/>
      </w:r>
      <w:r>
        <w:rPr>
          <w:rFonts w:ascii="Times New Roman" w:hAnsi="Times New Roman"/>
          <w:b w:val="0"/>
          <w:caps w:val="0"/>
          <w:spacing w:val="-2"/>
        </w:rPr>
        <w:tab/>
      </w:r>
      <w:r>
        <w:rPr>
          <w:rFonts w:ascii="Times New Roman" w:hAnsi="Times New Roman"/>
          <w:b w:val="0"/>
          <w:caps w:val="0"/>
          <w:spacing w:val="-2"/>
        </w:rPr>
        <w:tab/>
      </w:r>
      <w:r>
        <w:rPr>
          <w:rFonts w:ascii="Times New Roman" w:hAnsi="Times New Roman"/>
          <w:b w:val="0"/>
          <w:caps w:val="0"/>
          <w:spacing w:val="-2"/>
        </w:rPr>
        <w:tab/>
      </w:r>
      <w:r>
        <w:rPr>
          <w:rFonts w:ascii="Times New Roman" w:hAnsi="Times New Roman"/>
          <w:b w:val="0"/>
          <w:caps w:val="0"/>
          <w:spacing w:val="-2"/>
        </w:rPr>
        <w:tab/>
      </w:r>
      <w:r>
        <w:rPr>
          <w:rFonts w:ascii="Times New Roman" w:hAnsi="Times New Roman"/>
          <w:b w:val="0"/>
          <w:caps w:val="0"/>
          <w:spacing w:val="-2"/>
        </w:rPr>
        <w:t>Chief</w:t>
      </w:r>
      <w:r w:rsidR="00BC4AD2">
        <w:rPr>
          <w:rFonts w:ascii="Times New Roman" w:hAnsi="Times New Roman"/>
          <w:b w:val="0"/>
          <w:caps w:val="0"/>
          <w:spacing w:val="-2"/>
        </w:rPr>
        <w:t xml:space="preserve">, </w:t>
      </w:r>
      <w:r>
        <w:rPr>
          <w:rFonts w:ascii="Times New Roman" w:hAnsi="Times New Roman"/>
          <w:b w:val="0"/>
          <w:caps w:val="0"/>
          <w:spacing w:val="-2"/>
        </w:rPr>
        <w:t>Wireline Competition Bureau</w:t>
      </w:r>
    </w:p>
    <w:sectPr w:rsidSect="00E641C1">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0135" w14:paraId="40FBA8D9" w14:textId="77777777">
    <w:pPr>
      <w:pStyle w:val="Footer"/>
      <w:framePr w:wrap="around" w:vAnchor="text" w:hAnchor="margin" w:xAlign="center" w:y="1"/>
    </w:pPr>
    <w:r>
      <w:fldChar w:fldCharType="begin"/>
    </w:r>
    <w:r>
      <w:instrText xml:space="preserve">PAGE  </w:instrText>
    </w:r>
    <w:r>
      <w:fldChar w:fldCharType="separate"/>
    </w:r>
    <w:r>
      <w:fldChar w:fldCharType="end"/>
    </w:r>
  </w:p>
  <w:p w:rsidR="00FF0135" w14:paraId="11895E6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0135" w14:paraId="1F95A5F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FF0135" w14:paraId="4B0C26A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0135" w:rsidP="00E641C1" w14:paraId="71F6B8D5" w14:textId="5EB833A5">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27F3E" w14:paraId="35CDB9BD" w14:textId="77777777">
      <w:r>
        <w:separator/>
      </w:r>
    </w:p>
  </w:footnote>
  <w:footnote w:type="continuationSeparator" w:id="1">
    <w:p w:rsidR="00127F3E" w14:paraId="3DEEAF35" w14:textId="77777777">
      <w:pPr>
        <w:spacing w:before="120"/>
        <w:rPr>
          <w:sz w:val="20"/>
        </w:rPr>
      </w:pPr>
      <w:r>
        <w:rPr>
          <w:sz w:val="20"/>
        </w:rPr>
        <w:t xml:space="preserve">(Continued from previous page)  </w:t>
      </w:r>
      <w:r>
        <w:rPr>
          <w:sz w:val="20"/>
        </w:rPr>
        <w:separator/>
      </w:r>
    </w:p>
  </w:footnote>
  <w:footnote w:type="continuationNotice" w:id="2">
    <w:p w:rsidR="00127F3E" w14:paraId="6CD3F8FF" w14:textId="77777777">
      <w:pPr>
        <w:jc w:val="right"/>
        <w:rPr>
          <w:sz w:val="20"/>
        </w:rPr>
      </w:pPr>
      <w:r>
        <w:rPr>
          <w:sz w:val="20"/>
        </w:rPr>
        <w:t>(continued….)</w:t>
      </w:r>
    </w:p>
  </w:footnote>
  <w:footnote w:id="3">
    <w:p w:rsidR="00C15BCF" w14:paraId="38277E09" w14:textId="79111640">
      <w:pPr>
        <w:pStyle w:val="FootnoteText"/>
      </w:pPr>
      <w:r>
        <w:rPr>
          <w:rStyle w:val="FootnoteReference"/>
        </w:rPr>
        <w:footnoteRef/>
      </w:r>
      <w:r>
        <w:t xml:space="preserve"> The purpose of this erratum is</w:t>
      </w:r>
      <w:r w:rsidR="001A15D5">
        <w:t xml:space="preserve"> </w:t>
      </w:r>
      <w:r w:rsidR="00A3577C">
        <w:t>administrative</w:t>
      </w:r>
      <w:r w:rsidR="00A96AE7">
        <w:t xml:space="preserve"> and solely to </w:t>
      </w:r>
      <w:r w:rsidR="001A15D5">
        <w:t>preclud</w:t>
      </w:r>
      <w:r w:rsidR="00A96AE7">
        <w:t>e</w:t>
      </w:r>
      <w:r>
        <w:t xml:space="preserve"> conflicting </w:t>
      </w:r>
      <w:r w:rsidR="001A15D5">
        <w:t xml:space="preserve">revisions </w:t>
      </w:r>
      <w:r>
        <w:t>to 47 CFR § 54.313(n)</w:t>
      </w:r>
      <w:r w:rsidR="005869F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37E3" w:rsidP="00E137E3" w14:paraId="2FAE746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0135" w:rsidP="00E137E3" w14:paraId="31A643AB" w14:textId="77777777">
    <w:pPr>
      <w:pStyle w:val="Header"/>
    </w:pPr>
    <w:r>
      <w:tab/>
      <w:t>Federal Communications Commission</w:t>
    </w:r>
    <w:r>
      <w:tab/>
    </w:r>
    <w:r>
      <w:fldChar w:fldCharType="begin"/>
    </w:r>
    <w:r>
      <w:instrText xml:space="preserve"> MACROBUTTON  AcceptAllChangesShown "FCC  XX-XXX" </w:instrText>
    </w:r>
    <w:r>
      <w:fldChar w:fldCharType="end"/>
    </w:r>
  </w:p>
  <w:p w:rsidR="00FF0135" w14:paraId="527EBC6E" w14:textId="3286924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FF0135" w14:paraId="630FA279"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0135" w:rsidP="00E137E3" w14:paraId="59ED9287" w14:textId="715F9D84">
    <w:pPr>
      <w:pStyle w:val="Header"/>
    </w:pPr>
    <w:r>
      <w:tab/>
      <w:t>Federal Communications Commission</w:t>
    </w:r>
    <w:r>
      <w:tab/>
      <w:t xml:space="preserve"> </w:t>
    </w:r>
  </w:p>
  <w:p w:rsidR="00FF0135" w:rsidP="00E137E3" w14:paraId="0A1B3E0E" w14:textId="51B11718">
    <w:pPr>
      <w:pStyle w:val="Heade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22224</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pt;mso-wrap-distance-left:9pt;mso-wrap-distance-right:9pt;mso-wrap-distance-top:0pt;mso-wrap-style:square;position:absolute;visibility:visible;z-index:251661312" from="0,1.75pt" to="468pt,1.75pt" o:allowincell="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8150487"/>
    <w:multiLevelType w:val="hybridMultilevel"/>
    <w:tmpl w:val="53125F4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6"/>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E9"/>
    <w:rsid w:val="000120AB"/>
    <w:rsid w:val="00042B53"/>
    <w:rsid w:val="000631A5"/>
    <w:rsid w:val="00127F3E"/>
    <w:rsid w:val="001641E6"/>
    <w:rsid w:val="00181155"/>
    <w:rsid w:val="001A15D5"/>
    <w:rsid w:val="00202137"/>
    <w:rsid w:val="00235FBE"/>
    <w:rsid w:val="00253314"/>
    <w:rsid w:val="00256EE5"/>
    <w:rsid w:val="002F24C7"/>
    <w:rsid w:val="003C786B"/>
    <w:rsid w:val="00414E97"/>
    <w:rsid w:val="00474715"/>
    <w:rsid w:val="0051174A"/>
    <w:rsid w:val="005869FE"/>
    <w:rsid w:val="0059716B"/>
    <w:rsid w:val="00635A10"/>
    <w:rsid w:val="006B3B29"/>
    <w:rsid w:val="006C0E37"/>
    <w:rsid w:val="006E0444"/>
    <w:rsid w:val="00710B2F"/>
    <w:rsid w:val="00715351"/>
    <w:rsid w:val="00716B7F"/>
    <w:rsid w:val="007F29DB"/>
    <w:rsid w:val="00853195"/>
    <w:rsid w:val="00873F2B"/>
    <w:rsid w:val="008A0FD4"/>
    <w:rsid w:val="00981649"/>
    <w:rsid w:val="00981A0A"/>
    <w:rsid w:val="009E0D16"/>
    <w:rsid w:val="00A3577C"/>
    <w:rsid w:val="00A96AE7"/>
    <w:rsid w:val="00AC17F7"/>
    <w:rsid w:val="00AC4D15"/>
    <w:rsid w:val="00AD3ECD"/>
    <w:rsid w:val="00AF1DE5"/>
    <w:rsid w:val="00AF491A"/>
    <w:rsid w:val="00AF7CB1"/>
    <w:rsid w:val="00B406DB"/>
    <w:rsid w:val="00B4408E"/>
    <w:rsid w:val="00BC4AD2"/>
    <w:rsid w:val="00C15BCF"/>
    <w:rsid w:val="00C43524"/>
    <w:rsid w:val="00C71BDE"/>
    <w:rsid w:val="00D079FD"/>
    <w:rsid w:val="00D317D8"/>
    <w:rsid w:val="00D45165"/>
    <w:rsid w:val="00DD02A9"/>
    <w:rsid w:val="00E05344"/>
    <w:rsid w:val="00E137E3"/>
    <w:rsid w:val="00E57A72"/>
    <w:rsid w:val="00E641C1"/>
    <w:rsid w:val="00E94742"/>
    <w:rsid w:val="00EE3EE9"/>
    <w:rsid w:val="00EF31FC"/>
    <w:rsid w:val="00F05B52"/>
    <w:rsid w:val="00F467ED"/>
    <w:rsid w:val="00F576C5"/>
    <w:rsid w:val="00F75914"/>
    <w:rsid w:val="00F80CED"/>
    <w:rsid w:val="00FA602E"/>
    <w:rsid w:val="00FB4D4B"/>
    <w:rsid w:val="00FF01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AF4C74"/>
  <w15:chartTrackingRefBased/>
  <w15:docId w15:val="{90038CB1-BD77-405A-B9CD-FEBC1779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E137E3"/>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cf01">
    <w:name w:val="cf01"/>
    <w:rsid w:val="00C15BCF"/>
    <w:rPr>
      <w:rFonts w:ascii="Segoe UI" w:hAnsi="Segoe UI" w:cs="Segoe UI" w:hint="default"/>
      <w:sz w:val="18"/>
      <w:szCs w:val="18"/>
    </w:rPr>
  </w:style>
  <w:style w:type="paragraph" w:styleId="Revision">
    <w:name w:val="Revision"/>
    <w:hidden/>
    <w:uiPriority w:val="99"/>
    <w:semiHidden/>
    <w:rsid w:val="00710B2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erratum-ord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erratum-order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