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223128AB" w14:textId="77777777" w:rsidTr="006D5D22">
        <w:tblPrEx>
          <w:tblW w:w="0" w:type="auto"/>
          <w:tblLook w:val="0000"/>
        </w:tblPrEx>
        <w:trPr>
          <w:trHeight w:val="2181"/>
        </w:trPr>
        <w:tc>
          <w:tcPr>
            <w:tcW w:w="8856" w:type="dxa"/>
          </w:tcPr>
          <w:p w:rsidR="00FF232D" w:rsidRPr="0017133D" w:rsidP="006A7D75" w14:paraId="5BA2DD5A" w14:textId="77777777">
            <w:pPr>
              <w:jc w:val="center"/>
              <w:rPr>
                <w:b/>
                <w:sz w:val="22"/>
                <w:szCs w:val="22"/>
              </w:rPr>
            </w:pPr>
            <w:r w:rsidRPr="0017133D">
              <w:rPr>
                <w:b/>
                <w:i/>
                <w:noProof/>
                <w:sz w:val="22"/>
                <w:szCs w:val="22"/>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17133D" w:rsidP="00B57131" w14:paraId="1212B006" w14:textId="77777777">
            <w:pPr>
              <w:rPr>
                <w:b/>
                <w:bCs/>
                <w:sz w:val="22"/>
                <w:szCs w:val="22"/>
              </w:rPr>
            </w:pPr>
          </w:p>
          <w:p w:rsidR="007A44F8" w:rsidRPr="0017133D" w:rsidP="00BB4E29" w14:paraId="71F77FFD" w14:textId="77777777">
            <w:pPr>
              <w:rPr>
                <w:b/>
                <w:bCs/>
                <w:sz w:val="22"/>
                <w:szCs w:val="22"/>
              </w:rPr>
            </w:pPr>
            <w:r w:rsidRPr="0017133D">
              <w:rPr>
                <w:b/>
                <w:bCs/>
                <w:sz w:val="22"/>
                <w:szCs w:val="22"/>
              </w:rPr>
              <w:t xml:space="preserve">Media Contact: </w:t>
            </w:r>
          </w:p>
          <w:p w:rsidR="007A44F8" w:rsidRPr="0017133D" w:rsidP="00BB4E29" w14:paraId="3EF5F463" w14:textId="511C3853">
            <w:pPr>
              <w:rPr>
                <w:bCs/>
                <w:sz w:val="22"/>
                <w:szCs w:val="22"/>
              </w:rPr>
            </w:pPr>
            <w:r w:rsidRPr="0017133D">
              <w:rPr>
                <w:bCs/>
                <w:sz w:val="22"/>
                <w:szCs w:val="22"/>
              </w:rPr>
              <w:t>Katie Gorscak</w:t>
            </w:r>
          </w:p>
          <w:p w:rsidR="00FF232D" w:rsidRPr="0017133D" w:rsidP="00BB4E29" w14:paraId="7CAD4DF5" w14:textId="61DD7F0E">
            <w:pPr>
              <w:rPr>
                <w:bCs/>
                <w:sz w:val="22"/>
                <w:szCs w:val="22"/>
              </w:rPr>
            </w:pPr>
            <w:r>
              <w:rPr>
                <w:bCs/>
                <w:sz w:val="22"/>
                <w:szCs w:val="22"/>
              </w:rPr>
              <w:t>k</w:t>
            </w:r>
            <w:r w:rsidRPr="0017133D" w:rsidR="000A32C3">
              <w:rPr>
                <w:bCs/>
                <w:sz w:val="22"/>
                <w:szCs w:val="22"/>
              </w:rPr>
              <w:t>atie.gorscak</w:t>
            </w:r>
            <w:r w:rsidRPr="0017133D" w:rsidR="007A44F8">
              <w:rPr>
                <w:bCs/>
                <w:sz w:val="22"/>
                <w:szCs w:val="22"/>
              </w:rPr>
              <w:t>@fcc.gov</w:t>
            </w:r>
          </w:p>
          <w:p w:rsidR="007A44F8" w:rsidRPr="0017133D" w:rsidP="00BB4E29" w14:paraId="1F94A199" w14:textId="77777777">
            <w:pPr>
              <w:rPr>
                <w:bCs/>
                <w:sz w:val="22"/>
                <w:szCs w:val="22"/>
              </w:rPr>
            </w:pPr>
          </w:p>
          <w:p w:rsidR="007A44F8" w:rsidRPr="0017133D" w:rsidP="00BB4E29" w14:paraId="24082C25" w14:textId="77777777">
            <w:pPr>
              <w:rPr>
                <w:b/>
                <w:sz w:val="22"/>
                <w:szCs w:val="22"/>
              </w:rPr>
            </w:pPr>
            <w:r w:rsidRPr="0017133D">
              <w:rPr>
                <w:b/>
                <w:sz w:val="22"/>
                <w:szCs w:val="22"/>
              </w:rPr>
              <w:t>For Immediate Release</w:t>
            </w:r>
          </w:p>
          <w:p w:rsidR="007A44F8" w:rsidRPr="0017133D" w:rsidP="00BB4E29" w14:paraId="68925ECE" w14:textId="77777777">
            <w:pPr>
              <w:jc w:val="center"/>
              <w:rPr>
                <w:b/>
                <w:bCs/>
                <w:sz w:val="22"/>
                <w:szCs w:val="22"/>
              </w:rPr>
            </w:pPr>
          </w:p>
          <w:p w:rsidR="00FE20B8" w:rsidRPr="00D55918" w:rsidP="00FE20B8" w14:paraId="3EDDC3F5" w14:textId="22E6457E">
            <w:pPr>
              <w:tabs>
                <w:tab w:val="left" w:pos="8625"/>
              </w:tabs>
              <w:spacing w:after="120"/>
              <w:jc w:val="center"/>
              <w:rPr>
                <w:b/>
                <w:bCs/>
                <w:sz w:val="26"/>
                <w:szCs w:val="26"/>
              </w:rPr>
            </w:pPr>
            <w:r w:rsidRPr="00D55918">
              <w:rPr>
                <w:b/>
                <w:bCs/>
                <w:sz w:val="26"/>
                <w:szCs w:val="26"/>
              </w:rPr>
              <w:t>GCI COMMUNICATION TO PAY $</w:t>
            </w:r>
            <w:r w:rsidRPr="00D55918" w:rsidR="00770A53">
              <w:rPr>
                <w:b/>
                <w:bCs/>
                <w:sz w:val="26"/>
                <w:szCs w:val="26"/>
              </w:rPr>
              <w:t>4</w:t>
            </w:r>
            <w:r w:rsidRPr="00D55918">
              <w:rPr>
                <w:b/>
                <w:bCs/>
                <w:sz w:val="26"/>
                <w:szCs w:val="26"/>
              </w:rPr>
              <w:t xml:space="preserve">0 MILLION TO SETTLE </w:t>
            </w:r>
            <w:r w:rsidRPr="00D55918" w:rsidR="00550D9E">
              <w:rPr>
                <w:b/>
                <w:bCs/>
                <w:sz w:val="26"/>
                <w:szCs w:val="26"/>
              </w:rPr>
              <w:t xml:space="preserve">FCC AND DOJ </w:t>
            </w:r>
            <w:r w:rsidRPr="00D55918">
              <w:rPr>
                <w:b/>
                <w:bCs/>
                <w:sz w:val="26"/>
                <w:szCs w:val="26"/>
              </w:rPr>
              <w:t xml:space="preserve">INVESTIGATIONS </w:t>
            </w:r>
            <w:r w:rsidRPr="00D55918">
              <w:rPr>
                <w:b/>
                <w:bCs/>
                <w:sz w:val="26"/>
                <w:szCs w:val="26"/>
              </w:rPr>
              <w:t xml:space="preserve"> </w:t>
            </w:r>
          </w:p>
          <w:p w:rsidR="00FE20B8" w:rsidRPr="00D55918" w:rsidP="00FE20B8" w14:paraId="5CB36CDD" w14:textId="6DA77025">
            <w:pPr>
              <w:tabs>
                <w:tab w:val="left" w:pos="8625"/>
              </w:tabs>
              <w:jc w:val="center"/>
              <w:rPr>
                <w:i/>
              </w:rPr>
            </w:pPr>
            <w:r w:rsidRPr="00D55918">
              <w:rPr>
                <w:b/>
                <w:bCs/>
                <w:i/>
              </w:rPr>
              <w:t>Company Failed to Follow Rate Determination and Competit</w:t>
            </w:r>
            <w:r w:rsidRPr="00D55918" w:rsidR="00260116">
              <w:rPr>
                <w:b/>
                <w:bCs/>
                <w:i/>
              </w:rPr>
              <w:t xml:space="preserve">ive Bidding </w:t>
            </w:r>
            <w:r w:rsidRPr="00D55918">
              <w:rPr>
                <w:b/>
                <w:bCs/>
                <w:i/>
              </w:rPr>
              <w:t xml:space="preserve">Rules, </w:t>
            </w:r>
            <w:r w:rsidRPr="00D55918" w:rsidR="00216F35">
              <w:rPr>
                <w:b/>
                <w:bCs/>
                <w:i/>
              </w:rPr>
              <w:t xml:space="preserve">Agrees to </w:t>
            </w:r>
            <w:r w:rsidRPr="00D55918" w:rsidR="008B01A1">
              <w:rPr>
                <w:b/>
                <w:bCs/>
                <w:i/>
              </w:rPr>
              <w:t xml:space="preserve">Global </w:t>
            </w:r>
            <w:r w:rsidRPr="00D55918" w:rsidR="00216F35">
              <w:rPr>
                <w:b/>
                <w:bCs/>
                <w:i/>
              </w:rPr>
              <w:t>Settlement</w:t>
            </w:r>
          </w:p>
          <w:p w:rsidR="00FE20B8" w:rsidRPr="0017133D" w:rsidP="00FE20B8" w14:paraId="6A643279" w14:textId="77777777">
            <w:pPr>
              <w:tabs>
                <w:tab w:val="left" w:pos="8625"/>
              </w:tabs>
              <w:jc w:val="center"/>
              <w:rPr>
                <w:i/>
                <w:color w:val="F2F2F2" w:themeColor="background1" w:themeShade="F2"/>
                <w:sz w:val="22"/>
                <w:szCs w:val="22"/>
              </w:rPr>
            </w:pPr>
            <w:r w:rsidRPr="0017133D">
              <w:rPr>
                <w:b/>
                <w:bCs/>
                <w:i/>
                <w:sz w:val="22"/>
                <w:szCs w:val="22"/>
              </w:rPr>
              <w:t xml:space="preserve">  </w:t>
            </w:r>
            <w:r w:rsidRPr="0017133D">
              <w:rPr>
                <w:b/>
                <w:bCs/>
                <w:i/>
                <w:color w:val="F2F2F2" w:themeColor="background1" w:themeShade="F2"/>
                <w:sz w:val="22"/>
                <w:szCs w:val="22"/>
              </w:rPr>
              <w:t xml:space="preserve">-- </w:t>
            </w:r>
          </w:p>
          <w:p w:rsidR="00FE20B8" w:rsidRPr="0017133D" w:rsidP="00FE20B8" w14:paraId="20F14425" w14:textId="47F442B0">
            <w:pPr>
              <w:rPr>
                <w:sz w:val="22"/>
                <w:szCs w:val="22"/>
              </w:rPr>
            </w:pPr>
            <w:r w:rsidRPr="0017133D">
              <w:rPr>
                <w:sz w:val="22"/>
                <w:szCs w:val="22"/>
              </w:rPr>
              <w:t xml:space="preserve">WASHINGTON, May </w:t>
            </w:r>
            <w:r w:rsidR="00056FC8">
              <w:rPr>
                <w:sz w:val="22"/>
                <w:szCs w:val="22"/>
              </w:rPr>
              <w:t>11</w:t>
            </w:r>
            <w:r w:rsidRPr="0017133D">
              <w:rPr>
                <w:sz w:val="22"/>
                <w:szCs w:val="22"/>
              </w:rPr>
              <w:t xml:space="preserve">, 2023—The </w:t>
            </w:r>
            <w:r w:rsidR="00EC0BB1">
              <w:rPr>
                <w:sz w:val="22"/>
                <w:szCs w:val="22"/>
              </w:rPr>
              <w:t>FCC</w:t>
            </w:r>
            <w:r w:rsidRPr="0017133D">
              <w:rPr>
                <w:sz w:val="22"/>
                <w:szCs w:val="22"/>
              </w:rPr>
              <w:t xml:space="preserve">’s Enforcement Bureau today announced that it has </w:t>
            </w:r>
            <w:r w:rsidR="00182772">
              <w:rPr>
                <w:sz w:val="22"/>
                <w:szCs w:val="22"/>
              </w:rPr>
              <w:t>reached</w:t>
            </w:r>
            <w:r w:rsidRPr="0017133D" w:rsidR="00182772">
              <w:rPr>
                <w:sz w:val="22"/>
                <w:szCs w:val="22"/>
              </w:rPr>
              <w:t xml:space="preserve"> </w:t>
            </w:r>
            <w:r w:rsidRPr="0017133D">
              <w:rPr>
                <w:sz w:val="22"/>
                <w:szCs w:val="22"/>
              </w:rPr>
              <w:t xml:space="preserve">a settlement with GCI </w:t>
            </w:r>
            <w:r w:rsidRPr="0017133D" w:rsidR="00F61085">
              <w:rPr>
                <w:sz w:val="22"/>
                <w:szCs w:val="22"/>
              </w:rPr>
              <w:t xml:space="preserve">Communication Corp. </w:t>
            </w:r>
            <w:r w:rsidRPr="0017133D">
              <w:rPr>
                <w:sz w:val="22"/>
                <w:szCs w:val="22"/>
              </w:rPr>
              <w:t>to resolve its investigation into the company’s</w:t>
            </w:r>
            <w:r w:rsidR="00182772">
              <w:rPr>
                <w:sz w:val="22"/>
                <w:szCs w:val="22"/>
              </w:rPr>
              <w:t xml:space="preserve"> Rural Health Care Program practices</w:t>
            </w:r>
            <w:r w:rsidR="00804B33">
              <w:rPr>
                <w:sz w:val="22"/>
                <w:szCs w:val="22"/>
              </w:rPr>
              <w:t>, including rate determination and competitive bidding violations</w:t>
            </w:r>
            <w:r w:rsidR="002716F9">
              <w:rPr>
                <w:sz w:val="22"/>
                <w:szCs w:val="22"/>
              </w:rPr>
              <w:t xml:space="preserve">. </w:t>
            </w:r>
            <w:r w:rsidRPr="0017133D">
              <w:rPr>
                <w:sz w:val="22"/>
                <w:szCs w:val="22"/>
              </w:rPr>
              <w:t xml:space="preserve">To resolve this matter, GCI </w:t>
            </w:r>
            <w:r w:rsidRPr="0017133D" w:rsidR="00216F35">
              <w:rPr>
                <w:sz w:val="22"/>
                <w:szCs w:val="22"/>
              </w:rPr>
              <w:t>agreed to</w:t>
            </w:r>
            <w:r w:rsidRPr="0017133D">
              <w:rPr>
                <w:sz w:val="22"/>
                <w:szCs w:val="22"/>
              </w:rPr>
              <w:t xml:space="preserve"> a settlement amount of </w:t>
            </w:r>
            <w:r w:rsidR="006C0A7E">
              <w:rPr>
                <w:sz w:val="22"/>
                <w:szCs w:val="22"/>
              </w:rPr>
              <w:t xml:space="preserve">over </w:t>
            </w:r>
            <w:r w:rsidRPr="0017133D" w:rsidR="000F251A">
              <w:rPr>
                <w:sz w:val="22"/>
                <w:szCs w:val="22"/>
              </w:rPr>
              <w:t>$42</w:t>
            </w:r>
            <w:r w:rsidR="006C0A7E">
              <w:rPr>
                <w:sz w:val="22"/>
                <w:szCs w:val="22"/>
              </w:rPr>
              <w:t xml:space="preserve"> million</w:t>
            </w:r>
            <w:r w:rsidRPr="0017133D" w:rsidR="000F251A">
              <w:rPr>
                <w:sz w:val="22"/>
                <w:szCs w:val="22"/>
              </w:rPr>
              <w:t xml:space="preserve"> </w:t>
            </w:r>
            <w:r w:rsidR="00550D9E">
              <w:rPr>
                <w:sz w:val="22"/>
                <w:szCs w:val="22"/>
              </w:rPr>
              <w:t>that</w:t>
            </w:r>
            <w:r w:rsidRPr="0017133D" w:rsidR="000F251A">
              <w:rPr>
                <w:sz w:val="22"/>
                <w:szCs w:val="22"/>
              </w:rPr>
              <w:t xml:space="preserve"> includes a repayment to the Universal Service Fund</w:t>
            </w:r>
            <w:r w:rsidRPr="0017133D" w:rsidR="00670273">
              <w:rPr>
                <w:sz w:val="22"/>
                <w:szCs w:val="22"/>
              </w:rPr>
              <w:t xml:space="preserve"> (USF)</w:t>
            </w:r>
            <w:r w:rsidRPr="0017133D" w:rsidR="000F251A">
              <w:rPr>
                <w:sz w:val="22"/>
                <w:szCs w:val="22"/>
              </w:rPr>
              <w:t xml:space="preserve"> of </w:t>
            </w:r>
            <w:r w:rsidR="006C0A7E">
              <w:rPr>
                <w:sz w:val="22"/>
                <w:szCs w:val="22"/>
              </w:rPr>
              <w:t xml:space="preserve">more than </w:t>
            </w:r>
            <w:r w:rsidRPr="0017133D" w:rsidR="000F251A">
              <w:rPr>
                <w:sz w:val="22"/>
                <w:szCs w:val="22"/>
              </w:rPr>
              <w:t>$26</w:t>
            </w:r>
            <w:r w:rsidR="006C0A7E">
              <w:rPr>
                <w:sz w:val="22"/>
                <w:szCs w:val="22"/>
              </w:rPr>
              <w:t xml:space="preserve"> million</w:t>
            </w:r>
            <w:r w:rsidRPr="0017133D" w:rsidR="00FD64F5">
              <w:rPr>
                <w:sz w:val="22"/>
                <w:szCs w:val="22"/>
              </w:rPr>
              <w:t xml:space="preserve"> and a credit of $16 million for withdrawal of </w:t>
            </w:r>
            <w:r w:rsidR="00EC0BB1">
              <w:rPr>
                <w:sz w:val="22"/>
                <w:szCs w:val="22"/>
              </w:rPr>
              <w:t>a</w:t>
            </w:r>
            <w:r w:rsidRPr="0017133D" w:rsidR="00FD64F5">
              <w:rPr>
                <w:sz w:val="22"/>
                <w:szCs w:val="22"/>
              </w:rPr>
              <w:t>pplications and various appeals.</w:t>
            </w:r>
            <w:r w:rsidRPr="0017133D" w:rsidR="0020722B">
              <w:rPr>
                <w:sz w:val="22"/>
                <w:szCs w:val="22"/>
              </w:rPr>
              <w:t xml:space="preserve">  </w:t>
            </w:r>
            <w:r w:rsidRPr="0017133D" w:rsidR="003F5F7E">
              <w:rPr>
                <w:sz w:val="22"/>
                <w:szCs w:val="22"/>
              </w:rPr>
              <w:t>GCI has also agreed to enhance</w:t>
            </w:r>
            <w:r w:rsidRPr="0017133D" w:rsidR="00770A53">
              <w:rPr>
                <w:sz w:val="22"/>
                <w:szCs w:val="22"/>
              </w:rPr>
              <w:t>d</w:t>
            </w:r>
            <w:r w:rsidRPr="0017133D" w:rsidR="003F5F7E">
              <w:rPr>
                <w:sz w:val="22"/>
                <w:szCs w:val="22"/>
              </w:rPr>
              <w:t xml:space="preserve"> compliance measures in connection with its participation in the </w:t>
            </w:r>
            <w:r w:rsidR="000D448E">
              <w:rPr>
                <w:sz w:val="22"/>
                <w:szCs w:val="22"/>
              </w:rPr>
              <w:t xml:space="preserve">RHC </w:t>
            </w:r>
            <w:r w:rsidRPr="0017133D" w:rsidR="003F5F7E">
              <w:rPr>
                <w:sz w:val="22"/>
                <w:szCs w:val="22"/>
              </w:rPr>
              <w:t>Program.</w:t>
            </w:r>
            <w:r w:rsidRPr="0017133D">
              <w:rPr>
                <w:sz w:val="22"/>
                <w:szCs w:val="22"/>
              </w:rPr>
              <w:t xml:space="preserve"> </w:t>
            </w:r>
          </w:p>
          <w:p w:rsidR="008F7AEE" w:rsidRPr="0017133D" w:rsidP="00FE20B8" w14:paraId="64BF3069" w14:textId="77777777">
            <w:pPr>
              <w:rPr>
                <w:sz w:val="22"/>
                <w:szCs w:val="22"/>
              </w:rPr>
            </w:pPr>
          </w:p>
          <w:p w:rsidR="008F7AEE" w:rsidRPr="0017133D" w:rsidP="00D02DD9" w14:paraId="024EEE11" w14:textId="2DFDC4AF">
            <w:r w:rsidRPr="0017133D">
              <w:rPr>
                <w:sz w:val="22"/>
                <w:szCs w:val="22"/>
              </w:rPr>
              <w:t xml:space="preserve">GCI has also reached a settlement </w:t>
            </w:r>
            <w:r w:rsidRPr="0017133D">
              <w:rPr>
                <w:sz w:val="22"/>
                <w:szCs w:val="22"/>
              </w:rPr>
              <w:t xml:space="preserve">with the U.S. Department of Justice, which today announced its resolution of a parallel investigation for </w:t>
            </w:r>
            <w:r w:rsidR="00BE5C67">
              <w:rPr>
                <w:sz w:val="22"/>
                <w:szCs w:val="22"/>
              </w:rPr>
              <w:t xml:space="preserve">alleged </w:t>
            </w:r>
            <w:r w:rsidRPr="0017133D">
              <w:rPr>
                <w:sz w:val="22"/>
                <w:szCs w:val="22"/>
              </w:rPr>
              <w:t xml:space="preserve">violations of the False Claims Act.  GCI has agreed to pay to the United States </w:t>
            </w:r>
            <w:r w:rsidR="00EC0BB1">
              <w:rPr>
                <w:sz w:val="22"/>
                <w:szCs w:val="22"/>
              </w:rPr>
              <w:t xml:space="preserve">over </w:t>
            </w:r>
            <w:r w:rsidRPr="0017133D">
              <w:rPr>
                <w:sz w:val="22"/>
                <w:szCs w:val="22"/>
              </w:rPr>
              <w:t>$40</w:t>
            </w:r>
            <w:r w:rsidR="00EC0BB1">
              <w:rPr>
                <w:sz w:val="22"/>
                <w:szCs w:val="22"/>
              </w:rPr>
              <w:t xml:space="preserve"> million</w:t>
            </w:r>
            <w:r w:rsidRPr="0017133D">
              <w:rPr>
                <w:sz w:val="22"/>
                <w:szCs w:val="22"/>
              </w:rPr>
              <w:t xml:space="preserve"> </w:t>
            </w:r>
            <w:r w:rsidR="00550D9E">
              <w:rPr>
                <w:sz w:val="22"/>
                <w:szCs w:val="22"/>
              </w:rPr>
              <w:t>that</w:t>
            </w:r>
            <w:r w:rsidRPr="0017133D">
              <w:rPr>
                <w:sz w:val="22"/>
                <w:szCs w:val="22"/>
              </w:rPr>
              <w:t xml:space="preserve"> shall be offset by</w:t>
            </w:r>
            <w:r w:rsidR="00550D9E">
              <w:rPr>
                <w:sz w:val="22"/>
                <w:szCs w:val="22"/>
              </w:rPr>
              <w:t xml:space="preserve"> GCI’s payment of</w:t>
            </w:r>
            <w:r w:rsidRPr="0017133D">
              <w:rPr>
                <w:sz w:val="22"/>
                <w:szCs w:val="22"/>
              </w:rPr>
              <w:t xml:space="preserve"> </w:t>
            </w:r>
            <w:r w:rsidR="00EC0BB1">
              <w:rPr>
                <w:sz w:val="22"/>
                <w:szCs w:val="22"/>
              </w:rPr>
              <w:t xml:space="preserve">over </w:t>
            </w:r>
            <w:r w:rsidRPr="0017133D">
              <w:rPr>
                <w:sz w:val="22"/>
                <w:szCs w:val="22"/>
              </w:rPr>
              <w:t>$26</w:t>
            </w:r>
            <w:r w:rsidR="00EC0BB1">
              <w:rPr>
                <w:sz w:val="22"/>
                <w:szCs w:val="22"/>
              </w:rPr>
              <w:t xml:space="preserve"> million</w:t>
            </w:r>
            <w:r w:rsidRPr="0017133D">
              <w:rPr>
                <w:sz w:val="22"/>
                <w:szCs w:val="22"/>
              </w:rPr>
              <w:t xml:space="preserve"> to the USF.</w:t>
            </w:r>
          </w:p>
          <w:p w:rsidR="00FE20B8" w:rsidRPr="0017133D" w:rsidP="00FE20B8" w14:paraId="62D00067" w14:textId="77777777">
            <w:pPr>
              <w:rPr>
                <w:sz w:val="22"/>
                <w:szCs w:val="22"/>
              </w:rPr>
            </w:pPr>
          </w:p>
          <w:p w:rsidR="001B761A" w:rsidP="001B761A" w14:paraId="45D35752" w14:textId="2C85EACC">
            <w:pPr>
              <w:rPr>
                <w:sz w:val="22"/>
                <w:szCs w:val="22"/>
              </w:rPr>
            </w:pPr>
            <w:r w:rsidRPr="0017133D">
              <w:rPr>
                <w:sz w:val="22"/>
                <w:szCs w:val="22"/>
              </w:rPr>
              <w:t xml:space="preserve">The Rural Health Care Program provides financial support to eligible rural health care providers so that all health care providers—regardless of whether they are located in rural or urban areas—can implement the modern communications systems that are vital to 21st century medical care.  The </w:t>
            </w:r>
            <w:r w:rsidR="00BE5C67">
              <w:rPr>
                <w:sz w:val="22"/>
                <w:szCs w:val="22"/>
              </w:rPr>
              <w:t>RHC</w:t>
            </w:r>
            <w:r w:rsidRPr="0017133D">
              <w:rPr>
                <w:sz w:val="22"/>
                <w:szCs w:val="22"/>
              </w:rPr>
              <w:t xml:space="preserve"> Program is paid for through the </w:t>
            </w:r>
            <w:r w:rsidR="00C41EFD">
              <w:rPr>
                <w:sz w:val="22"/>
                <w:szCs w:val="22"/>
              </w:rPr>
              <w:t>Universal Service Fund</w:t>
            </w:r>
            <w:r w:rsidRPr="0017133D">
              <w:rPr>
                <w:sz w:val="22"/>
                <w:szCs w:val="22"/>
              </w:rPr>
              <w:t xml:space="preserve">.  </w:t>
            </w:r>
            <w:r w:rsidRPr="0017133D">
              <w:rPr>
                <w:sz w:val="22"/>
                <w:szCs w:val="22"/>
              </w:rPr>
              <w:br/>
            </w:r>
          </w:p>
          <w:p w:rsidR="00314010" w:rsidP="001B761A" w14:paraId="3A9B14D9" w14:textId="63A478CA">
            <w:pPr>
              <w:rPr>
                <w:sz w:val="22"/>
                <w:szCs w:val="22"/>
              </w:rPr>
            </w:pPr>
            <w:r>
              <w:rPr>
                <w:sz w:val="22"/>
                <w:szCs w:val="22"/>
              </w:rPr>
              <w:t>“Compliance with the USF’s Rural Health Care Program rules is a critical component in making sure that medical providers have access to the types of communications equipment and services needed to enhance medical options and care in rural communities,” said FCC Enforcement Bureau Chief Loyaan Egal.  “This global settlement reflects our strong partnership with the Department of Justice in protecting the USF, and we thank them for their efforts in this particular case.”</w:t>
            </w:r>
          </w:p>
          <w:p w:rsidR="00314010" w:rsidRPr="0017133D" w:rsidP="001B761A" w14:paraId="69C38581" w14:textId="77777777">
            <w:pPr>
              <w:rPr>
                <w:sz w:val="22"/>
                <w:szCs w:val="22"/>
              </w:rPr>
            </w:pPr>
          </w:p>
          <w:p w:rsidR="00550D9E" w:rsidP="003E2B40" w14:paraId="5A4843C3" w14:textId="60842709">
            <w:pPr>
              <w:rPr>
                <w:sz w:val="22"/>
                <w:szCs w:val="22"/>
              </w:rPr>
            </w:pPr>
            <w:r w:rsidRPr="0017133D">
              <w:rPr>
                <w:sz w:val="22"/>
                <w:szCs w:val="22"/>
              </w:rPr>
              <w:t xml:space="preserve">The Enforcement Bureau’s Fraud Division investigation found that </w:t>
            </w:r>
            <w:r w:rsidRPr="0017133D" w:rsidR="00646566">
              <w:rPr>
                <w:sz w:val="22"/>
                <w:szCs w:val="22"/>
              </w:rPr>
              <w:t>GCI</w:t>
            </w:r>
            <w:r w:rsidRPr="0017133D">
              <w:rPr>
                <w:sz w:val="22"/>
                <w:szCs w:val="22"/>
              </w:rPr>
              <w:t xml:space="preserve"> </w:t>
            </w:r>
            <w:r w:rsidRPr="0017133D" w:rsidR="00ED1EC6">
              <w:rPr>
                <w:sz w:val="22"/>
                <w:szCs w:val="22"/>
              </w:rPr>
              <w:t>charged certain rural rates that were not in compliance with</w:t>
            </w:r>
            <w:r w:rsidRPr="0017133D">
              <w:rPr>
                <w:sz w:val="22"/>
                <w:szCs w:val="22"/>
              </w:rPr>
              <w:t xml:space="preserve"> the rate-setting methods </w:t>
            </w:r>
            <w:r w:rsidRPr="0017133D" w:rsidR="001B2A9F">
              <w:rPr>
                <w:sz w:val="22"/>
                <w:szCs w:val="22"/>
              </w:rPr>
              <w:t xml:space="preserve">established by Commission rules </w:t>
            </w:r>
            <w:r w:rsidRPr="0017133D" w:rsidR="00312D4E">
              <w:rPr>
                <w:sz w:val="22"/>
                <w:szCs w:val="22"/>
              </w:rPr>
              <w:t xml:space="preserve">during </w:t>
            </w:r>
            <w:r w:rsidR="00C41EFD">
              <w:rPr>
                <w:sz w:val="22"/>
                <w:szCs w:val="22"/>
              </w:rPr>
              <w:t>f</w:t>
            </w:r>
            <w:r w:rsidRPr="0017133D" w:rsidR="00312D4E">
              <w:rPr>
                <w:sz w:val="22"/>
                <w:szCs w:val="22"/>
              </w:rPr>
              <w:t xml:space="preserve">unding </w:t>
            </w:r>
            <w:r w:rsidR="00C41EFD">
              <w:rPr>
                <w:sz w:val="22"/>
                <w:szCs w:val="22"/>
              </w:rPr>
              <w:t>y</w:t>
            </w:r>
            <w:r w:rsidRPr="0017133D" w:rsidR="00312D4E">
              <w:rPr>
                <w:sz w:val="22"/>
                <w:szCs w:val="22"/>
              </w:rPr>
              <w:t>ear</w:t>
            </w:r>
            <w:r w:rsidRPr="0017133D" w:rsidR="0094432A">
              <w:rPr>
                <w:sz w:val="22"/>
                <w:szCs w:val="22"/>
              </w:rPr>
              <w:t>s</w:t>
            </w:r>
            <w:r w:rsidRPr="0017133D" w:rsidR="00312D4E">
              <w:rPr>
                <w:sz w:val="22"/>
                <w:szCs w:val="22"/>
              </w:rPr>
              <w:t xml:space="preserve"> 2015-2016. </w:t>
            </w:r>
            <w:r w:rsidRPr="0017133D" w:rsidR="00B6381E">
              <w:rPr>
                <w:sz w:val="22"/>
                <w:szCs w:val="22"/>
              </w:rPr>
              <w:t xml:space="preserve"> In instances where GC</w:t>
            </w:r>
            <w:r w:rsidRPr="0017133D" w:rsidR="00CF794D">
              <w:rPr>
                <w:sz w:val="22"/>
                <w:szCs w:val="22"/>
              </w:rPr>
              <w:t>I</w:t>
            </w:r>
            <w:r w:rsidRPr="0017133D" w:rsidR="00B6381E">
              <w:rPr>
                <w:sz w:val="22"/>
                <w:szCs w:val="22"/>
              </w:rPr>
              <w:t xml:space="preserve">’s rural rates did not accord with </w:t>
            </w:r>
            <w:r w:rsidRPr="0017133D" w:rsidR="000208C7">
              <w:rPr>
                <w:sz w:val="22"/>
                <w:szCs w:val="22"/>
              </w:rPr>
              <w:t>permitted methodologies</w:t>
            </w:r>
            <w:r w:rsidRPr="0017133D" w:rsidR="00B6381E">
              <w:rPr>
                <w:sz w:val="22"/>
                <w:szCs w:val="22"/>
              </w:rPr>
              <w:t xml:space="preserve">, GCI did not seek and receive cost-based rate approval from the Commission as </w:t>
            </w:r>
            <w:r w:rsidRPr="0017133D" w:rsidR="000208C7">
              <w:rPr>
                <w:sz w:val="22"/>
                <w:szCs w:val="22"/>
              </w:rPr>
              <w:t>required by</w:t>
            </w:r>
            <w:r w:rsidRPr="0017133D" w:rsidR="00863FBF">
              <w:rPr>
                <w:sz w:val="22"/>
                <w:szCs w:val="22"/>
              </w:rPr>
              <w:t xml:space="preserve"> </w:t>
            </w:r>
            <w:r w:rsidR="00BE5C67">
              <w:rPr>
                <w:sz w:val="22"/>
                <w:szCs w:val="22"/>
              </w:rPr>
              <w:t>RHC Program</w:t>
            </w:r>
            <w:r w:rsidRPr="0017133D" w:rsidR="00863FBF">
              <w:rPr>
                <w:sz w:val="22"/>
                <w:szCs w:val="22"/>
              </w:rPr>
              <w:t xml:space="preserve"> </w:t>
            </w:r>
            <w:r w:rsidR="00BE5C67">
              <w:rPr>
                <w:sz w:val="22"/>
                <w:szCs w:val="22"/>
              </w:rPr>
              <w:t>r</w:t>
            </w:r>
            <w:r w:rsidRPr="0017133D" w:rsidR="00863FBF">
              <w:rPr>
                <w:sz w:val="22"/>
                <w:szCs w:val="22"/>
              </w:rPr>
              <w:t>ules.</w:t>
            </w:r>
          </w:p>
          <w:p w:rsidR="00550D9E" w:rsidP="003E2B40" w14:paraId="77D02FE0" w14:textId="77777777">
            <w:pPr>
              <w:rPr>
                <w:sz w:val="22"/>
                <w:szCs w:val="22"/>
              </w:rPr>
            </w:pPr>
          </w:p>
          <w:p w:rsidR="0032137F" w:rsidRPr="0017133D" w:rsidP="00FE20B8" w14:paraId="40573BBE" w14:textId="34729002">
            <w:pPr>
              <w:rPr>
                <w:sz w:val="22"/>
                <w:szCs w:val="22"/>
              </w:rPr>
            </w:pPr>
            <w:r w:rsidRPr="0017133D">
              <w:rPr>
                <w:sz w:val="22"/>
                <w:szCs w:val="22"/>
              </w:rPr>
              <w:t xml:space="preserve">In addition, GCI violated rules governing the competitive bidding process in connection with five contracts signed with health care providers in 2015 and 2016.  </w:t>
            </w:r>
            <w:r w:rsidRPr="0017133D" w:rsidR="00F65BB2">
              <w:rPr>
                <w:sz w:val="22"/>
                <w:szCs w:val="22"/>
              </w:rPr>
              <w:t xml:space="preserve">The Commission’s requirement that RHC Program contracts be awarded through a competitive bidding process is fundamental </w:t>
            </w:r>
            <w:r w:rsidRPr="0017133D" w:rsidR="00D21131">
              <w:rPr>
                <w:sz w:val="22"/>
                <w:szCs w:val="22"/>
              </w:rPr>
              <w:t>to the program’s efforts to ensure fiscal responsibility and to limit</w:t>
            </w:r>
            <w:r w:rsidRPr="0017133D" w:rsidR="001D699E">
              <w:rPr>
                <w:sz w:val="22"/>
                <w:szCs w:val="22"/>
              </w:rPr>
              <w:t xml:space="preserve"> waste, fraud, </w:t>
            </w:r>
            <w:r w:rsidRPr="0017133D" w:rsidR="001D699E">
              <w:rPr>
                <w:sz w:val="22"/>
                <w:szCs w:val="22"/>
              </w:rPr>
              <w:t xml:space="preserve">and abuse of the </w:t>
            </w:r>
            <w:r w:rsidR="00BE5C67">
              <w:rPr>
                <w:sz w:val="22"/>
                <w:szCs w:val="22"/>
              </w:rPr>
              <w:t>Fund</w:t>
            </w:r>
            <w:r w:rsidRPr="0017133D" w:rsidR="001D699E">
              <w:rPr>
                <w:sz w:val="22"/>
                <w:szCs w:val="22"/>
              </w:rPr>
              <w:t>.</w:t>
            </w:r>
            <w:r w:rsidRPr="0017133D" w:rsidR="00E03E91">
              <w:rPr>
                <w:sz w:val="22"/>
                <w:szCs w:val="22"/>
              </w:rPr>
              <w:t xml:space="preserve"> </w:t>
            </w:r>
            <w:r w:rsidR="000D448E">
              <w:rPr>
                <w:sz w:val="22"/>
                <w:szCs w:val="22"/>
              </w:rPr>
              <w:t xml:space="preserve"> </w:t>
            </w:r>
            <w:r w:rsidRPr="0017133D" w:rsidR="00E03E91">
              <w:rPr>
                <w:sz w:val="22"/>
                <w:szCs w:val="22"/>
              </w:rPr>
              <w:t>The Commission has repeatedly made clear that compliance with its bidding rules is a prerequisite for rece</w:t>
            </w:r>
            <w:r w:rsidRPr="0017133D" w:rsidR="006B14EE">
              <w:rPr>
                <w:sz w:val="22"/>
                <w:szCs w:val="22"/>
              </w:rPr>
              <w:t xml:space="preserve">iving payments from the Fund and that those who violate these rules are not entitled to funding. </w:t>
            </w:r>
            <w:r w:rsidRPr="0017133D" w:rsidR="001D699E">
              <w:rPr>
                <w:sz w:val="22"/>
                <w:szCs w:val="22"/>
              </w:rPr>
              <w:t xml:space="preserve"> </w:t>
            </w:r>
          </w:p>
          <w:p w:rsidR="0032137F" w:rsidRPr="0017133D" w:rsidP="00FE20B8" w14:paraId="0B3B0F08" w14:textId="77777777">
            <w:pPr>
              <w:rPr>
                <w:sz w:val="22"/>
                <w:szCs w:val="22"/>
              </w:rPr>
            </w:pPr>
          </w:p>
          <w:p w:rsidR="00B6381E" w:rsidRPr="0017133D" w:rsidP="00FE20B8" w14:paraId="612B4DB1" w14:textId="121C7F51">
            <w:pPr>
              <w:rPr>
                <w:sz w:val="22"/>
                <w:szCs w:val="22"/>
              </w:rPr>
            </w:pPr>
            <w:r w:rsidRPr="0017133D">
              <w:rPr>
                <w:sz w:val="22"/>
                <w:szCs w:val="22"/>
              </w:rPr>
              <w:t xml:space="preserve">Lastly, </w:t>
            </w:r>
            <w:r w:rsidRPr="0017133D" w:rsidR="00F96301">
              <w:rPr>
                <w:sz w:val="22"/>
                <w:szCs w:val="22"/>
              </w:rPr>
              <w:t>during the Commission’s investigation, GCI disclosed that the urban rate it had charged to certain health care providers was too low and that this resulted in excessive rural rate reimbursement</w:t>
            </w:r>
            <w:r w:rsidRPr="0017133D" w:rsidR="00E511FF">
              <w:rPr>
                <w:sz w:val="22"/>
                <w:szCs w:val="22"/>
              </w:rPr>
              <w:t xml:space="preserve"> amounts being requested and received by GCI from </w:t>
            </w:r>
            <w:r w:rsidRPr="0017133D" w:rsidR="00F61085">
              <w:rPr>
                <w:sz w:val="22"/>
                <w:szCs w:val="22"/>
              </w:rPr>
              <w:t xml:space="preserve">the </w:t>
            </w:r>
            <w:r w:rsidRPr="0017133D" w:rsidR="00E511FF">
              <w:rPr>
                <w:sz w:val="22"/>
                <w:szCs w:val="22"/>
              </w:rPr>
              <w:t>U</w:t>
            </w:r>
            <w:r w:rsidRPr="0017133D" w:rsidR="00F61085">
              <w:rPr>
                <w:sz w:val="22"/>
                <w:szCs w:val="22"/>
              </w:rPr>
              <w:t>SF.</w:t>
            </w:r>
            <w:r w:rsidRPr="0017133D" w:rsidR="00B243E0">
              <w:rPr>
                <w:sz w:val="22"/>
                <w:szCs w:val="22"/>
              </w:rPr>
              <w:t xml:space="preserve"> </w:t>
            </w:r>
            <w:r w:rsidR="000D448E">
              <w:rPr>
                <w:sz w:val="22"/>
                <w:szCs w:val="22"/>
              </w:rPr>
              <w:t xml:space="preserve"> </w:t>
            </w:r>
            <w:r w:rsidRPr="0017133D" w:rsidR="00B243E0">
              <w:rPr>
                <w:sz w:val="22"/>
                <w:szCs w:val="22"/>
              </w:rPr>
              <w:t xml:space="preserve">For these violations, in addition to a financial </w:t>
            </w:r>
            <w:r w:rsidRPr="0017133D" w:rsidR="005016DF">
              <w:rPr>
                <w:sz w:val="22"/>
                <w:szCs w:val="22"/>
              </w:rPr>
              <w:t xml:space="preserve">settlement, GCI will develop and implement a compliance plan to include a </w:t>
            </w:r>
            <w:r w:rsidRPr="0017133D" w:rsidR="008F7AEE">
              <w:rPr>
                <w:sz w:val="22"/>
                <w:szCs w:val="22"/>
              </w:rPr>
              <w:t xml:space="preserve">robust </w:t>
            </w:r>
            <w:r w:rsidRPr="0017133D" w:rsidR="005016DF">
              <w:rPr>
                <w:sz w:val="22"/>
                <w:szCs w:val="22"/>
              </w:rPr>
              <w:t>training program</w:t>
            </w:r>
            <w:r w:rsidRPr="0017133D" w:rsidR="000F06F9">
              <w:rPr>
                <w:sz w:val="22"/>
                <w:szCs w:val="22"/>
              </w:rPr>
              <w:t>,</w:t>
            </w:r>
            <w:r w:rsidRPr="0017133D" w:rsidR="008F7AEE">
              <w:rPr>
                <w:sz w:val="22"/>
                <w:szCs w:val="22"/>
              </w:rPr>
              <w:t xml:space="preserve"> </w:t>
            </w:r>
            <w:r w:rsidR="00C41EFD">
              <w:rPr>
                <w:sz w:val="22"/>
                <w:szCs w:val="22"/>
              </w:rPr>
              <w:t>c</w:t>
            </w:r>
            <w:r w:rsidRPr="0017133D" w:rsidR="005016DF">
              <w:rPr>
                <w:sz w:val="22"/>
                <w:szCs w:val="22"/>
              </w:rPr>
              <w:t xml:space="preserve">ompliance </w:t>
            </w:r>
            <w:r w:rsidR="00C41EFD">
              <w:rPr>
                <w:sz w:val="22"/>
                <w:szCs w:val="22"/>
              </w:rPr>
              <w:t>h</w:t>
            </w:r>
            <w:r w:rsidRPr="0017133D" w:rsidR="005016DF">
              <w:rPr>
                <w:sz w:val="22"/>
                <w:szCs w:val="22"/>
              </w:rPr>
              <w:t>otline</w:t>
            </w:r>
            <w:r w:rsidRPr="0017133D" w:rsidR="00942CAB">
              <w:rPr>
                <w:sz w:val="22"/>
                <w:szCs w:val="22"/>
              </w:rPr>
              <w:t xml:space="preserve">, </w:t>
            </w:r>
            <w:r w:rsidRPr="0017133D" w:rsidR="000F06F9">
              <w:rPr>
                <w:sz w:val="22"/>
                <w:szCs w:val="22"/>
              </w:rPr>
              <w:t xml:space="preserve">and </w:t>
            </w:r>
            <w:r w:rsidRPr="0017133D" w:rsidR="00942CAB">
              <w:rPr>
                <w:sz w:val="22"/>
                <w:szCs w:val="22"/>
              </w:rPr>
              <w:t xml:space="preserve">reporting </w:t>
            </w:r>
            <w:r w:rsidRPr="0017133D" w:rsidR="00505C34">
              <w:rPr>
                <w:sz w:val="22"/>
                <w:szCs w:val="22"/>
              </w:rPr>
              <w:t>and audit</w:t>
            </w:r>
            <w:r w:rsidRPr="0017133D" w:rsidR="006728C2">
              <w:rPr>
                <w:sz w:val="22"/>
                <w:szCs w:val="22"/>
              </w:rPr>
              <w:t xml:space="preserve"> </w:t>
            </w:r>
            <w:r w:rsidRPr="0017133D" w:rsidR="000F06F9">
              <w:rPr>
                <w:sz w:val="22"/>
                <w:szCs w:val="22"/>
              </w:rPr>
              <w:t>requir</w:t>
            </w:r>
            <w:r w:rsidRPr="0017133D" w:rsidR="002C6059">
              <w:rPr>
                <w:sz w:val="22"/>
                <w:szCs w:val="22"/>
              </w:rPr>
              <w:t>e</w:t>
            </w:r>
            <w:r w:rsidRPr="0017133D" w:rsidR="000F06F9">
              <w:rPr>
                <w:sz w:val="22"/>
                <w:szCs w:val="22"/>
              </w:rPr>
              <w:t>ments, among other provisions</w:t>
            </w:r>
            <w:r w:rsidRPr="0017133D" w:rsidR="006728C2">
              <w:rPr>
                <w:sz w:val="22"/>
                <w:szCs w:val="22"/>
              </w:rPr>
              <w:t>.</w:t>
            </w:r>
          </w:p>
          <w:p w:rsidR="00FE20B8" w:rsidRPr="0017133D" w:rsidP="00FE20B8" w14:paraId="6E5A399B" w14:textId="091E74F3">
            <w:pPr>
              <w:rPr>
                <w:sz w:val="22"/>
                <w:szCs w:val="22"/>
              </w:rPr>
            </w:pPr>
            <w:r w:rsidRPr="0017133D">
              <w:rPr>
                <w:sz w:val="22"/>
                <w:szCs w:val="22"/>
              </w:rPr>
              <w:t xml:space="preserve"> </w:t>
            </w:r>
          </w:p>
          <w:p w:rsidR="00BD19E8" w:rsidRPr="00ED2412" w:rsidP="00FE20B8" w14:paraId="341D3925" w14:textId="220F1F9D">
            <w:pPr>
              <w:rPr>
                <w:sz w:val="22"/>
                <w:szCs w:val="22"/>
              </w:rPr>
            </w:pPr>
            <w:r w:rsidRPr="00ED2412">
              <w:rPr>
                <w:sz w:val="22"/>
                <w:szCs w:val="22"/>
              </w:rPr>
              <w:t xml:space="preserve">The </w:t>
            </w:r>
            <w:r w:rsidRPr="00ED2412" w:rsidR="00C41EFD">
              <w:rPr>
                <w:sz w:val="22"/>
                <w:szCs w:val="22"/>
              </w:rPr>
              <w:t xml:space="preserve">settlement, formally known as a </w:t>
            </w:r>
            <w:r w:rsidRPr="00ED2412">
              <w:rPr>
                <w:sz w:val="22"/>
                <w:szCs w:val="22"/>
              </w:rPr>
              <w:t>Consent Decree</w:t>
            </w:r>
            <w:r w:rsidRPr="00ED2412" w:rsidR="00C41EFD">
              <w:rPr>
                <w:sz w:val="22"/>
                <w:szCs w:val="22"/>
              </w:rPr>
              <w:t>,</w:t>
            </w:r>
            <w:r w:rsidRPr="00ED2412">
              <w:rPr>
                <w:sz w:val="22"/>
                <w:szCs w:val="22"/>
              </w:rPr>
              <w:t xml:space="preserve"> is available </w:t>
            </w:r>
            <w:r w:rsidRPr="00ED2412" w:rsidR="003C7A3E">
              <w:rPr>
                <w:sz w:val="22"/>
                <w:szCs w:val="22"/>
              </w:rPr>
              <w:t xml:space="preserve">at </w:t>
            </w:r>
            <w:hyperlink r:id="rId5" w:history="1">
              <w:r w:rsidRPr="00ED2412" w:rsidR="00ED2412">
                <w:rPr>
                  <w:rStyle w:val="Hyperlink"/>
                  <w:sz w:val="22"/>
                  <w:szCs w:val="22"/>
                </w:rPr>
                <w:t>https://docs.fcc.gov/public/attachments/DA-23-380A1.pdf</w:t>
              </w:r>
            </w:hyperlink>
            <w:r w:rsidRPr="00ED2412" w:rsidR="003C7A3E">
              <w:rPr>
                <w:sz w:val="22"/>
                <w:szCs w:val="22"/>
              </w:rPr>
              <w:t>.</w:t>
            </w:r>
          </w:p>
          <w:p w:rsidR="00C41EFD" w:rsidRPr="0017133D" w:rsidP="00FE20B8" w14:paraId="436A45B2" w14:textId="77777777">
            <w:pPr>
              <w:rPr>
                <w:sz w:val="22"/>
                <w:szCs w:val="22"/>
              </w:rPr>
            </w:pPr>
          </w:p>
          <w:p w:rsidR="004F0F1F" w:rsidRPr="0017133D" w:rsidP="00850E26" w14:paraId="6026102A" w14:textId="77777777">
            <w:pPr>
              <w:ind w:right="72"/>
              <w:jc w:val="center"/>
              <w:rPr>
                <w:sz w:val="22"/>
                <w:szCs w:val="22"/>
              </w:rPr>
            </w:pPr>
            <w:r w:rsidRPr="0017133D">
              <w:rPr>
                <w:sz w:val="22"/>
                <w:szCs w:val="22"/>
              </w:rPr>
              <w:t>###</w:t>
            </w:r>
          </w:p>
          <w:p w:rsidR="00CC5E08" w:rsidRPr="00182772" w:rsidP="00850E26" w14:paraId="2F46FF4A" w14:textId="2E1E4DF5">
            <w:pPr>
              <w:ind w:right="72"/>
              <w:jc w:val="center"/>
              <w:rPr>
                <w:rStyle w:val="Hyperlink"/>
                <w:b/>
                <w:bCs/>
                <w:color w:val="auto"/>
                <w:sz w:val="17"/>
                <w:szCs w:val="17"/>
              </w:rPr>
            </w:pPr>
            <w:r w:rsidRPr="00182772">
              <w:rPr>
                <w:b/>
                <w:bCs/>
                <w:sz w:val="17"/>
                <w:szCs w:val="17"/>
              </w:rPr>
              <w:br/>
            </w:r>
            <w:r w:rsidRPr="00182772" w:rsidR="00AD0D19">
              <w:rPr>
                <w:b/>
                <w:bCs/>
                <w:sz w:val="17"/>
                <w:szCs w:val="17"/>
              </w:rPr>
              <w:t xml:space="preserve">Media Relations: </w:t>
            </w:r>
            <w:r w:rsidRPr="00182772" w:rsidR="00AC0A38">
              <w:rPr>
                <w:b/>
                <w:bCs/>
                <w:sz w:val="17"/>
                <w:szCs w:val="17"/>
              </w:rPr>
              <w:t xml:space="preserve">(202) </w:t>
            </w:r>
            <w:r w:rsidRPr="00182772" w:rsidR="00AD0D19">
              <w:rPr>
                <w:b/>
                <w:bCs/>
                <w:sz w:val="17"/>
                <w:szCs w:val="17"/>
              </w:rPr>
              <w:t>418-</w:t>
            </w:r>
            <w:r w:rsidRPr="00182772">
              <w:rPr>
                <w:b/>
                <w:bCs/>
                <w:sz w:val="17"/>
                <w:szCs w:val="17"/>
              </w:rPr>
              <w:t>0500</w:t>
            </w:r>
            <w:r w:rsidRPr="00182772" w:rsidR="0080486B">
              <w:rPr>
                <w:b/>
                <w:bCs/>
                <w:sz w:val="17"/>
                <w:szCs w:val="17"/>
              </w:rPr>
              <w:t xml:space="preserve"> / </w:t>
            </w:r>
            <w:r w:rsidRPr="00182772" w:rsidR="00850E26">
              <w:rPr>
                <w:b/>
                <w:bCs/>
                <w:sz w:val="17"/>
                <w:szCs w:val="17"/>
              </w:rPr>
              <w:t>ASL</w:t>
            </w:r>
            <w:r w:rsidRPr="00182772" w:rsidR="00A81700">
              <w:rPr>
                <w:b/>
                <w:bCs/>
                <w:sz w:val="17"/>
                <w:szCs w:val="17"/>
              </w:rPr>
              <w:t xml:space="preserve">: (844) </w:t>
            </w:r>
            <w:r w:rsidRPr="00182772" w:rsidR="00850E26">
              <w:rPr>
                <w:b/>
                <w:bCs/>
                <w:sz w:val="17"/>
                <w:szCs w:val="17"/>
              </w:rPr>
              <w:t>432-2275</w:t>
            </w:r>
            <w:r w:rsidRPr="00182772" w:rsidR="0080486B">
              <w:rPr>
                <w:b/>
                <w:bCs/>
                <w:sz w:val="17"/>
                <w:szCs w:val="17"/>
              </w:rPr>
              <w:t xml:space="preserve"> / </w:t>
            </w:r>
            <w:r w:rsidRPr="00182772" w:rsidR="006A2FC5">
              <w:rPr>
                <w:b/>
                <w:bCs/>
                <w:sz w:val="17"/>
                <w:szCs w:val="17"/>
              </w:rPr>
              <w:t>Twitter: @FCC</w:t>
            </w:r>
            <w:r w:rsidRPr="00182772" w:rsidR="0080486B">
              <w:rPr>
                <w:b/>
                <w:bCs/>
                <w:sz w:val="17"/>
                <w:szCs w:val="17"/>
              </w:rPr>
              <w:t xml:space="preserve"> / </w:t>
            </w:r>
            <w:r w:rsidRPr="00182772" w:rsidR="00285C36">
              <w:rPr>
                <w:b/>
                <w:sz w:val="17"/>
                <w:szCs w:val="17"/>
              </w:rPr>
              <w:t>www.fcc.gov</w:t>
            </w:r>
          </w:p>
          <w:p w:rsidR="0069420F" w:rsidRPr="00182772" w:rsidP="00850E26" w14:paraId="51BC802A" w14:textId="77777777">
            <w:pPr>
              <w:ind w:right="72"/>
              <w:jc w:val="center"/>
              <w:rPr>
                <w:b/>
                <w:bCs/>
                <w:sz w:val="16"/>
                <w:szCs w:val="16"/>
              </w:rPr>
            </w:pPr>
          </w:p>
          <w:p w:rsidR="00EE0E90" w:rsidRPr="00D55918" w:rsidP="00850E26" w14:paraId="478DB3A2" w14:textId="77777777">
            <w:pPr>
              <w:ind w:right="72"/>
              <w:jc w:val="center"/>
              <w:rPr>
                <w:bCs/>
                <w:i/>
                <w:sz w:val="18"/>
                <w:szCs w:val="18"/>
              </w:rPr>
            </w:pPr>
            <w:r w:rsidRPr="00182772">
              <w:rPr>
                <w:bCs/>
                <w:i/>
                <w:sz w:val="16"/>
                <w:szCs w:val="16"/>
              </w:rPr>
              <w:t>This is an unofficial announcement of Commission action.  Release of the full text of a Commission order constitutes official action.  See MCI v. FCC, 515 F.2d 385 (D.C. Cir. 1974).</w:t>
            </w:r>
          </w:p>
        </w:tc>
      </w:tr>
    </w:tbl>
    <w:p w:rsidR="00D24C3D" w:rsidRPr="0017133D" w14:paraId="52F1E14A" w14:textId="77777777">
      <w:pPr>
        <w:rPr>
          <w:b/>
          <w:bCs/>
          <w:sz w:val="22"/>
          <w:szCs w:val="2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D61876"/>
    <w:multiLevelType w:val="hybridMultilevel"/>
    <w:tmpl w:val="19EE0B22"/>
    <w:lvl w:ilvl="0">
      <w:start w:val="1"/>
      <w:numFmt w:val="lowerLetter"/>
      <w:lvlText w:val="(%1)"/>
      <w:lvlJc w:val="left"/>
      <w:pPr>
        <w:ind w:left="1440" w:hanging="360"/>
      </w:pPr>
      <w:rPr>
        <w:b w:val="0"/>
        <w:i w:val="0"/>
        <w:color w:val="auto"/>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2"/>
    <w:lvlOverride w:ilvl="0">
      <w:startOverride w:val="1"/>
    </w:lvlOverride>
  </w:num>
  <w:num w:numId="3">
    <w:abstractNumId w:val="0"/>
    <w:lvlOverride w:ilvl="0">
      <w:lvl w:ilvl="0">
        <w:start w:val="1"/>
        <w:numFmt w:val="decimal"/>
        <w:lvlText w:val="(%1)"/>
        <w:lvlJc w:val="left"/>
        <w:pPr>
          <w:ind w:left="1440" w:hanging="360"/>
        </w:pPr>
        <w:rPr>
          <w:b w:val="0"/>
          <w:i w:val="0"/>
          <w:color w:val="auto"/>
          <w:sz w:val="22"/>
        </w:rPr>
      </w:lvl>
    </w:lvlOverride>
    <w:lvlOverride w:ilvl="1">
      <w:lvl w:ilvl="1">
        <w:start w:val="1"/>
        <w:numFmt w:val="decimal"/>
        <w:lvlText w:val="%2."/>
        <w:lvlJc w:val="left"/>
        <w:pPr>
          <w:ind w:left="2160" w:hanging="360"/>
        </w:pPr>
      </w:lvl>
    </w:lvlOverride>
    <w:lvlOverride w:ilvl="2">
      <w:lvl w:ilvl="2">
        <w:start w:val="1"/>
        <w:numFmt w:val="decimal"/>
        <w:lvlText w:val="%3."/>
        <w:lvlJc w:val="right"/>
        <w:pPr>
          <w:ind w:left="2880" w:hanging="180"/>
        </w:pPr>
      </w:lvl>
    </w:lvlOverride>
    <w:lvlOverride w:ilvl="3">
      <w:lvl w:ilvl="3">
        <w:start w:val="1"/>
        <w:numFmt w:val="decimal"/>
        <w:lvlText w:val="%4."/>
        <w:lvlJc w:val="left"/>
        <w:pPr>
          <w:ind w:left="3600" w:hanging="360"/>
        </w:pPr>
      </w:lvl>
    </w:lvlOverride>
    <w:lvlOverride w:ilvl="4">
      <w:lvl w:ilvl="4">
        <w:start w:val="1"/>
        <w:numFmt w:val="decimal"/>
        <w:lvlText w:val="%5."/>
        <w:lvlJc w:val="left"/>
        <w:pPr>
          <w:ind w:left="4320" w:hanging="360"/>
        </w:pPr>
      </w:lvl>
    </w:lvlOverride>
    <w:lvlOverride w:ilvl="5">
      <w:lvl w:ilvl="5">
        <w:start w:val="1"/>
        <w:numFmt w:val="decimal"/>
        <w:lvlText w:val="%6."/>
        <w:lvlJc w:val="right"/>
        <w:pPr>
          <w:ind w:left="5040" w:hanging="180"/>
        </w:pPr>
      </w:lvl>
    </w:lvlOverride>
    <w:lvlOverride w:ilvl="6">
      <w:lvl w:ilvl="6">
        <w:start w:val="1"/>
        <w:numFmt w:val="decimal"/>
        <w:lvlText w:val="%7."/>
        <w:lvlJc w:val="left"/>
        <w:pPr>
          <w:ind w:left="5760" w:hanging="360"/>
        </w:pPr>
      </w:lvl>
    </w:lvlOverride>
    <w:lvlOverride w:ilvl="7">
      <w:lvl w:ilvl="7">
        <w:start w:val="1"/>
        <w:numFmt w:val="decimal"/>
        <w:lvlText w:val="%8."/>
        <w:lvlJc w:val="left"/>
        <w:pPr>
          <w:ind w:left="6480" w:hanging="360"/>
        </w:pPr>
      </w:lvl>
    </w:lvlOverride>
    <w:lvlOverride w:ilvl="8">
      <w:lvl w:ilvl="8">
        <w:start w:val="1"/>
        <w:numFmt w:val="decimal"/>
        <w:lvlText w:val="%9."/>
        <w:lvlJc w:val="right"/>
        <w:pPr>
          <w:ind w:left="720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B8"/>
    <w:rsid w:val="000208C7"/>
    <w:rsid w:val="0002500C"/>
    <w:rsid w:val="000311FC"/>
    <w:rsid w:val="00040127"/>
    <w:rsid w:val="00056FC8"/>
    <w:rsid w:val="00065E2D"/>
    <w:rsid w:val="00081232"/>
    <w:rsid w:val="00091E65"/>
    <w:rsid w:val="00096D4A"/>
    <w:rsid w:val="000A32C3"/>
    <w:rsid w:val="000A38EA"/>
    <w:rsid w:val="000C1E47"/>
    <w:rsid w:val="000C26F3"/>
    <w:rsid w:val="000D448E"/>
    <w:rsid w:val="000E049E"/>
    <w:rsid w:val="000F06F9"/>
    <w:rsid w:val="000F251A"/>
    <w:rsid w:val="0010412F"/>
    <w:rsid w:val="0010799B"/>
    <w:rsid w:val="00117DB2"/>
    <w:rsid w:val="00123ED2"/>
    <w:rsid w:val="00125BE0"/>
    <w:rsid w:val="001408E5"/>
    <w:rsid w:val="00142C13"/>
    <w:rsid w:val="00152776"/>
    <w:rsid w:val="00153222"/>
    <w:rsid w:val="001577D3"/>
    <w:rsid w:val="0017133D"/>
    <w:rsid w:val="001733A6"/>
    <w:rsid w:val="00182772"/>
    <w:rsid w:val="001865A9"/>
    <w:rsid w:val="00187DB2"/>
    <w:rsid w:val="001B20BB"/>
    <w:rsid w:val="001B2A9F"/>
    <w:rsid w:val="001B761A"/>
    <w:rsid w:val="001C4370"/>
    <w:rsid w:val="001C74A2"/>
    <w:rsid w:val="001D3779"/>
    <w:rsid w:val="001D699E"/>
    <w:rsid w:val="001F0469"/>
    <w:rsid w:val="00201D85"/>
    <w:rsid w:val="00203A98"/>
    <w:rsid w:val="00206EDD"/>
    <w:rsid w:val="0020722B"/>
    <w:rsid w:val="0021247E"/>
    <w:rsid w:val="002146F6"/>
    <w:rsid w:val="00216F35"/>
    <w:rsid w:val="00230C97"/>
    <w:rsid w:val="00231C32"/>
    <w:rsid w:val="00240345"/>
    <w:rsid w:val="002421F0"/>
    <w:rsid w:val="00247274"/>
    <w:rsid w:val="00260116"/>
    <w:rsid w:val="00266966"/>
    <w:rsid w:val="002716F9"/>
    <w:rsid w:val="0028390C"/>
    <w:rsid w:val="00285C36"/>
    <w:rsid w:val="00286596"/>
    <w:rsid w:val="00294C0C"/>
    <w:rsid w:val="002A0934"/>
    <w:rsid w:val="002B1013"/>
    <w:rsid w:val="002C6059"/>
    <w:rsid w:val="002D03E5"/>
    <w:rsid w:val="002E165B"/>
    <w:rsid w:val="002E3A5A"/>
    <w:rsid w:val="002E3F1D"/>
    <w:rsid w:val="002F31D0"/>
    <w:rsid w:val="00300359"/>
    <w:rsid w:val="00312D4E"/>
    <w:rsid w:val="00314010"/>
    <w:rsid w:val="0031773E"/>
    <w:rsid w:val="0032137F"/>
    <w:rsid w:val="00333871"/>
    <w:rsid w:val="00347716"/>
    <w:rsid w:val="003506E1"/>
    <w:rsid w:val="003727E3"/>
    <w:rsid w:val="00385A93"/>
    <w:rsid w:val="003910F1"/>
    <w:rsid w:val="003C7A3E"/>
    <w:rsid w:val="003D3DD7"/>
    <w:rsid w:val="003D7499"/>
    <w:rsid w:val="003E2B40"/>
    <w:rsid w:val="003E42FC"/>
    <w:rsid w:val="003E5991"/>
    <w:rsid w:val="003F344A"/>
    <w:rsid w:val="003F5F7E"/>
    <w:rsid w:val="00403FF0"/>
    <w:rsid w:val="0041312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16DF"/>
    <w:rsid w:val="005022AA"/>
    <w:rsid w:val="00504845"/>
    <w:rsid w:val="00505C34"/>
    <w:rsid w:val="0050757F"/>
    <w:rsid w:val="00516AD2"/>
    <w:rsid w:val="00545DAE"/>
    <w:rsid w:val="00550D9E"/>
    <w:rsid w:val="00556957"/>
    <w:rsid w:val="00571B83"/>
    <w:rsid w:val="00575A00"/>
    <w:rsid w:val="00586417"/>
    <w:rsid w:val="0058673C"/>
    <w:rsid w:val="0059334D"/>
    <w:rsid w:val="005A4F4B"/>
    <w:rsid w:val="005A7972"/>
    <w:rsid w:val="005B17E7"/>
    <w:rsid w:val="005B2643"/>
    <w:rsid w:val="005B657B"/>
    <w:rsid w:val="005D17FD"/>
    <w:rsid w:val="005D6269"/>
    <w:rsid w:val="005F0D55"/>
    <w:rsid w:val="005F183E"/>
    <w:rsid w:val="00600DDA"/>
    <w:rsid w:val="00603A30"/>
    <w:rsid w:val="00604211"/>
    <w:rsid w:val="00613498"/>
    <w:rsid w:val="006177B3"/>
    <w:rsid w:val="00617B94"/>
    <w:rsid w:val="00620BED"/>
    <w:rsid w:val="006415B4"/>
    <w:rsid w:val="00644E3D"/>
    <w:rsid w:val="00646566"/>
    <w:rsid w:val="00651B9E"/>
    <w:rsid w:val="00652019"/>
    <w:rsid w:val="00657EC9"/>
    <w:rsid w:val="00665633"/>
    <w:rsid w:val="00670273"/>
    <w:rsid w:val="006728C2"/>
    <w:rsid w:val="00674C86"/>
    <w:rsid w:val="0068015E"/>
    <w:rsid w:val="0068066C"/>
    <w:rsid w:val="006837B8"/>
    <w:rsid w:val="006861AB"/>
    <w:rsid w:val="00686B89"/>
    <w:rsid w:val="0069420F"/>
    <w:rsid w:val="006A2FC5"/>
    <w:rsid w:val="006A7D75"/>
    <w:rsid w:val="006B0A70"/>
    <w:rsid w:val="006B14EE"/>
    <w:rsid w:val="006B606A"/>
    <w:rsid w:val="006C0A7E"/>
    <w:rsid w:val="006C33AF"/>
    <w:rsid w:val="006D16EF"/>
    <w:rsid w:val="006D5D22"/>
    <w:rsid w:val="006E0324"/>
    <w:rsid w:val="006E4A76"/>
    <w:rsid w:val="006F1DBD"/>
    <w:rsid w:val="00700556"/>
    <w:rsid w:val="0070589A"/>
    <w:rsid w:val="007167DD"/>
    <w:rsid w:val="00716B67"/>
    <w:rsid w:val="0072478B"/>
    <w:rsid w:val="00731ADC"/>
    <w:rsid w:val="0073410D"/>
    <w:rsid w:val="0073414D"/>
    <w:rsid w:val="00746E3D"/>
    <w:rsid w:val="007475A1"/>
    <w:rsid w:val="0075235E"/>
    <w:rsid w:val="007528A5"/>
    <w:rsid w:val="00755A22"/>
    <w:rsid w:val="00770A53"/>
    <w:rsid w:val="007732CC"/>
    <w:rsid w:val="00774079"/>
    <w:rsid w:val="007773A2"/>
    <w:rsid w:val="0077752B"/>
    <w:rsid w:val="00793D6F"/>
    <w:rsid w:val="00794090"/>
    <w:rsid w:val="007A44F8"/>
    <w:rsid w:val="007D21BF"/>
    <w:rsid w:val="007D3367"/>
    <w:rsid w:val="007D7442"/>
    <w:rsid w:val="007F3C12"/>
    <w:rsid w:val="007F5205"/>
    <w:rsid w:val="0080486B"/>
    <w:rsid w:val="00804B33"/>
    <w:rsid w:val="008215E7"/>
    <w:rsid w:val="00830FC6"/>
    <w:rsid w:val="00850E26"/>
    <w:rsid w:val="0086306B"/>
    <w:rsid w:val="00863FBF"/>
    <w:rsid w:val="00865EAA"/>
    <w:rsid w:val="00866F06"/>
    <w:rsid w:val="008728F5"/>
    <w:rsid w:val="008824C2"/>
    <w:rsid w:val="008960E4"/>
    <w:rsid w:val="008A15FD"/>
    <w:rsid w:val="008A3940"/>
    <w:rsid w:val="008B01A1"/>
    <w:rsid w:val="008B13C9"/>
    <w:rsid w:val="008C248C"/>
    <w:rsid w:val="008C5432"/>
    <w:rsid w:val="008C7BF1"/>
    <w:rsid w:val="008D00D6"/>
    <w:rsid w:val="008D4D00"/>
    <w:rsid w:val="008D4E5E"/>
    <w:rsid w:val="008D7ABD"/>
    <w:rsid w:val="008E55A2"/>
    <w:rsid w:val="008F075A"/>
    <w:rsid w:val="008F1609"/>
    <w:rsid w:val="008F78D8"/>
    <w:rsid w:val="008F7AEE"/>
    <w:rsid w:val="0093373C"/>
    <w:rsid w:val="00936F35"/>
    <w:rsid w:val="00942CAB"/>
    <w:rsid w:val="0094432A"/>
    <w:rsid w:val="00947971"/>
    <w:rsid w:val="00961620"/>
    <w:rsid w:val="009734B6"/>
    <w:rsid w:val="0098096F"/>
    <w:rsid w:val="0098437A"/>
    <w:rsid w:val="00986C92"/>
    <w:rsid w:val="00993C47"/>
    <w:rsid w:val="009972BC"/>
    <w:rsid w:val="009B4B16"/>
    <w:rsid w:val="009C3882"/>
    <w:rsid w:val="009E54A1"/>
    <w:rsid w:val="009F4E25"/>
    <w:rsid w:val="009F5B1F"/>
    <w:rsid w:val="00A225A9"/>
    <w:rsid w:val="00A3308E"/>
    <w:rsid w:val="00A35DFD"/>
    <w:rsid w:val="00A36F5B"/>
    <w:rsid w:val="00A702DF"/>
    <w:rsid w:val="00A775A3"/>
    <w:rsid w:val="00A80F13"/>
    <w:rsid w:val="00A81700"/>
    <w:rsid w:val="00A81B5B"/>
    <w:rsid w:val="00A82FAD"/>
    <w:rsid w:val="00A9673A"/>
    <w:rsid w:val="00A96EF2"/>
    <w:rsid w:val="00AA5C35"/>
    <w:rsid w:val="00AA5ED9"/>
    <w:rsid w:val="00AC0A38"/>
    <w:rsid w:val="00AC4E0E"/>
    <w:rsid w:val="00AC517B"/>
    <w:rsid w:val="00AD0D19"/>
    <w:rsid w:val="00AD4184"/>
    <w:rsid w:val="00AE7FE7"/>
    <w:rsid w:val="00AF051B"/>
    <w:rsid w:val="00B037A2"/>
    <w:rsid w:val="00B06A4B"/>
    <w:rsid w:val="00B14CA0"/>
    <w:rsid w:val="00B243E0"/>
    <w:rsid w:val="00B31870"/>
    <w:rsid w:val="00B320B8"/>
    <w:rsid w:val="00B35EE2"/>
    <w:rsid w:val="00B36DEF"/>
    <w:rsid w:val="00B57131"/>
    <w:rsid w:val="00B62F2C"/>
    <w:rsid w:val="00B6381E"/>
    <w:rsid w:val="00B71935"/>
    <w:rsid w:val="00B727C9"/>
    <w:rsid w:val="00B735C8"/>
    <w:rsid w:val="00B76A63"/>
    <w:rsid w:val="00BA6350"/>
    <w:rsid w:val="00BB4E29"/>
    <w:rsid w:val="00BB74C9"/>
    <w:rsid w:val="00BC3AB6"/>
    <w:rsid w:val="00BC6143"/>
    <w:rsid w:val="00BD19E8"/>
    <w:rsid w:val="00BD4273"/>
    <w:rsid w:val="00BE5C67"/>
    <w:rsid w:val="00BF76E7"/>
    <w:rsid w:val="00C31ED8"/>
    <w:rsid w:val="00C36231"/>
    <w:rsid w:val="00C37CAD"/>
    <w:rsid w:val="00C41EFD"/>
    <w:rsid w:val="00C432E4"/>
    <w:rsid w:val="00C70C26"/>
    <w:rsid w:val="00C72001"/>
    <w:rsid w:val="00C772B7"/>
    <w:rsid w:val="00C80347"/>
    <w:rsid w:val="00CB24D2"/>
    <w:rsid w:val="00CB7C1A"/>
    <w:rsid w:val="00CC5E08"/>
    <w:rsid w:val="00CD3AAE"/>
    <w:rsid w:val="00CE14FD"/>
    <w:rsid w:val="00CF6860"/>
    <w:rsid w:val="00CF794D"/>
    <w:rsid w:val="00D02AC6"/>
    <w:rsid w:val="00D02DD9"/>
    <w:rsid w:val="00D03F0C"/>
    <w:rsid w:val="00D04312"/>
    <w:rsid w:val="00D05808"/>
    <w:rsid w:val="00D16A7F"/>
    <w:rsid w:val="00D16AD2"/>
    <w:rsid w:val="00D21131"/>
    <w:rsid w:val="00D22596"/>
    <w:rsid w:val="00D22691"/>
    <w:rsid w:val="00D24C3D"/>
    <w:rsid w:val="00D33DBF"/>
    <w:rsid w:val="00D46CB1"/>
    <w:rsid w:val="00D55918"/>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03E91"/>
    <w:rsid w:val="00E06D58"/>
    <w:rsid w:val="00E349AA"/>
    <w:rsid w:val="00E41390"/>
    <w:rsid w:val="00E41CA0"/>
    <w:rsid w:val="00E4366B"/>
    <w:rsid w:val="00E50A4A"/>
    <w:rsid w:val="00E511FF"/>
    <w:rsid w:val="00E606DE"/>
    <w:rsid w:val="00E644FE"/>
    <w:rsid w:val="00E72733"/>
    <w:rsid w:val="00E742FA"/>
    <w:rsid w:val="00E76816"/>
    <w:rsid w:val="00E83DBF"/>
    <w:rsid w:val="00E85403"/>
    <w:rsid w:val="00E87C13"/>
    <w:rsid w:val="00E94CD9"/>
    <w:rsid w:val="00EA1A76"/>
    <w:rsid w:val="00EA290B"/>
    <w:rsid w:val="00EB2820"/>
    <w:rsid w:val="00EC0BB1"/>
    <w:rsid w:val="00ED1EC6"/>
    <w:rsid w:val="00ED2412"/>
    <w:rsid w:val="00ED6804"/>
    <w:rsid w:val="00ED6D9D"/>
    <w:rsid w:val="00EE0E90"/>
    <w:rsid w:val="00EE3590"/>
    <w:rsid w:val="00EF3BCA"/>
    <w:rsid w:val="00EF729B"/>
    <w:rsid w:val="00F01B0D"/>
    <w:rsid w:val="00F1238F"/>
    <w:rsid w:val="00F16485"/>
    <w:rsid w:val="00F228ED"/>
    <w:rsid w:val="00F26E31"/>
    <w:rsid w:val="00F27C6C"/>
    <w:rsid w:val="00F34A8D"/>
    <w:rsid w:val="00F50D25"/>
    <w:rsid w:val="00F535D8"/>
    <w:rsid w:val="00F61085"/>
    <w:rsid w:val="00F61155"/>
    <w:rsid w:val="00F65BB2"/>
    <w:rsid w:val="00F708E3"/>
    <w:rsid w:val="00F76561"/>
    <w:rsid w:val="00F84736"/>
    <w:rsid w:val="00F928B3"/>
    <w:rsid w:val="00F96301"/>
    <w:rsid w:val="00FC6C29"/>
    <w:rsid w:val="00FD58E0"/>
    <w:rsid w:val="00FD64F5"/>
    <w:rsid w:val="00FD71AE"/>
    <w:rsid w:val="00FE0198"/>
    <w:rsid w:val="00FE20B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68315A7"/>
  <w15:docId w15:val="{3218BE20-328D-44F3-8FD6-4E5935B0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73410D"/>
    <w:rPr>
      <w:sz w:val="16"/>
      <w:szCs w:val="16"/>
    </w:rPr>
  </w:style>
  <w:style w:type="paragraph" w:styleId="CommentText">
    <w:name w:val="annotation text"/>
    <w:basedOn w:val="Normal"/>
    <w:link w:val="CommentTextChar"/>
    <w:unhideWhenUsed/>
    <w:rsid w:val="0073410D"/>
    <w:rPr>
      <w:sz w:val="20"/>
      <w:szCs w:val="20"/>
    </w:rPr>
  </w:style>
  <w:style w:type="character" w:customStyle="1" w:styleId="CommentTextChar">
    <w:name w:val="Comment Text Char"/>
    <w:basedOn w:val="DefaultParagraphFont"/>
    <w:link w:val="CommentText"/>
    <w:rsid w:val="0073410D"/>
  </w:style>
  <w:style w:type="paragraph" w:styleId="CommentSubject">
    <w:name w:val="annotation subject"/>
    <w:basedOn w:val="CommentText"/>
    <w:next w:val="CommentText"/>
    <w:link w:val="CommentSubjectChar"/>
    <w:semiHidden/>
    <w:unhideWhenUsed/>
    <w:rsid w:val="0073410D"/>
    <w:rPr>
      <w:b/>
      <w:bCs/>
    </w:rPr>
  </w:style>
  <w:style w:type="character" w:customStyle="1" w:styleId="CommentSubjectChar">
    <w:name w:val="Comment Subject Char"/>
    <w:basedOn w:val="CommentTextChar"/>
    <w:link w:val="CommentSubject"/>
    <w:semiHidden/>
    <w:rsid w:val="0073410D"/>
    <w:rPr>
      <w:b/>
      <w:bCs/>
    </w:rPr>
  </w:style>
  <w:style w:type="paragraph" w:styleId="Revision">
    <w:name w:val="Revision"/>
    <w:hidden/>
    <w:uiPriority w:val="99"/>
    <w:semiHidden/>
    <w:rsid w:val="00216F35"/>
    <w:rPr>
      <w:sz w:val="24"/>
      <w:szCs w:val="24"/>
    </w:rPr>
  </w:style>
  <w:style w:type="character" w:customStyle="1" w:styleId="ParaNumChar">
    <w:name w:val="ParaNum Char"/>
    <w:link w:val="ParaNum"/>
    <w:locked/>
    <w:rsid w:val="008F7AEE"/>
    <w:rPr>
      <w:rFonts w:asciiTheme="minorHAnsi" w:eastAsiaTheme="minorHAnsi" w:hAnsiTheme="minorHAnsi" w:cstheme="minorBidi"/>
      <w:kern w:val="2"/>
      <w:sz w:val="22"/>
      <w:szCs w:val="22"/>
      <w14:ligatures w14:val="standardContextual"/>
    </w:rPr>
  </w:style>
  <w:style w:type="paragraph" w:customStyle="1" w:styleId="ParaNum">
    <w:name w:val="ParaNum"/>
    <w:basedOn w:val="Normal"/>
    <w:link w:val="ParaNumChar"/>
    <w:rsid w:val="008F7AEE"/>
    <w:pPr>
      <w:numPr>
        <w:numId w:val="2"/>
      </w:numPr>
      <w:tabs>
        <w:tab w:val="clear" w:pos="1080"/>
        <w:tab w:val="num" w:pos="1440"/>
      </w:tabs>
      <w:spacing w:after="120" w:line="256" w:lineRule="auto"/>
    </w:pPr>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DA-23-380A1.pdf"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