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6DB185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35042450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03D07">
              <w:rPr>
                <w:b/>
                <w:bCs/>
                <w:sz w:val="26"/>
                <w:szCs w:val="26"/>
              </w:rPr>
              <w:t>MOVES FORWARD ON 12 GHz PROCEEDING</w:t>
            </w:r>
          </w:p>
          <w:p w:rsidR="0065173A" w:rsidP="00040127" w14:paraId="26CA46A2" w14:textId="7E36C58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bookmarkStart w:id="1" w:name="_Hlk135300736"/>
            <w:r>
              <w:rPr>
                <w:b/>
                <w:bCs/>
                <w:i/>
              </w:rPr>
              <w:t xml:space="preserve">New Rules Preserve Portion of the Band for Advanced Satellite Broadband While Considering How to </w:t>
            </w:r>
            <w:r w:rsidR="00196746">
              <w:rPr>
                <w:b/>
                <w:bCs/>
                <w:i/>
              </w:rPr>
              <w:t>Promote Advanced Terrestrial Broadband</w:t>
            </w:r>
            <w:r>
              <w:rPr>
                <w:b/>
                <w:bCs/>
                <w:i/>
              </w:rPr>
              <w:t xml:space="preserve"> </w:t>
            </w:r>
          </w:p>
          <w:p w:rsidR="00CC5E08" w:rsidRPr="008A3940" w:rsidP="00040127" w14:paraId="0B797F63" w14:textId="760E89D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 the Rest of the Band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bookmarkEnd w:id="1"/>
          <w:p w:rsidR="00BD19E8" w:rsidRPr="006D59CB" w:rsidP="002E165B" w14:paraId="004EA038" w14:textId="3A7B419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03D07">
              <w:rPr>
                <w:sz w:val="22"/>
                <w:szCs w:val="22"/>
              </w:rPr>
              <w:t>May 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B14BE">
              <w:rPr>
                <w:sz w:val="22"/>
                <w:szCs w:val="22"/>
              </w:rPr>
              <w:t xml:space="preserve">took a holistic approach to expanding use of </w:t>
            </w:r>
            <w:r w:rsidR="00AE2616">
              <w:rPr>
                <w:sz w:val="22"/>
                <w:szCs w:val="22"/>
              </w:rPr>
              <w:t xml:space="preserve">over 1 gigahertz of prime mid-band spectrum in </w:t>
            </w:r>
            <w:r w:rsidR="00310172">
              <w:rPr>
                <w:sz w:val="22"/>
                <w:szCs w:val="22"/>
              </w:rPr>
              <w:t xml:space="preserve">the </w:t>
            </w:r>
            <w:r w:rsidR="00303D07">
              <w:rPr>
                <w:sz w:val="22"/>
                <w:szCs w:val="22"/>
              </w:rPr>
              <w:t xml:space="preserve">12 GHz band </w:t>
            </w:r>
            <w:r w:rsidR="000B14BE">
              <w:rPr>
                <w:sz w:val="22"/>
                <w:szCs w:val="22"/>
              </w:rPr>
              <w:t xml:space="preserve">by </w:t>
            </w:r>
            <w:r w:rsidR="00303D07">
              <w:rPr>
                <w:sz w:val="22"/>
                <w:szCs w:val="22"/>
              </w:rPr>
              <w:t>ensur</w:t>
            </w:r>
            <w:r w:rsidR="000B14BE">
              <w:rPr>
                <w:sz w:val="22"/>
                <w:szCs w:val="22"/>
              </w:rPr>
              <w:t>ing</w:t>
            </w:r>
            <w:r w:rsidR="00303D07">
              <w:rPr>
                <w:sz w:val="22"/>
                <w:szCs w:val="22"/>
              </w:rPr>
              <w:t xml:space="preserve"> stable spectrum access for </w:t>
            </w:r>
            <w:r w:rsidR="00AE2616">
              <w:rPr>
                <w:sz w:val="22"/>
                <w:szCs w:val="22"/>
              </w:rPr>
              <w:t xml:space="preserve">current and </w:t>
            </w:r>
            <w:r w:rsidR="00303D07">
              <w:rPr>
                <w:sz w:val="22"/>
                <w:szCs w:val="22"/>
              </w:rPr>
              <w:t xml:space="preserve">next-generation satellite service </w:t>
            </w:r>
            <w:r w:rsidR="00310172">
              <w:rPr>
                <w:sz w:val="22"/>
                <w:szCs w:val="22"/>
              </w:rPr>
              <w:t xml:space="preserve">while also </w:t>
            </w:r>
            <w:r w:rsidR="00303D07">
              <w:rPr>
                <w:sz w:val="22"/>
                <w:szCs w:val="22"/>
              </w:rPr>
              <w:t>empower</w:t>
            </w:r>
            <w:r w:rsidR="000B14BE">
              <w:rPr>
                <w:sz w:val="22"/>
                <w:szCs w:val="22"/>
              </w:rPr>
              <w:t>ing</w:t>
            </w:r>
            <w:r w:rsidR="00303D07">
              <w:rPr>
                <w:sz w:val="22"/>
                <w:szCs w:val="22"/>
              </w:rPr>
              <w:t xml:space="preserve"> </w:t>
            </w:r>
            <w:r w:rsidRPr="006D59CB" w:rsidR="00196746">
              <w:rPr>
                <w:sz w:val="22"/>
                <w:szCs w:val="22"/>
              </w:rPr>
              <w:t xml:space="preserve">advanced terrestrial </w:t>
            </w:r>
            <w:r w:rsidRPr="006D59CB" w:rsidR="00303D07">
              <w:rPr>
                <w:sz w:val="22"/>
                <w:szCs w:val="22"/>
              </w:rPr>
              <w:t>wireless services.</w:t>
            </w:r>
            <w:r w:rsidRPr="006D59CB" w:rsidR="00711BC5">
              <w:rPr>
                <w:sz w:val="22"/>
                <w:szCs w:val="22"/>
              </w:rPr>
              <w:t xml:space="preserve">  The FCC adopted rules to preserve spectrum between 12.2-12.7 GHz for current and future satellite services.  The FCC also proposed policies which would position </w:t>
            </w:r>
            <w:r w:rsidRPr="006D59CB" w:rsidR="003C42EC">
              <w:rPr>
                <w:sz w:val="22"/>
                <w:szCs w:val="22"/>
              </w:rPr>
              <w:t xml:space="preserve">the </w:t>
            </w:r>
            <w:r w:rsidRPr="006D59CB" w:rsidR="00711BC5">
              <w:rPr>
                <w:sz w:val="22"/>
                <w:szCs w:val="22"/>
              </w:rPr>
              <w:t xml:space="preserve">12.7-13.25 GHz band to support flexible </w:t>
            </w:r>
            <w:r w:rsidRPr="006D59CB" w:rsidR="00E26E90">
              <w:rPr>
                <w:sz w:val="22"/>
                <w:szCs w:val="22"/>
              </w:rPr>
              <w:t xml:space="preserve">terrestrial wireless </w:t>
            </w:r>
            <w:r w:rsidRPr="006D59CB" w:rsidR="00711BC5">
              <w:rPr>
                <w:sz w:val="22"/>
                <w:szCs w:val="22"/>
              </w:rPr>
              <w:t>use</w:t>
            </w:r>
            <w:r w:rsidRPr="006D59CB" w:rsidR="00281F64">
              <w:rPr>
                <w:sz w:val="22"/>
                <w:szCs w:val="22"/>
              </w:rPr>
              <w:t>,</w:t>
            </w:r>
            <w:r w:rsidRPr="006D59CB" w:rsidR="00711BC5">
              <w:rPr>
                <w:sz w:val="22"/>
                <w:szCs w:val="22"/>
              </w:rPr>
              <w:t xml:space="preserve"> including 6G wireless services.</w:t>
            </w:r>
          </w:p>
          <w:p w:rsidR="00040127" w:rsidRPr="006D59CB" w:rsidP="002E165B" w14:paraId="6365338C" w14:textId="77777777">
            <w:pPr>
              <w:rPr>
                <w:sz w:val="22"/>
                <w:szCs w:val="22"/>
              </w:rPr>
            </w:pPr>
          </w:p>
          <w:p w:rsidR="00A56A09" w:rsidRPr="006D59CB" w:rsidP="002E165B" w14:paraId="3AC83D34" w14:textId="477F4803">
            <w:pPr>
              <w:rPr>
                <w:sz w:val="22"/>
                <w:szCs w:val="22"/>
              </w:rPr>
            </w:pPr>
            <w:r w:rsidRPr="006D59CB">
              <w:rPr>
                <w:sz w:val="22"/>
                <w:szCs w:val="22"/>
              </w:rPr>
              <w:t xml:space="preserve">In the 12.2 GHz band, the FCC </w:t>
            </w:r>
            <w:r w:rsidRPr="00AE2616" w:rsidR="00AE2616">
              <w:rPr>
                <w:sz w:val="22"/>
                <w:szCs w:val="22"/>
              </w:rPr>
              <w:t>ensure</w:t>
            </w:r>
            <w:r w:rsidR="00E75AAB">
              <w:rPr>
                <w:sz w:val="22"/>
                <w:szCs w:val="22"/>
              </w:rPr>
              <w:t>s</w:t>
            </w:r>
            <w:r w:rsidRPr="00AE2616" w:rsidR="00AE2616">
              <w:rPr>
                <w:sz w:val="22"/>
                <w:szCs w:val="22"/>
              </w:rPr>
              <w:t xml:space="preserve"> the present and future for satellite services, which are relied upon by millions of people across the country</w:t>
            </w:r>
            <w:r w:rsidR="00AE2616">
              <w:rPr>
                <w:sz w:val="22"/>
                <w:szCs w:val="22"/>
              </w:rPr>
              <w:t xml:space="preserve">, by </w:t>
            </w:r>
            <w:r w:rsidRPr="006D59CB" w:rsidR="00083D80">
              <w:rPr>
                <w:sz w:val="22"/>
                <w:szCs w:val="22"/>
              </w:rPr>
              <w:t>d</w:t>
            </w:r>
            <w:r w:rsidRPr="006D59CB" w:rsidR="00622D1D">
              <w:rPr>
                <w:sz w:val="22"/>
                <w:szCs w:val="22"/>
              </w:rPr>
              <w:t>eclin</w:t>
            </w:r>
            <w:r w:rsidR="00AE2616">
              <w:rPr>
                <w:sz w:val="22"/>
                <w:szCs w:val="22"/>
              </w:rPr>
              <w:t>ing</w:t>
            </w:r>
            <w:r w:rsidRPr="006D59CB" w:rsidR="00622D1D">
              <w:rPr>
                <w:sz w:val="22"/>
                <w:szCs w:val="22"/>
              </w:rPr>
              <w:t xml:space="preserve"> to authorize two-way, high-powered terrestrial mobile use</w:t>
            </w:r>
            <w:r w:rsidR="00AE2616">
              <w:rPr>
                <w:sz w:val="22"/>
                <w:szCs w:val="22"/>
              </w:rPr>
              <w:t xml:space="preserve"> due to </w:t>
            </w:r>
            <w:r w:rsidRPr="006D59CB">
              <w:rPr>
                <w:sz w:val="22"/>
                <w:szCs w:val="22"/>
              </w:rPr>
              <w:t xml:space="preserve">a significant risk of harmful interference to existing and emergent services, </w:t>
            </w:r>
            <w:r w:rsidRPr="006D59CB" w:rsidR="00083D80">
              <w:rPr>
                <w:sz w:val="22"/>
                <w:szCs w:val="22"/>
              </w:rPr>
              <w:t xml:space="preserve">particularly in </w:t>
            </w:r>
            <w:r w:rsidRPr="006D59CB">
              <w:rPr>
                <w:sz w:val="22"/>
                <w:szCs w:val="22"/>
              </w:rPr>
              <w:t xml:space="preserve">the growing satellite broadband market.  </w:t>
            </w:r>
            <w:r w:rsidRPr="006D59CB" w:rsidR="00D20630">
              <w:rPr>
                <w:sz w:val="22"/>
                <w:szCs w:val="22"/>
              </w:rPr>
              <w:t>T</w:t>
            </w:r>
            <w:r w:rsidRPr="006D59CB">
              <w:rPr>
                <w:sz w:val="22"/>
                <w:szCs w:val="22"/>
              </w:rPr>
              <w:t xml:space="preserve">he Commission </w:t>
            </w:r>
            <w:r w:rsidRPr="006D59CB" w:rsidR="00032986">
              <w:rPr>
                <w:sz w:val="22"/>
                <w:szCs w:val="22"/>
              </w:rPr>
              <w:t xml:space="preserve">sought </w:t>
            </w:r>
            <w:r w:rsidRPr="006D59CB" w:rsidR="00CE0C42">
              <w:rPr>
                <w:sz w:val="22"/>
                <w:szCs w:val="22"/>
              </w:rPr>
              <w:t xml:space="preserve">comment on </w:t>
            </w:r>
            <w:r w:rsidRPr="006D59CB" w:rsidR="00032986">
              <w:rPr>
                <w:sz w:val="22"/>
                <w:szCs w:val="22"/>
              </w:rPr>
              <w:t>other potential changes</w:t>
            </w:r>
            <w:r w:rsidRPr="006D59CB" w:rsidR="009359CE">
              <w:rPr>
                <w:sz w:val="22"/>
                <w:szCs w:val="22"/>
              </w:rPr>
              <w:t xml:space="preserve"> to expand </w:t>
            </w:r>
            <w:r w:rsidR="00AE2616">
              <w:rPr>
                <w:sz w:val="22"/>
                <w:szCs w:val="22"/>
              </w:rPr>
              <w:t xml:space="preserve">the efficient </w:t>
            </w:r>
            <w:r w:rsidRPr="006D59CB" w:rsidR="009359CE">
              <w:rPr>
                <w:sz w:val="22"/>
                <w:szCs w:val="22"/>
              </w:rPr>
              <w:t xml:space="preserve">use of the band, including for terrestrial fixed use or </w:t>
            </w:r>
            <w:r w:rsidRPr="006D59CB" w:rsidR="0012235E">
              <w:rPr>
                <w:sz w:val="22"/>
                <w:szCs w:val="22"/>
              </w:rPr>
              <w:t>un</w:t>
            </w:r>
            <w:r w:rsidRPr="006D59CB" w:rsidR="009359CE">
              <w:rPr>
                <w:sz w:val="22"/>
                <w:szCs w:val="22"/>
              </w:rPr>
              <w:t>licensed use</w:t>
            </w:r>
            <w:r w:rsidRPr="006D59CB">
              <w:rPr>
                <w:sz w:val="22"/>
                <w:szCs w:val="22"/>
              </w:rPr>
              <w:t>.</w:t>
            </w:r>
          </w:p>
          <w:p w:rsidR="00CE0C42" w:rsidRPr="006D59CB" w:rsidP="002E165B" w14:paraId="36E3952C" w14:textId="77777777">
            <w:pPr>
              <w:rPr>
                <w:sz w:val="22"/>
                <w:szCs w:val="22"/>
              </w:rPr>
            </w:pPr>
          </w:p>
          <w:p w:rsidR="00CE0C42" w:rsidRPr="006D59CB" w:rsidP="00CF5EEC" w14:paraId="18CB2755" w14:textId="002701B0">
            <w:pPr>
              <w:rPr>
                <w:sz w:val="22"/>
                <w:szCs w:val="22"/>
              </w:rPr>
            </w:pPr>
            <w:r w:rsidRPr="006D59CB">
              <w:rPr>
                <w:sz w:val="22"/>
                <w:szCs w:val="22"/>
              </w:rPr>
              <w:t xml:space="preserve">In the 12.7 GHz band, the FCC </w:t>
            </w:r>
            <w:r w:rsidRPr="006D59CB" w:rsidR="006714C5">
              <w:rPr>
                <w:sz w:val="22"/>
                <w:szCs w:val="22"/>
              </w:rPr>
              <w:t>propos</w:t>
            </w:r>
            <w:r w:rsidRPr="006D59CB" w:rsidR="00A653BE">
              <w:rPr>
                <w:sz w:val="22"/>
                <w:szCs w:val="22"/>
              </w:rPr>
              <w:t>ed</w:t>
            </w:r>
            <w:r w:rsidRPr="006D59CB" w:rsidR="006714C5">
              <w:rPr>
                <w:sz w:val="22"/>
                <w:szCs w:val="22"/>
              </w:rPr>
              <w:t xml:space="preserve"> to repurpose some or all of the band for mobile broadband or other expanded use.  The Commission </w:t>
            </w:r>
            <w:r w:rsidRPr="006D59CB" w:rsidR="00C85CE1">
              <w:rPr>
                <w:sz w:val="22"/>
                <w:szCs w:val="22"/>
              </w:rPr>
              <w:t>sought</w:t>
            </w:r>
            <w:r w:rsidRPr="006D59CB" w:rsidR="006714C5">
              <w:rPr>
                <w:sz w:val="22"/>
                <w:szCs w:val="22"/>
              </w:rPr>
              <w:t xml:space="preserve"> comment </w:t>
            </w:r>
            <w:r w:rsidRPr="006D59CB" w:rsidR="00CD689A">
              <w:rPr>
                <w:sz w:val="22"/>
                <w:szCs w:val="22"/>
              </w:rPr>
              <w:t>on</w:t>
            </w:r>
            <w:r w:rsidRPr="006D59CB" w:rsidR="006714C5">
              <w:rPr>
                <w:sz w:val="22"/>
                <w:szCs w:val="22"/>
              </w:rPr>
              <w:t xml:space="preserve"> options for grandfathering, relocating, and/or repacking incumbent non-federal licensees</w:t>
            </w:r>
            <w:r w:rsidRPr="006D59CB" w:rsidR="00CD689A">
              <w:rPr>
                <w:sz w:val="22"/>
                <w:szCs w:val="22"/>
              </w:rPr>
              <w:t xml:space="preserve">, as well as </w:t>
            </w:r>
            <w:r w:rsidRPr="006D59CB" w:rsidR="00A3224D">
              <w:rPr>
                <w:sz w:val="22"/>
                <w:szCs w:val="22"/>
              </w:rPr>
              <w:t xml:space="preserve">on </w:t>
            </w:r>
            <w:r w:rsidRPr="006D59CB" w:rsidR="00CD689A">
              <w:rPr>
                <w:sz w:val="22"/>
                <w:szCs w:val="22"/>
              </w:rPr>
              <w:t xml:space="preserve">alternative approaches that would use </w:t>
            </w:r>
            <w:r w:rsidRPr="006D59CB" w:rsidR="00CF5EEC">
              <w:rPr>
                <w:sz w:val="22"/>
                <w:szCs w:val="22"/>
              </w:rPr>
              <w:t>sharing methodologies among</w:t>
            </w:r>
            <w:r w:rsidRPr="006D59CB" w:rsidR="00CD689A">
              <w:rPr>
                <w:sz w:val="22"/>
                <w:szCs w:val="22"/>
              </w:rPr>
              <w:t xml:space="preserve"> </w:t>
            </w:r>
            <w:r w:rsidRPr="006D59CB" w:rsidR="00CF5EEC">
              <w:rPr>
                <w:sz w:val="22"/>
                <w:szCs w:val="22"/>
              </w:rPr>
              <w:t>incumbents and new entrants.</w:t>
            </w:r>
            <w:r w:rsidRPr="006D59CB" w:rsidR="006714C5">
              <w:rPr>
                <w:sz w:val="22"/>
                <w:szCs w:val="22"/>
              </w:rPr>
              <w:t xml:space="preserve">  </w:t>
            </w:r>
          </w:p>
          <w:p w:rsidR="00A56A09" w:rsidRPr="006D59CB" w:rsidP="002E165B" w14:paraId="02F91CD3" w14:textId="77777777">
            <w:pPr>
              <w:rPr>
                <w:sz w:val="22"/>
                <w:szCs w:val="22"/>
              </w:rPr>
            </w:pPr>
          </w:p>
          <w:p w:rsidR="00303D07" w:rsidRPr="006D59CB" w:rsidP="002E165B" w14:paraId="377B4295" w14:textId="10FE8C0C">
            <w:pPr>
              <w:rPr>
                <w:sz w:val="22"/>
                <w:szCs w:val="22"/>
              </w:rPr>
            </w:pPr>
            <w:r w:rsidRPr="006D59CB">
              <w:rPr>
                <w:sz w:val="22"/>
                <w:szCs w:val="22"/>
              </w:rPr>
              <w:t>T</w:t>
            </w:r>
            <w:r w:rsidRPr="006D59CB" w:rsidR="00310172">
              <w:rPr>
                <w:sz w:val="22"/>
                <w:szCs w:val="22"/>
              </w:rPr>
              <w:t xml:space="preserve">oday’s </w:t>
            </w:r>
            <w:r w:rsidRPr="006D59CB" w:rsidR="000B14BE">
              <w:rPr>
                <w:sz w:val="22"/>
                <w:szCs w:val="22"/>
              </w:rPr>
              <w:t xml:space="preserve">approach </w:t>
            </w:r>
            <w:r w:rsidRPr="006D59CB" w:rsidR="005D7A3C">
              <w:rPr>
                <w:sz w:val="22"/>
                <w:szCs w:val="22"/>
              </w:rPr>
              <w:t xml:space="preserve">paves the way for </w:t>
            </w:r>
            <w:r w:rsidRPr="006D59CB">
              <w:rPr>
                <w:sz w:val="22"/>
                <w:szCs w:val="22"/>
              </w:rPr>
              <w:t xml:space="preserve">advanced satellite and terrestrial </w:t>
            </w:r>
            <w:r w:rsidRPr="006D59CB" w:rsidR="008E613D">
              <w:rPr>
                <w:sz w:val="22"/>
                <w:szCs w:val="22"/>
              </w:rPr>
              <w:t xml:space="preserve">services to </w:t>
            </w:r>
            <w:r w:rsidRPr="006D59CB" w:rsidR="005D7A3C">
              <w:rPr>
                <w:sz w:val="22"/>
                <w:szCs w:val="22"/>
              </w:rPr>
              <w:t>access</w:t>
            </w:r>
            <w:r w:rsidRPr="006D59CB" w:rsidR="008E613D">
              <w:rPr>
                <w:sz w:val="22"/>
                <w:szCs w:val="22"/>
              </w:rPr>
              <w:t xml:space="preserve"> spectrum resources to support consumer needs, </w:t>
            </w:r>
            <w:r w:rsidRPr="006D59CB" w:rsidR="000B14BE">
              <w:rPr>
                <w:sz w:val="22"/>
                <w:szCs w:val="22"/>
              </w:rPr>
              <w:t xml:space="preserve">helping to </w:t>
            </w:r>
            <w:r w:rsidRPr="006D59CB" w:rsidR="008E613D">
              <w:rPr>
                <w:sz w:val="22"/>
                <w:szCs w:val="22"/>
              </w:rPr>
              <w:t>connect everyone everywhere to advance wireless services</w:t>
            </w:r>
            <w:r w:rsidRPr="006D59CB" w:rsidR="000B14BE">
              <w:rPr>
                <w:sz w:val="22"/>
                <w:szCs w:val="22"/>
              </w:rPr>
              <w:t xml:space="preserve"> </w:t>
            </w:r>
            <w:r w:rsidRPr="006D59CB" w:rsidR="008E613D">
              <w:rPr>
                <w:sz w:val="22"/>
                <w:szCs w:val="22"/>
              </w:rPr>
              <w:t>and supercharge the American economy.</w:t>
            </w:r>
          </w:p>
          <w:bookmarkEnd w:id="0"/>
          <w:p w:rsidR="006714C5" w:rsidP="002E165B" w14:paraId="37F9D62E" w14:textId="77777777">
            <w:pPr>
              <w:rPr>
                <w:sz w:val="22"/>
                <w:szCs w:val="22"/>
              </w:rPr>
            </w:pPr>
          </w:p>
          <w:p w:rsidR="006E0965" w:rsidRPr="006E0965" w:rsidP="006E0965" w14:paraId="4E16530D" w14:textId="23B41425">
            <w:pPr>
              <w:rPr>
                <w:sz w:val="22"/>
                <w:szCs w:val="22"/>
              </w:rPr>
            </w:pPr>
            <w:r w:rsidRPr="006E0965">
              <w:rPr>
                <w:sz w:val="22"/>
                <w:szCs w:val="22"/>
              </w:rPr>
              <w:t xml:space="preserve">Action by the Commission May 18, 2023 by Report and Order and Further Notice of Proposed Rulemaking (FCC 23-36).  Chairwoman </w:t>
            </w:r>
            <w:r w:rsidRPr="006E0965">
              <w:rPr>
                <w:sz w:val="22"/>
                <w:szCs w:val="22"/>
              </w:rPr>
              <w:t>Rosenworcel</w:t>
            </w:r>
            <w:r w:rsidRPr="006E0965">
              <w:rPr>
                <w:sz w:val="22"/>
                <w:szCs w:val="22"/>
              </w:rPr>
              <w:t xml:space="preserve">, Commissioners Carr, Starks, and </w:t>
            </w:r>
            <w:r w:rsidRPr="006E0965">
              <w:rPr>
                <w:sz w:val="22"/>
                <w:szCs w:val="22"/>
              </w:rPr>
              <w:t>Simington</w:t>
            </w:r>
            <w:r w:rsidRPr="006E0965">
              <w:rPr>
                <w:sz w:val="22"/>
                <w:szCs w:val="22"/>
              </w:rPr>
              <w:t xml:space="preserve"> approving.  Chairwoman </w:t>
            </w:r>
            <w:r w:rsidRPr="006E0965">
              <w:rPr>
                <w:sz w:val="22"/>
                <w:szCs w:val="22"/>
              </w:rPr>
              <w:t>Rosenworcel</w:t>
            </w:r>
            <w:r w:rsidR="00295D61">
              <w:rPr>
                <w:sz w:val="22"/>
                <w:szCs w:val="22"/>
              </w:rPr>
              <w:t xml:space="preserve">, </w:t>
            </w:r>
            <w:r w:rsidRPr="006E0965">
              <w:rPr>
                <w:sz w:val="22"/>
                <w:szCs w:val="22"/>
              </w:rPr>
              <w:t>Commissioner</w:t>
            </w:r>
            <w:r w:rsidR="00295D61">
              <w:rPr>
                <w:sz w:val="22"/>
                <w:szCs w:val="22"/>
              </w:rPr>
              <w:t>s</w:t>
            </w:r>
            <w:r w:rsidRPr="006E0965">
              <w:rPr>
                <w:sz w:val="22"/>
                <w:szCs w:val="22"/>
              </w:rPr>
              <w:t xml:space="preserve"> Starks </w:t>
            </w:r>
            <w:r w:rsidR="00295D61">
              <w:rPr>
                <w:sz w:val="22"/>
                <w:szCs w:val="22"/>
              </w:rPr>
              <w:t xml:space="preserve">and </w:t>
            </w:r>
            <w:r w:rsidR="00295D61">
              <w:rPr>
                <w:sz w:val="22"/>
                <w:szCs w:val="22"/>
              </w:rPr>
              <w:t>Simington</w:t>
            </w:r>
            <w:r w:rsidR="00295D61">
              <w:rPr>
                <w:sz w:val="22"/>
                <w:szCs w:val="22"/>
              </w:rPr>
              <w:t xml:space="preserve"> </w:t>
            </w:r>
            <w:r w:rsidRPr="006E0965">
              <w:rPr>
                <w:sz w:val="22"/>
                <w:szCs w:val="22"/>
              </w:rPr>
              <w:t>issuing separate statements.</w:t>
            </w:r>
          </w:p>
          <w:p w:rsidR="006E0965" w:rsidRPr="006E0965" w:rsidP="006E0965" w14:paraId="497CE600" w14:textId="77777777">
            <w:pPr>
              <w:rPr>
                <w:sz w:val="22"/>
                <w:szCs w:val="22"/>
              </w:rPr>
            </w:pPr>
          </w:p>
          <w:p w:rsidR="006E0965" w:rsidP="006E0965" w14:paraId="02057266" w14:textId="57906464">
            <w:pPr>
              <w:rPr>
                <w:sz w:val="22"/>
                <w:szCs w:val="22"/>
              </w:rPr>
            </w:pPr>
            <w:r w:rsidRPr="006E0965">
              <w:rPr>
                <w:sz w:val="22"/>
                <w:szCs w:val="22"/>
              </w:rPr>
              <w:t>WT Docket No. 20-443; GN Docket No. 22-352</w:t>
            </w:r>
          </w:p>
          <w:p w:rsidR="006E0965" w:rsidRPr="002E165B" w:rsidP="006E0965" w14:paraId="3647350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32986"/>
    <w:rsid w:val="00040127"/>
    <w:rsid w:val="000451BA"/>
    <w:rsid w:val="00065E2D"/>
    <w:rsid w:val="00081232"/>
    <w:rsid w:val="00083D80"/>
    <w:rsid w:val="00091E65"/>
    <w:rsid w:val="00096D4A"/>
    <w:rsid w:val="000A38EA"/>
    <w:rsid w:val="000B14BE"/>
    <w:rsid w:val="000C1E47"/>
    <w:rsid w:val="000C26F3"/>
    <w:rsid w:val="000E049E"/>
    <w:rsid w:val="0010799B"/>
    <w:rsid w:val="00117DB2"/>
    <w:rsid w:val="0012235E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6746"/>
    <w:rsid w:val="001B20BB"/>
    <w:rsid w:val="001C4370"/>
    <w:rsid w:val="001D3779"/>
    <w:rsid w:val="001E3990"/>
    <w:rsid w:val="001F0469"/>
    <w:rsid w:val="00203A98"/>
    <w:rsid w:val="00206EDD"/>
    <w:rsid w:val="0021247E"/>
    <w:rsid w:val="002146F6"/>
    <w:rsid w:val="00225F28"/>
    <w:rsid w:val="00231C32"/>
    <w:rsid w:val="00240345"/>
    <w:rsid w:val="002421F0"/>
    <w:rsid w:val="00247274"/>
    <w:rsid w:val="00266966"/>
    <w:rsid w:val="00281F64"/>
    <w:rsid w:val="00285C36"/>
    <w:rsid w:val="00286596"/>
    <w:rsid w:val="00294C0C"/>
    <w:rsid w:val="00295D61"/>
    <w:rsid w:val="002A0934"/>
    <w:rsid w:val="002B1013"/>
    <w:rsid w:val="002C62CB"/>
    <w:rsid w:val="002C7055"/>
    <w:rsid w:val="002D03E5"/>
    <w:rsid w:val="002E165B"/>
    <w:rsid w:val="002E3F1D"/>
    <w:rsid w:val="002F0E10"/>
    <w:rsid w:val="002F31D0"/>
    <w:rsid w:val="00300359"/>
    <w:rsid w:val="00303D07"/>
    <w:rsid w:val="00310172"/>
    <w:rsid w:val="0031773E"/>
    <w:rsid w:val="00333871"/>
    <w:rsid w:val="00347716"/>
    <w:rsid w:val="003506E1"/>
    <w:rsid w:val="003727E3"/>
    <w:rsid w:val="00385A93"/>
    <w:rsid w:val="003910F1"/>
    <w:rsid w:val="003B77D9"/>
    <w:rsid w:val="003C42EC"/>
    <w:rsid w:val="003D7499"/>
    <w:rsid w:val="003E42FC"/>
    <w:rsid w:val="003E5991"/>
    <w:rsid w:val="003F344A"/>
    <w:rsid w:val="003F4C2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CA3"/>
    <w:rsid w:val="004E2BD8"/>
    <w:rsid w:val="004F0F1F"/>
    <w:rsid w:val="005022AA"/>
    <w:rsid w:val="00504845"/>
    <w:rsid w:val="0050757F"/>
    <w:rsid w:val="00516AD2"/>
    <w:rsid w:val="00545DAE"/>
    <w:rsid w:val="00571B83"/>
    <w:rsid w:val="00571E12"/>
    <w:rsid w:val="00575A00"/>
    <w:rsid w:val="00586417"/>
    <w:rsid w:val="0058673C"/>
    <w:rsid w:val="005A7972"/>
    <w:rsid w:val="005B17E7"/>
    <w:rsid w:val="005B2643"/>
    <w:rsid w:val="005D17FD"/>
    <w:rsid w:val="005D7A3C"/>
    <w:rsid w:val="005F0D55"/>
    <w:rsid w:val="005F183E"/>
    <w:rsid w:val="00600DDA"/>
    <w:rsid w:val="00603A30"/>
    <w:rsid w:val="00604211"/>
    <w:rsid w:val="00613498"/>
    <w:rsid w:val="00617B94"/>
    <w:rsid w:val="00620BED"/>
    <w:rsid w:val="00622D1D"/>
    <w:rsid w:val="006415B4"/>
    <w:rsid w:val="00644E3D"/>
    <w:rsid w:val="0065173A"/>
    <w:rsid w:val="00651B9E"/>
    <w:rsid w:val="00652019"/>
    <w:rsid w:val="00657EC9"/>
    <w:rsid w:val="00665633"/>
    <w:rsid w:val="006714C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9CB"/>
    <w:rsid w:val="006D5D22"/>
    <w:rsid w:val="006E0324"/>
    <w:rsid w:val="006E0965"/>
    <w:rsid w:val="006E4A76"/>
    <w:rsid w:val="006F1DBD"/>
    <w:rsid w:val="006F70D9"/>
    <w:rsid w:val="00700556"/>
    <w:rsid w:val="0070589A"/>
    <w:rsid w:val="00710F06"/>
    <w:rsid w:val="00711BC5"/>
    <w:rsid w:val="007167DD"/>
    <w:rsid w:val="0072478B"/>
    <w:rsid w:val="0073414D"/>
    <w:rsid w:val="00743A7F"/>
    <w:rsid w:val="007475A1"/>
    <w:rsid w:val="0075235E"/>
    <w:rsid w:val="007528A5"/>
    <w:rsid w:val="007732CC"/>
    <w:rsid w:val="00774079"/>
    <w:rsid w:val="00775398"/>
    <w:rsid w:val="0077752B"/>
    <w:rsid w:val="00793D6F"/>
    <w:rsid w:val="00794090"/>
    <w:rsid w:val="007A44F8"/>
    <w:rsid w:val="007D21BF"/>
    <w:rsid w:val="007D4908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592C"/>
    <w:rsid w:val="008824C2"/>
    <w:rsid w:val="008860A8"/>
    <w:rsid w:val="008879BF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71C"/>
    <w:rsid w:val="008D7ABD"/>
    <w:rsid w:val="008E55A2"/>
    <w:rsid w:val="008E613D"/>
    <w:rsid w:val="008F1609"/>
    <w:rsid w:val="008F78D8"/>
    <w:rsid w:val="00907088"/>
    <w:rsid w:val="0093373C"/>
    <w:rsid w:val="009359CE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224D"/>
    <w:rsid w:val="00A3308E"/>
    <w:rsid w:val="00A35DFD"/>
    <w:rsid w:val="00A56A09"/>
    <w:rsid w:val="00A653BE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2616"/>
    <w:rsid w:val="00AE3502"/>
    <w:rsid w:val="00AF051B"/>
    <w:rsid w:val="00B037A2"/>
    <w:rsid w:val="00B31870"/>
    <w:rsid w:val="00B320B8"/>
    <w:rsid w:val="00B35EE2"/>
    <w:rsid w:val="00B36484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8297B"/>
    <w:rsid w:val="00C85CE1"/>
    <w:rsid w:val="00CB24D2"/>
    <w:rsid w:val="00CB7C1A"/>
    <w:rsid w:val="00CC5E08"/>
    <w:rsid w:val="00CD689A"/>
    <w:rsid w:val="00CE0C42"/>
    <w:rsid w:val="00CE14FD"/>
    <w:rsid w:val="00CF5EEC"/>
    <w:rsid w:val="00CF6860"/>
    <w:rsid w:val="00D02AC6"/>
    <w:rsid w:val="00D03F0C"/>
    <w:rsid w:val="00D04312"/>
    <w:rsid w:val="00D16A7F"/>
    <w:rsid w:val="00D16AD2"/>
    <w:rsid w:val="00D20630"/>
    <w:rsid w:val="00D22596"/>
    <w:rsid w:val="00D22691"/>
    <w:rsid w:val="00D24C3D"/>
    <w:rsid w:val="00D46CB1"/>
    <w:rsid w:val="00D723F0"/>
    <w:rsid w:val="00D80CB5"/>
    <w:rsid w:val="00D8133F"/>
    <w:rsid w:val="00D861EE"/>
    <w:rsid w:val="00D95B05"/>
    <w:rsid w:val="00D97E2D"/>
    <w:rsid w:val="00DA103D"/>
    <w:rsid w:val="00DA45D3"/>
    <w:rsid w:val="00DA4761"/>
    <w:rsid w:val="00DA4772"/>
    <w:rsid w:val="00DA7B44"/>
    <w:rsid w:val="00DB2667"/>
    <w:rsid w:val="00DB67B7"/>
    <w:rsid w:val="00DC15A9"/>
    <w:rsid w:val="00DC40AA"/>
    <w:rsid w:val="00DD1750"/>
    <w:rsid w:val="00E0710D"/>
    <w:rsid w:val="00E26E9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AAB"/>
    <w:rsid w:val="00E76816"/>
    <w:rsid w:val="00E83DBF"/>
    <w:rsid w:val="00E87C13"/>
    <w:rsid w:val="00E94CD9"/>
    <w:rsid w:val="00EA1A76"/>
    <w:rsid w:val="00EA290B"/>
    <w:rsid w:val="00EB2820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1EF15DF4-29D8-4067-9B3D-AA27D651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2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70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