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954B164" w14:textId="77777777" w:rsidTr="006D5D22">
        <w:tblPrEx>
          <w:tblW w:w="0" w:type="auto"/>
          <w:tblLook w:val="0000"/>
        </w:tblPrEx>
        <w:trPr>
          <w:trHeight w:val="2181"/>
        </w:trPr>
        <w:tc>
          <w:tcPr>
            <w:tcW w:w="8856" w:type="dxa"/>
          </w:tcPr>
          <w:p w:rsidR="00FF232D" w:rsidP="006A7D75" w14:paraId="68D075A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03F1C4E" w14:textId="77777777">
            <w:pPr>
              <w:rPr>
                <w:b/>
                <w:bCs/>
                <w:sz w:val="12"/>
                <w:szCs w:val="12"/>
              </w:rPr>
            </w:pPr>
          </w:p>
          <w:p w:rsidR="007A44F8" w:rsidRPr="00047CE7" w:rsidP="00BB4E29" w14:paraId="302DA77E" w14:textId="77777777">
            <w:pPr>
              <w:rPr>
                <w:b/>
                <w:bCs/>
                <w:sz w:val="22"/>
                <w:szCs w:val="22"/>
              </w:rPr>
            </w:pPr>
            <w:r w:rsidRPr="00047CE7">
              <w:rPr>
                <w:b/>
                <w:bCs/>
                <w:sz w:val="22"/>
                <w:szCs w:val="22"/>
              </w:rPr>
              <w:t xml:space="preserve">Media Contact: </w:t>
            </w:r>
          </w:p>
          <w:p w:rsidR="007A44F8" w:rsidRPr="00772434" w:rsidP="00BB4E29" w14:paraId="627F475E" w14:textId="7EA36625">
            <w:pPr>
              <w:rPr>
                <w:bCs/>
                <w:sz w:val="22"/>
                <w:szCs w:val="22"/>
              </w:rPr>
            </w:pPr>
            <w:r w:rsidRPr="00772434">
              <w:rPr>
                <w:bCs/>
                <w:sz w:val="22"/>
                <w:szCs w:val="22"/>
              </w:rPr>
              <w:t>Anne Veigle</w:t>
            </w:r>
          </w:p>
          <w:p w:rsidR="00FF232D" w:rsidRPr="00772434" w:rsidP="00BB4E29" w14:paraId="47E1BCA3" w14:textId="1C68826B">
            <w:pPr>
              <w:rPr>
                <w:bCs/>
                <w:sz w:val="22"/>
                <w:szCs w:val="22"/>
              </w:rPr>
            </w:pPr>
            <w:r>
              <w:rPr>
                <w:bCs/>
                <w:sz w:val="22"/>
                <w:szCs w:val="22"/>
              </w:rPr>
              <w:t>a</w:t>
            </w:r>
            <w:r w:rsidRPr="00772434">
              <w:rPr>
                <w:bCs/>
                <w:sz w:val="22"/>
                <w:szCs w:val="22"/>
              </w:rPr>
              <w:t>nne.</w:t>
            </w:r>
            <w:r>
              <w:rPr>
                <w:bCs/>
                <w:sz w:val="22"/>
                <w:szCs w:val="22"/>
              </w:rPr>
              <w:t>veigle</w:t>
            </w:r>
            <w:r w:rsidRPr="00772434" w:rsidR="007A44F8">
              <w:rPr>
                <w:bCs/>
                <w:sz w:val="22"/>
                <w:szCs w:val="22"/>
              </w:rPr>
              <w:t>@fcc.gov</w:t>
            </w:r>
          </w:p>
          <w:p w:rsidR="007A44F8" w:rsidRPr="00772434" w:rsidP="00BB4E29" w14:paraId="3A0E8ABD" w14:textId="77777777">
            <w:pPr>
              <w:rPr>
                <w:bCs/>
                <w:sz w:val="22"/>
                <w:szCs w:val="22"/>
              </w:rPr>
            </w:pPr>
          </w:p>
          <w:p w:rsidR="00BE0C6A" w:rsidRPr="00BE0C6A" w:rsidP="00BE0C6A" w14:paraId="3AE5D3AD" w14:textId="16378AA0">
            <w:pPr>
              <w:rPr>
                <w:b/>
                <w:sz w:val="22"/>
                <w:szCs w:val="22"/>
              </w:rPr>
            </w:pPr>
            <w:r w:rsidRPr="008A3940">
              <w:rPr>
                <w:b/>
                <w:sz w:val="22"/>
                <w:szCs w:val="22"/>
              </w:rPr>
              <w:t xml:space="preserve">For </w:t>
            </w:r>
            <w:r>
              <w:rPr>
                <w:b/>
                <w:sz w:val="22"/>
                <w:szCs w:val="22"/>
              </w:rPr>
              <w:t>Immediate Release</w:t>
            </w:r>
          </w:p>
          <w:p w:rsidR="00BE0C6A" w:rsidRPr="00BE0C6A" w:rsidP="00BE0C6A" w14:paraId="1DF65710" w14:textId="77777777">
            <w:pPr>
              <w:rPr>
                <w:b/>
                <w:sz w:val="26"/>
                <w:szCs w:val="26"/>
              </w:rPr>
            </w:pPr>
          </w:p>
          <w:p w:rsidR="00BE0C6A" w:rsidRPr="00BE0C6A" w:rsidP="00BE0C6A" w14:paraId="0E76B1AB" w14:textId="77777777">
            <w:pPr>
              <w:spacing w:after="120"/>
              <w:jc w:val="center"/>
              <w:rPr>
                <w:b/>
                <w:sz w:val="26"/>
                <w:szCs w:val="26"/>
              </w:rPr>
            </w:pPr>
            <w:r w:rsidRPr="00BE0C6A">
              <w:rPr>
                <w:b/>
                <w:sz w:val="26"/>
                <w:szCs w:val="26"/>
              </w:rPr>
              <w:t>FCC ADOPTS ORDER TO PROVIDE UP TO $75 MONTHLY SUBSIDY FOR CONSUMERS LIVING IN QUALIFYING HIGH-COST AREAS THROUGH AFFORDABLE CONNECTIVITY PROGRAM</w:t>
            </w:r>
          </w:p>
          <w:p w:rsidR="00CC5E08" w:rsidRPr="00BE0C6A" w:rsidP="00BE0C6A" w14:paraId="3C679D2B" w14:textId="7E1A8A88">
            <w:pPr>
              <w:jc w:val="center"/>
              <w:rPr>
                <w:i/>
                <w:iCs/>
              </w:rPr>
            </w:pPr>
            <w:r w:rsidRPr="00BE0C6A">
              <w:rPr>
                <w:b/>
                <w:i/>
                <w:iCs/>
              </w:rPr>
              <w:t xml:space="preserve">Implements Infrastructure </w:t>
            </w:r>
            <w:r w:rsidRPr="00BE0C6A" w:rsidR="00D15F8D">
              <w:rPr>
                <w:b/>
                <w:bCs/>
                <w:i/>
                <w:iCs/>
              </w:rPr>
              <w:t xml:space="preserve">Act’s Requirements to </w:t>
            </w:r>
            <w:r w:rsidRPr="00BE0C6A" w:rsidR="00860C87">
              <w:rPr>
                <w:b/>
                <w:bCs/>
                <w:i/>
                <w:iCs/>
              </w:rPr>
              <w:t xml:space="preserve">Target Funding to </w:t>
            </w:r>
            <w:r w:rsidRPr="00BE0C6A" w:rsidR="00314D00">
              <w:rPr>
                <w:b/>
                <w:bCs/>
                <w:i/>
                <w:iCs/>
              </w:rPr>
              <w:t xml:space="preserve">Eligible </w:t>
            </w:r>
            <w:r w:rsidRPr="00BE0C6A" w:rsidR="00860C87">
              <w:rPr>
                <w:b/>
                <w:bCs/>
                <w:i/>
                <w:iCs/>
              </w:rPr>
              <w:t xml:space="preserve">Consumers Living in </w:t>
            </w:r>
            <w:r w:rsidRPr="00BE0C6A" w:rsidR="00314D00">
              <w:rPr>
                <w:b/>
                <w:bCs/>
                <w:i/>
                <w:iCs/>
              </w:rPr>
              <w:t>Hard to Serve Areas</w:t>
            </w:r>
          </w:p>
          <w:p w:rsidR="00F61155" w:rsidRPr="006B0A70" w:rsidP="00BB4E29" w14:paraId="6E055E5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11477" w:rsidP="000263A8" w14:paraId="63F03B24" w14:textId="70DB5BD8">
            <w:pPr>
              <w:rPr>
                <w:sz w:val="22"/>
                <w:szCs w:val="22"/>
              </w:rPr>
            </w:pPr>
            <w:r w:rsidRPr="002E165B">
              <w:rPr>
                <w:sz w:val="22"/>
                <w:szCs w:val="22"/>
              </w:rPr>
              <w:t xml:space="preserve">WASHINGTON, </w:t>
            </w:r>
            <w:r w:rsidR="00772434">
              <w:rPr>
                <w:sz w:val="22"/>
                <w:szCs w:val="22"/>
              </w:rPr>
              <w:t>August 3,</w:t>
            </w:r>
            <w:r w:rsidRPr="002E165B" w:rsidR="00065E2D">
              <w:rPr>
                <w:sz w:val="22"/>
                <w:szCs w:val="22"/>
              </w:rPr>
              <w:t xml:space="preserve"> 20</w:t>
            </w:r>
            <w:r w:rsidR="006D16EF">
              <w:rPr>
                <w:sz w:val="22"/>
                <w:szCs w:val="22"/>
              </w:rPr>
              <w:t>2</w:t>
            </w:r>
            <w:r w:rsidR="00EB2820">
              <w:rPr>
                <w:sz w:val="22"/>
                <w:szCs w:val="22"/>
              </w:rPr>
              <w:t>3</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AC4272">
              <w:rPr>
                <w:sz w:val="22"/>
                <w:szCs w:val="22"/>
              </w:rPr>
              <w:t xml:space="preserve">adopted an order </w:t>
            </w:r>
            <w:r w:rsidR="00AF5576">
              <w:rPr>
                <w:sz w:val="22"/>
                <w:szCs w:val="22"/>
              </w:rPr>
              <w:t xml:space="preserve">to </w:t>
            </w:r>
            <w:r w:rsidR="00897379">
              <w:rPr>
                <w:sz w:val="22"/>
                <w:szCs w:val="22"/>
              </w:rPr>
              <w:t>provide</w:t>
            </w:r>
            <w:r w:rsidR="00AF5576">
              <w:rPr>
                <w:sz w:val="22"/>
                <w:szCs w:val="22"/>
              </w:rPr>
              <w:t xml:space="preserve"> </w:t>
            </w:r>
            <w:r w:rsidR="00EC602E">
              <w:rPr>
                <w:sz w:val="22"/>
                <w:szCs w:val="22"/>
              </w:rPr>
              <w:t xml:space="preserve">an </w:t>
            </w:r>
            <w:r w:rsidR="00AF5576">
              <w:rPr>
                <w:sz w:val="22"/>
                <w:szCs w:val="22"/>
              </w:rPr>
              <w:t xml:space="preserve">up-to-$75 monthly </w:t>
            </w:r>
            <w:r w:rsidRPr="5A85CFF2" w:rsidR="18CC8222">
              <w:rPr>
                <w:sz w:val="22"/>
                <w:szCs w:val="22"/>
              </w:rPr>
              <w:t xml:space="preserve">broadband </w:t>
            </w:r>
            <w:r w:rsidR="00EC602E">
              <w:rPr>
                <w:sz w:val="22"/>
                <w:szCs w:val="22"/>
              </w:rPr>
              <w:t xml:space="preserve">benefit for </w:t>
            </w:r>
            <w:r w:rsidR="00FD76B1">
              <w:rPr>
                <w:sz w:val="22"/>
                <w:szCs w:val="22"/>
              </w:rPr>
              <w:t xml:space="preserve">subscribers </w:t>
            </w:r>
            <w:r w:rsidR="00EC602E">
              <w:rPr>
                <w:sz w:val="22"/>
                <w:szCs w:val="22"/>
              </w:rPr>
              <w:t xml:space="preserve">living in </w:t>
            </w:r>
            <w:r w:rsidR="005A6E5C">
              <w:rPr>
                <w:sz w:val="22"/>
                <w:szCs w:val="22"/>
              </w:rPr>
              <w:t xml:space="preserve">qualifying </w:t>
            </w:r>
            <w:r w:rsidR="00C42A5F">
              <w:rPr>
                <w:sz w:val="22"/>
                <w:szCs w:val="22"/>
              </w:rPr>
              <w:t>high-cost areas</w:t>
            </w:r>
            <w:r w:rsidR="00196757">
              <w:rPr>
                <w:sz w:val="22"/>
                <w:szCs w:val="22"/>
              </w:rPr>
              <w:t xml:space="preserve"> through the</w:t>
            </w:r>
            <w:r w:rsidRPr="000263A8" w:rsidR="00196757">
              <w:rPr>
                <w:sz w:val="22"/>
                <w:szCs w:val="22"/>
              </w:rPr>
              <w:t xml:space="preserve"> A</w:t>
            </w:r>
            <w:r w:rsidR="00196757">
              <w:rPr>
                <w:sz w:val="22"/>
                <w:szCs w:val="22"/>
              </w:rPr>
              <w:t>ffordable Connectivity Program (ACP)</w:t>
            </w:r>
            <w:r w:rsidR="003D3EAC">
              <w:rPr>
                <w:sz w:val="22"/>
                <w:szCs w:val="22"/>
              </w:rPr>
              <w:t xml:space="preserve">, as directed by the </w:t>
            </w:r>
            <w:r w:rsidRPr="00B93695" w:rsidR="003D3EAC">
              <w:rPr>
                <w:sz w:val="22"/>
                <w:szCs w:val="22"/>
              </w:rPr>
              <w:t>Infrastructure Investment and Jobs Act</w:t>
            </w:r>
            <w:r w:rsidR="005A6E5C">
              <w:rPr>
                <w:sz w:val="22"/>
                <w:szCs w:val="22"/>
              </w:rPr>
              <w:t xml:space="preserve"> (Infrastructure Act)</w:t>
            </w:r>
            <w:r w:rsidR="005729BD">
              <w:rPr>
                <w:sz w:val="22"/>
                <w:szCs w:val="22"/>
              </w:rPr>
              <w:t xml:space="preserve">.  </w:t>
            </w:r>
            <w:r>
              <w:rPr>
                <w:sz w:val="22"/>
                <w:szCs w:val="22"/>
              </w:rPr>
              <w:t xml:space="preserve">The </w:t>
            </w:r>
            <w:r w:rsidR="005A6E5C">
              <w:rPr>
                <w:sz w:val="22"/>
                <w:szCs w:val="22"/>
              </w:rPr>
              <w:t xml:space="preserve">Infrastructure </w:t>
            </w:r>
            <w:r>
              <w:rPr>
                <w:sz w:val="22"/>
                <w:szCs w:val="22"/>
              </w:rPr>
              <w:t xml:space="preserve">Act specified </w:t>
            </w:r>
            <w:r w:rsidR="003526FB">
              <w:rPr>
                <w:sz w:val="22"/>
                <w:szCs w:val="22"/>
              </w:rPr>
              <w:t xml:space="preserve">that </w:t>
            </w:r>
            <w:r w:rsidR="00B10A06">
              <w:rPr>
                <w:sz w:val="22"/>
                <w:szCs w:val="22"/>
              </w:rPr>
              <w:t>the</w:t>
            </w:r>
            <w:r>
              <w:rPr>
                <w:sz w:val="22"/>
                <w:szCs w:val="22"/>
              </w:rPr>
              <w:t xml:space="preserve"> $75 monthly benefit would </w:t>
            </w:r>
            <w:r w:rsidR="005729BD">
              <w:rPr>
                <w:sz w:val="22"/>
                <w:szCs w:val="22"/>
              </w:rPr>
              <w:t xml:space="preserve">support providers </w:t>
            </w:r>
            <w:r w:rsidRPr="5A85CFF2" w:rsidR="1E947C66">
              <w:rPr>
                <w:sz w:val="22"/>
                <w:szCs w:val="22"/>
              </w:rPr>
              <w:t>that</w:t>
            </w:r>
            <w:r w:rsidR="005729BD">
              <w:rPr>
                <w:sz w:val="22"/>
                <w:szCs w:val="22"/>
              </w:rPr>
              <w:t xml:space="preserve"> can demonstrate that the standard $30 </w:t>
            </w:r>
            <w:r w:rsidR="00A20414">
              <w:rPr>
                <w:sz w:val="22"/>
                <w:szCs w:val="22"/>
              </w:rPr>
              <w:t xml:space="preserve">monthly </w:t>
            </w:r>
            <w:r w:rsidR="005729BD">
              <w:rPr>
                <w:sz w:val="22"/>
                <w:szCs w:val="22"/>
              </w:rPr>
              <w:t xml:space="preserve">benefit </w:t>
            </w:r>
            <w:r w:rsidRPr="00716173" w:rsidR="005729BD">
              <w:rPr>
                <w:sz w:val="22"/>
                <w:szCs w:val="22"/>
              </w:rPr>
              <w:t xml:space="preserve">would </w:t>
            </w:r>
            <w:r w:rsidR="00FD76B1">
              <w:rPr>
                <w:sz w:val="22"/>
                <w:szCs w:val="22"/>
              </w:rPr>
              <w:t xml:space="preserve">cause them to experience “particularized economic hardship” such that they would be unable to maintain part or all of their </w:t>
            </w:r>
            <w:r w:rsidR="005A6E5C">
              <w:rPr>
                <w:sz w:val="22"/>
                <w:szCs w:val="22"/>
              </w:rPr>
              <w:t xml:space="preserve">broadband </w:t>
            </w:r>
            <w:r w:rsidR="00FD76B1">
              <w:rPr>
                <w:sz w:val="22"/>
                <w:szCs w:val="22"/>
              </w:rPr>
              <w:t xml:space="preserve">network in </w:t>
            </w:r>
            <w:r w:rsidR="005A6E5C">
              <w:rPr>
                <w:sz w:val="22"/>
                <w:szCs w:val="22"/>
              </w:rPr>
              <w:t xml:space="preserve">a </w:t>
            </w:r>
            <w:r w:rsidR="00FD76B1">
              <w:rPr>
                <w:sz w:val="22"/>
                <w:szCs w:val="22"/>
              </w:rPr>
              <w:t>high-cost area.</w:t>
            </w:r>
            <w:r w:rsidR="0021460F">
              <w:rPr>
                <w:sz w:val="22"/>
                <w:szCs w:val="22"/>
              </w:rPr>
              <w:t xml:space="preserve">  </w:t>
            </w:r>
            <w:r w:rsidRPr="000263A8">
              <w:rPr>
                <w:sz w:val="22"/>
                <w:szCs w:val="22"/>
              </w:rPr>
              <w:t>Congress separately directed the National Telecommunications and Information Administration</w:t>
            </w:r>
            <w:r w:rsidR="00D9429D">
              <w:rPr>
                <w:sz w:val="22"/>
                <w:szCs w:val="22"/>
              </w:rPr>
              <w:t xml:space="preserve"> (NTIA)</w:t>
            </w:r>
            <w:r w:rsidRPr="000263A8">
              <w:rPr>
                <w:sz w:val="22"/>
                <w:szCs w:val="22"/>
              </w:rPr>
              <w:t xml:space="preserve">, in consultation with the Commission, </w:t>
            </w:r>
            <w:r w:rsidRPr="5A85CFF2" w:rsidR="1C025616">
              <w:rPr>
                <w:sz w:val="22"/>
                <w:szCs w:val="22"/>
              </w:rPr>
              <w:t xml:space="preserve">to identify the </w:t>
            </w:r>
            <w:r w:rsidRPr="000263A8">
              <w:rPr>
                <w:sz w:val="22"/>
                <w:szCs w:val="22"/>
              </w:rPr>
              <w:t xml:space="preserve">high-cost areas </w:t>
            </w:r>
            <w:r w:rsidRPr="5A85CFF2" w:rsidR="45D5089B">
              <w:rPr>
                <w:sz w:val="22"/>
                <w:szCs w:val="22"/>
              </w:rPr>
              <w:t>that would be eligible</w:t>
            </w:r>
            <w:r w:rsidRPr="000263A8">
              <w:rPr>
                <w:sz w:val="22"/>
                <w:szCs w:val="22"/>
              </w:rPr>
              <w:t xml:space="preserve"> for the enhanced</w:t>
            </w:r>
            <w:r w:rsidR="0076249D">
              <w:rPr>
                <w:sz w:val="22"/>
                <w:szCs w:val="22"/>
              </w:rPr>
              <w:t xml:space="preserve"> ACP</w:t>
            </w:r>
            <w:r w:rsidRPr="000263A8">
              <w:rPr>
                <w:sz w:val="22"/>
                <w:szCs w:val="22"/>
              </w:rPr>
              <w:t xml:space="preserve"> high-cost area benefit.</w:t>
            </w:r>
          </w:p>
          <w:p w:rsidR="00011477" w:rsidP="000263A8" w14:paraId="01EF16FB" w14:textId="77777777">
            <w:pPr>
              <w:rPr>
                <w:sz w:val="22"/>
                <w:szCs w:val="22"/>
              </w:rPr>
            </w:pPr>
          </w:p>
          <w:p w:rsidR="00152D7B" w:rsidP="00152D7B" w14:paraId="49D448BE" w14:textId="78DEA8CE">
            <w:pPr>
              <w:rPr>
                <w:sz w:val="22"/>
                <w:szCs w:val="22"/>
              </w:rPr>
            </w:pPr>
            <w:r>
              <w:rPr>
                <w:sz w:val="22"/>
                <w:szCs w:val="22"/>
              </w:rPr>
              <w:t xml:space="preserve">The </w:t>
            </w:r>
            <w:r w:rsidRPr="000263A8">
              <w:rPr>
                <w:sz w:val="22"/>
                <w:szCs w:val="22"/>
              </w:rPr>
              <w:t>Report and Order is expected to incentivize providers to participate in the ACP or remain in the ACP in rural and insular areas, further narrowing the digital divide</w:t>
            </w:r>
            <w:r>
              <w:rPr>
                <w:sz w:val="22"/>
                <w:szCs w:val="22"/>
              </w:rPr>
              <w:t xml:space="preserve">.  </w:t>
            </w:r>
            <w:r w:rsidRPr="000263A8">
              <w:rPr>
                <w:sz w:val="22"/>
                <w:szCs w:val="22"/>
              </w:rPr>
              <w:t>The high-cost area benefit supports other federal initiatives, including those in the Infrastructure Act, to spur deployment and adoption in rural areas by strengthening the business case for providers to deploy broadband in rural and insular areas.</w:t>
            </w:r>
          </w:p>
          <w:p w:rsidR="00152D7B" w:rsidP="00152D7B" w14:paraId="1299F9DF" w14:textId="77777777">
            <w:pPr>
              <w:rPr>
                <w:sz w:val="22"/>
                <w:szCs w:val="22"/>
              </w:rPr>
            </w:pPr>
          </w:p>
          <w:p w:rsidR="00152D7B" w:rsidRPr="00740762" w:rsidP="00152D7B" w14:paraId="619824E2" w14:textId="58164CB2">
            <w:pPr>
              <w:rPr>
                <w:b/>
                <w:bCs/>
                <w:sz w:val="22"/>
                <w:szCs w:val="22"/>
              </w:rPr>
            </w:pPr>
            <w:r w:rsidRPr="00740762">
              <w:rPr>
                <w:b/>
                <w:bCs/>
                <w:sz w:val="22"/>
                <w:szCs w:val="22"/>
              </w:rPr>
              <w:t>What the Order Does</w:t>
            </w:r>
            <w:r w:rsidRPr="00740762" w:rsidR="006826FB">
              <w:rPr>
                <w:b/>
                <w:bCs/>
                <w:sz w:val="22"/>
                <w:szCs w:val="22"/>
              </w:rPr>
              <w:t xml:space="preserve">: </w:t>
            </w:r>
          </w:p>
          <w:p w:rsidR="00152D7B" w:rsidRPr="00740762" w:rsidP="000263A8" w14:paraId="25E9A50D" w14:textId="77777777">
            <w:pPr>
              <w:rPr>
                <w:b/>
                <w:bCs/>
                <w:sz w:val="22"/>
                <w:szCs w:val="22"/>
              </w:rPr>
            </w:pPr>
          </w:p>
          <w:p w:rsidR="000263A8" w:rsidP="00D9429D" w14:paraId="328F27A4" w14:textId="5DC64801">
            <w:pPr>
              <w:pStyle w:val="ListParagraph"/>
              <w:numPr>
                <w:ilvl w:val="0"/>
                <w:numId w:val="2"/>
              </w:numPr>
              <w:rPr>
                <w:sz w:val="22"/>
                <w:szCs w:val="22"/>
              </w:rPr>
            </w:pPr>
            <w:r w:rsidRPr="00D9429D">
              <w:rPr>
                <w:sz w:val="22"/>
                <w:szCs w:val="22"/>
              </w:rPr>
              <w:t>Adopt</w:t>
            </w:r>
            <w:r w:rsidRPr="00D9429D" w:rsidR="00740762">
              <w:rPr>
                <w:sz w:val="22"/>
                <w:szCs w:val="22"/>
              </w:rPr>
              <w:t>s</w:t>
            </w:r>
            <w:r w:rsidRPr="00D9429D">
              <w:rPr>
                <w:sz w:val="22"/>
                <w:szCs w:val="22"/>
              </w:rPr>
              <w:t xml:space="preserve"> </w:t>
            </w:r>
            <w:r w:rsidRPr="00D9429D" w:rsidR="00740762">
              <w:rPr>
                <w:sz w:val="22"/>
                <w:szCs w:val="22"/>
              </w:rPr>
              <w:t xml:space="preserve">rules to implement </w:t>
            </w:r>
            <w:r w:rsidRPr="00D9429D">
              <w:rPr>
                <w:sz w:val="22"/>
                <w:szCs w:val="22"/>
              </w:rPr>
              <w:t xml:space="preserve">the up-to-$75 monthly ACP </w:t>
            </w:r>
            <w:r w:rsidRPr="5A85CFF2" w:rsidR="612E6D98">
              <w:rPr>
                <w:sz w:val="22"/>
                <w:szCs w:val="22"/>
              </w:rPr>
              <w:t xml:space="preserve">benefit </w:t>
            </w:r>
            <w:r w:rsidRPr="00D9429D">
              <w:rPr>
                <w:sz w:val="22"/>
                <w:szCs w:val="22"/>
              </w:rPr>
              <w:t>in high-cost areas</w:t>
            </w:r>
            <w:r w:rsidRPr="5A85CFF2" w:rsidR="1808A8F9">
              <w:rPr>
                <w:sz w:val="22"/>
                <w:szCs w:val="22"/>
              </w:rPr>
              <w:t>,</w:t>
            </w:r>
            <w:r w:rsidRPr="00D9429D">
              <w:rPr>
                <w:sz w:val="22"/>
                <w:szCs w:val="22"/>
              </w:rPr>
              <w:t xml:space="preserve"> as defined by NTIA and as required by the Infrastructure Act.</w:t>
            </w:r>
          </w:p>
          <w:p w:rsidR="00D9429D" w:rsidRPr="00D9429D" w:rsidP="00D9429D" w14:paraId="31F36B0D" w14:textId="77777777">
            <w:pPr>
              <w:pStyle w:val="ListParagraph"/>
              <w:rPr>
                <w:sz w:val="22"/>
                <w:szCs w:val="22"/>
              </w:rPr>
            </w:pPr>
          </w:p>
          <w:p w:rsidR="000263A8" w:rsidRPr="001C313C" w:rsidP="0038654A" w14:paraId="38F09EA3" w14:textId="3069B2A2">
            <w:pPr>
              <w:pStyle w:val="ListParagraph"/>
              <w:numPr>
                <w:ilvl w:val="0"/>
                <w:numId w:val="2"/>
              </w:numPr>
              <w:rPr>
                <w:sz w:val="22"/>
                <w:szCs w:val="22"/>
              </w:rPr>
            </w:pPr>
            <w:r w:rsidRPr="0038654A">
              <w:rPr>
                <w:sz w:val="22"/>
                <w:szCs w:val="22"/>
              </w:rPr>
              <w:t xml:space="preserve">Defines </w:t>
            </w:r>
            <w:r w:rsidRPr="0038654A" w:rsidR="00A7218C">
              <w:rPr>
                <w:sz w:val="22"/>
                <w:szCs w:val="22"/>
              </w:rPr>
              <w:t xml:space="preserve">“particularized </w:t>
            </w:r>
            <w:r w:rsidRPr="0038654A">
              <w:rPr>
                <w:sz w:val="22"/>
                <w:szCs w:val="22"/>
              </w:rPr>
              <w:t>economic hardsh</w:t>
            </w:r>
            <w:r w:rsidRPr="0038654A" w:rsidR="00A7218C">
              <w:rPr>
                <w:sz w:val="22"/>
                <w:szCs w:val="22"/>
              </w:rPr>
              <w:t>ip”</w:t>
            </w:r>
            <w:r w:rsidRPr="0038654A">
              <w:rPr>
                <w:sz w:val="22"/>
                <w:szCs w:val="22"/>
              </w:rPr>
              <w:t xml:space="preserve"> </w:t>
            </w:r>
            <w:r w:rsidR="0038654A">
              <w:rPr>
                <w:sz w:val="22"/>
                <w:szCs w:val="22"/>
              </w:rPr>
              <w:t>and e</w:t>
            </w:r>
            <w:r w:rsidRPr="001C313C" w:rsidR="005A6E5C">
              <w:rPr>
                <w:sz w:val="22"/>
                <w:szCs w:val="22"/>
              </w:rPr>
              <w:t xml:space="preserve">stablishes the showing that ACP providers must make to demonstrate they are experiencing a particularized economic hardship in a high-cost area. </w:t>
            </w:r>
            <w:r w:rsidRPr="001C313C" w:rsidR="005A6E5C">
              <w:rPr>
                <w:sz w:val="22"/>
                <w:szCs w:val="22"/>
              </w:rPr>
              <w:t xml:space="preserve"> </w:t>
            </w:r>
          </w:p>
          <w:p w:rsidR="00D9429D" w:rsidRPr="00D9429D" w:rsidP="00D9429D" w14:paraId="16B7D524" w14:textId="77777777">
            <w:pPr>
              <w:rPr>
                <w:sz w:val="22"/>
                <w:szCs w:val="22"/>
              </w:rPr>
            </w:pPr>
          </w:p>
          <w:p w:rsidR="000263A8" w:rsidP="00D9429D" w14:paraId="3AEC8CD0" w14:textId="6F5782A8">
            <w:pPr>
              <w:pStyle w:val="ListParagraph"/>
              <w:numPr>
                <w:ilvl w:val="0"/>
                <w:numId w:val="2"/>
              </w:numPr>
              <w:rPr>
                <w:sz w:val="22"/>
                <w:szCs w:val="22"/>
              </w:rPr>
            </w:pPr>
            <w:r w:rsidRPr="00D9429D">
              <w:rPr>
                <w:sz w:val="22"/>
                <w:szCs w:val="22"/>
              </w:rPr>
              <w:t>Sets the processes for reviewing and making determinations on providers’ economic hardship submissions, and appealing those determinations.</w:t>
            </w:r>
          </w:p>
          <w:p w:rsidR="00DE7AF4" w:rsidRPr="00DE7AF4" w:rsidP="00DE7AF4" w14:paraId="4B6E1C35" w14:textId="5FD8174C">
            <w:pPr>
              <w:rPr>
                <w:sz w:val="22"/>
                <w:szCs w:val="22"/>
              </w:rPr>
            </w:pPr>
          </w:p>
          <w:p w:rsidR="000263A8" w:rsidRPr="00D9429D" w:rsidP="00D9429D" w14:paraId="1FE2CE86" w14:textId="02EEBC6C">
            <w:pPr>
              <w:pStyle w:val="ListParagraph"/>
              <w:numPr>
                <w:ilvl w:val="0"/>
                <w:numId w:val="2"/>
              </w:numPr>
              <w:rPr>
                <w:sz w:val="22"/>
                <w:szCs w:val="22"/>
              </w:rPr>
            </w:pPr>
            <w:r w:rsidRPr="00D9429D">
              <w:rPr>
                <w:sz w:val="22"/>
                <w:szCs w:val="22"/>
              </w:rPr>
              <w:t xml:space="preserve">Creates a requirement for providers </w:t>
            </w:r>
            <w:r w:rsidRPr="5A85CFF2" w:rsidR="1FD352CA">
              <w:rPr>
                <w:sz w:val="22"/>
                <w:szCs w:val="22"/>
              </w:rPr>
              <w:t>that</w:t>
            </w:r>
            <w:r w:rsidRPr="00D9429D">
              <w:rPr>
                <w:sz w:val="22"/>
                <w:szCs w:val="22"/>
              </w:rPr>
              <w:t xml:space="preserve"> are approved to offer the high-cost area benefit to annually resubmit an economic hardship showing to continue offering the high-cost area benefit.</w:t>
            </w:r>
          </w:p>
          <w:p w:rsidR="5A85CFF2" w:rsidP="00674C25" w14:paraId="3CF502E7" w14:textId="5E056F62"/>
          <w:p w:rsidR="000263A8" w:rsidRPr="00D9429D" w:rsidP="00D9429D" w14:paraId="5B19B5AE" w14:textId="0449C8A4">
            <w:pPr>
              <w:pStyle w:val="ListParagraph"/>
              <w:numPr>
                <w:ilvl w:val="0"/>
                <w:numId w:val="2"/>
              </w:numPr>
              <w:rPr>
                <w:sz w:val="22"/>
                <w:szCs w:val="22"/>
              </w:rPr>
            </w:pPr>
            <w:r w:rsidRPr="00D9429D">
              <w:rPr>
                <w:sz w:val="22"/>
                <w:szCs w:val="22"/>
              </w:rPr>
              <w:t>Outlines the steps providers must take to provide advance notice and a transition path for ACP consumers if the provider no longer qualifies to offer the high-cost area benefit.</w:t>
            </w:r>
          </w:p>
          <w:p w:rsidR="00BD19E8" w:rsidP="002E165B" w14:paraId="2C3DCAC4" w14:textId="5576DCE6">
            <w:pPr>
              <w:rPr>
                <w:sz w:val="22"/>
                <w:szCs w:val="22"/>
              </w:rPr>
            </w:pPr>
          </w:p>
          <w:p w:rsidR="0041039D" w:rsidRPr="0041039D" w:rsidP="0041039D" w14:paraId="0D8C4736" w14:textId="77777777">
            <w:pPr>
              <w:rPr>
                <w:sz w:val="22"/>
                <w:szCs w:val="22"/>
              </w:rPr>
            </w:pPr>
            <w:r w:rsidRPr="0041039D">
              <w:rPr>
                <w:sz w:val="22"/>
                <w:szCs w:val="22"/>
              </w:rPr>
              <w:t>Action by the Commission August 3, 2023 by Sixth Report and Order (FCC 23-62).  Chairwoman Rosenworcel, Commissioners Carr, Starks, and Simington approving.  Chairwoman Rosenworcel, Commissioners Starks and Simington issuing separate statements.</w:t>
            </w:r>
          </w:p>
          <w:p w:rsidR="0041039D" w:rsidRPr="0041039D" w:rsidP="0041039D" w14:paraId="59949079" w14:textId="77777777">
            <w:pPr>
              <w:rPr>
                <w:sz w:val="22"/>
                <w:szCs w:val="22"/>
              </w:rPr>
            </w:pPr>
          </w:p>
          <w:p w:rsidR="0041039D" w:rsidP="0041039D" w14:paraId="4C054D47" w14:textId="4D44359C">
            <w:pPr>
              <w:rPr>
                <w:sz w:val="22"/>
                <w:szCs w:val="22"/>
              </w:rPr>
            </w:pPr>
            <w:r w:rsidRPr="0041039D">
              <w:rPr>
                <w:sz w:val="22"/>
                <w:szCs w:val="22"/>
              </w:rPr>
              <w:t>WC Docket No. 21-450</w:t>
            </w:r>
          </w:p>
          <w:p w:rsidR="0041039D" w:rsidRPr="002E165B" w:rsidP="0041039D" w14:paraId="4CC97F68" w14:textId="77777777">
            <w:pPr>
              <w:rPr>
                <w:sz w:val="22"/>
                <w:szCs w:val="22"/>
              </w:rPr>
            </w:pPr>
          </w:p>
          <w:p w:rsidR="004F0F1F" w:rsidRPr="007475A1" w:rsidP="00850E26" w14:paraId="59989EA3" w14:textId="77777777">
            <w:pPr>
              <w:ind w:right="72"/>
              <w:jc w:val="center"/>
              <w:rPr>
                <w:sz w:val="22"/>
                <w:szCs w:val="22"/>
              </w:rPr>
            </w:pPr>
            <w:r w:rsidRPr="007475A1">
              <w:rPr>
                <w:sz w:val="22"/>
                <w:szCs w:val="22"/>
              </w:rPr>
              <w:t>###</w:t>
            </w:r>
          </w:p>
          <w:p w:rsidR="00CC5E08" w:rsidRPr="0080486B" w:rsidP="00850E26" w14:paraId="4F0AC07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A864243" w14:textId="77777777">
            <w:pPr>
              <w:ind w:right="72"/>
              <w:jc w:val="center"/>
              <w:rPr>
                <w:b/>
                <w:bCs/>
                <w:sz w:val="18"/>
                <w:szCs w:val="18"/>
              </w:rPr>
            </w:pPr>
          </w:p>
          <w:p w:rsidR="00EE0E90" w:rsidRPr="00EF729B" w:rsidP="00850E26" w14:paraId="3BA8E48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1261DB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01B66"/>
    <w:multiLevelType w:val="hybridMultilevel"/>
    <w:tmpl w:val="C0529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D1"/>
    <w:rsid w:val="00011477"/>
    <w:rsid w:val="0002500C"/>
    <w:rsid w:val="000263A8"/>
    <w:rsid w:val="000311FC"/>
    <w:rsid w:val="00040127"/>
    <w:rsid w:val="00047CE7"/>
    <w:rsid w:val="00065E2D"/>
    <w:rsid w:val="00081232"/>
    <w:rsid w:val="00091E65"/>
    <w:rsid w:val="00096D4A"/>
    <w:rsid w:val="000A38EA"/>
    <w:rsid w:val="000C1E47"/>
    <w:rsid w:val="000C26F3"/>
    <w:rsid w:val="000E049E"/>
    <w:rsid w:val="0010799B"/>
    <w:rsid w:val="00115814"/>
    <w:rsid w:val="00117DB2"/>
    <w:rsid w:val="00123ED2"/>
    <w:rsid w:val="00125BE0"/>
    <w:rsid w:val="00125D7D"/>
    <w:rsid w:val="0013340F"/>
    <w:rsid w:val="00142C13"/>
    <w:rsid w:val="00152776"/>
    <w:rsid w:val="00152D7B"/>
    <w:rsid w:val="00153222"/>
    <w:rsid w:val="001577D3"/>
    <w:rsid w:val="001733A6"/>
    <w:rsid w:val="001865A9"/>
    <w:rsid w:val="00187DB2"/>
    <w:rsid w:val="00196757"/>
    <w:rsid w:val="001B20BB"/>
    <w:rsid w:val="001C313C"/>
    <w:rsid w:val="001C4370"/>
    <w:rsid w:val="001D3779"/>
    <w:rsid w:val="001F0469"/>
    <w:rsid w:val="00203A98"/>
    <w:rsid w:val="00206EDD"/>
    <w:rsid w:val="0021247E"/>
    <w:rsid w:val="0021344A"/>
    <w:rsid w:val="0021460F"/>
    <w:rsid w:val="002146F6"/>
    <w:rsid w:val="00231C32"/>
    <w:rsid w:val="00240345"/>
    <w:rsid w:val="002421F0"/>
    <w:rsid w:val="00247274"/>
    <w:rsid w:val="00261110"/>
    <w:rsid w:val="00266966"/>
    <w:rsid w:val="00285C36"/>
    <w:rsid w:val="00286596"/>
    <w:rsid w:val="00294C0C"/>
    <w:rsid w:val="00296F2A"/>
    <w:rsid w:val="002A0934"/>
    <w:rsid w:val="002B1013"/>
    <w:rsid w:val="002B49EF"/>
    <w:rsid w:val="002D03E5"/>
    <w:rsid w:val="002E165B"/>
    <w:rsid w:val="002E3F1D"/>
    <w:rsid w:val="002F31D0"/>
    <w:rsid w:val="00300359"/>
    <w:rsid w:val="00314D00"/>
    <w:rsid w:val="0031773E"/>
    <w:rsid w:val="00325D0A"/>
    <w:rsid w:val="00333871"/>
    <w:rsid w:val="00347716"/>
    <w:rsid w:val="003506E1"/>
    <w:rsid w:val="003526FB"/>
    <w:rsid w:val="003727E3"/>
    <w:rsid w:val="00380CCB"/>
    <w:rsid w:val="00385A93"/>
    <w:rsid w:val="0038654A"/>
    <w:rsid w:val="003910F1"/>
    <w:rsid w:val="0039262E"/>
    <w:rsid w:val="003D23B1"/>
    <w:rsid w:val="003D3EAC"/>
    <w:rsid w:val="003D7499"/>
    <w:rsid w:val="003E42FC"/>
    <w:rsid w:val="003E5991"/>
    <w:rsid w:val="003F344A"/>
    <w:rsid w:val="00403FF0"/>
    <w:rsid w:val="0041039D"/>
    <w:rsid w:val="00410900"/>
    <w:rsid w:val="0042046D"/>
    <w:rsid w:val="0042116E"/>
    <w:rsid w:val="00423FDD"/>
    <w:rsid w:val="00425AEF"/>
    <w:rsid w:val="00426518"/>
    <w:rsid w:val="00426FE7"/>
    <w:rsid w:val="00427B06"/>
    <w:rsid w:val="00441F59"/>
    <w:rsid w:val="00444E07"/>
    <w:rsid w:val="00444FA9"/>
    <w:rsid w:val="00473E9C"/>
    <w:rsid w:val="00480099"/>
    <w:rsid w:val="004941A2"/>
    <w:rsid w:val="00497858"/>
    <w:rsid w:val="004A729A"/>
    <w:rsid w:val="004B4FEA"/>
    <w:rsid w:val="004C0ADA"/>
    <w:rsid w:val="004C3D66"/>
    <w:rsid w:val="004C433E"/>
    <w:rsid w:val="004C4512"/>
    <w:rsid w:val="004C4F36"/>
    <w:rsid w:val="004D3D85"/>
    <w:rsid w:val="004E2BD8"/>
    <w:rsid w:val="004F0F1F"/>
    <w:rsid w:val="005022AA"/>
    <w:rsid w:val="00504845"/>
    <w:rsid w:val="0050757F"/>
    <w:rsid w:val="00516AD2"/>
    <w:rsid w:val="0052220D"/>
    <w:rsid w:val="00545DAE"/>
    <w:rsid w:val="00571B83"/>
    <w:rsid w:val="005729BD"/>
    <w:rsid w:val="00575A00"/>
    <w:rsid w:val="00586417"/>
    <w:rsid w:val="0058673C"/>
    <w:rsid w:val="0058707A"/>
    <w:rsid w:val="005A6E5C"/>
    <w:rsid w:val="005A7972"/>
    <w:rsid w:val="005B17E7"/>
    <w:rsid w:val="005B2643"/>
    <w:rsid w:val="005C37A9"/>
    <w:rsid w:val="005D17FD"/>
    <w:rsid w:val="005F0D55"/>
    <w:rsid w:val="005F183E"/>
    <w:rsid w:val="00600DDA"/>
    <w:rsid w:val="00603A30"/>
    <w:rsid w:val="00604211"/>
    <w:rsid w:val="00611001"/>
    <w:rsid w:val="00613498"/>
    <w:rsid w:val="00617B94"/>
    <w:rsid w:val="00620BED"/>
    <w:rsid w:val="006415B4"/>
    <w:rsid w:val="00644E3D"/>
    <w:rsid w:val="00651B9E"/>
    <w:rsid w:val="00652019"/>
    <w:rsid w:val="00657EC9"/>
    <w:rsid w:val="00665633"/>
    <w:rsid w:val="00674C25"/>
    <w:rsid w:val="00674C86"/>
    <w:rsid w:val="0068015E"/>
    <w:rsid w:val="006826FB"/>
    <w:rsid w:val="006861AB"/>
    <w:rsid w:val="006861AC"/>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2BD4"/>
    <w:rsid w:val="00716173"/>
    <w:rsid w:val="007167DD"/>
    <w:rsid w:val="0072478B"/>
    <w:rsid w:val="0073414D"/>
    <w:rsid w:val="00740762"/>
    <w:rsid w:val="007475A1"/>
    <w:rsid w:val="00750B59"/>
    <w:rsid w:val="0075235E"/>
    <w:rsid w:val="007528A5"/>
    <w:rsid w:val="0076249D"/>
    <w:rsid w:val="00772434"/>
    <w:rsid w:val="007732CC"/>
    <w:rsid w:val="00774079"/>
    <w:rsid w:val="00776F00"/>
    <w:rsid w:val="0077752B"/>
    <w:rsid w:val="00785046"/>
    <w:rsid w:val="00790AB6"/>
    <w:rsid w:val="00793D6F"/>
    <w:rsid w:val="00794090"/>
    <w:rsid w:val="007A44F8"/>
    <w:rsid w:val="007C332A"/>
    <w:rsid w:val="007C559D"/>
    <w:rsid w:val="007C7D7F"/>
    <w:rsid w:val="007D21BF"/>
    <w:rsid w:val="007F2956"/>
    <w:rsid w:val="007F3C12"/>
    <w:rsid w:val="007F5205"/>
    <w:rsid w:val="0080486B"/>
    <w:rsid w:val="008215E7"/>
    <w:rsid w:val="00830FC6"/>
    <w:rsid w:val="00850E26"/>
    <w:rsid w:val="00860C87"/>
    <w:rsid w:val="00865EAA"/>
    <w:rsid w:val="00866F06"/>
    <w:rsid w:val="008728F5"/>
    <w:rsid w:val="008824C2"/>
    <w:rsid w:val="008960E4"/>
    <w:rsid w:val="00897379"/>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B5894"/>
    <w:rsid w:val="009D13D1"/>
    <w:rsid w:val="009E54A1"/>
    <w:rsid w:val="009F139B"/>
    <w:rsid w:val="009F4E25"/>
    <w:rsid w:val="009F5B1F"/>
    <w:rsid w:val="00A10377"/>
    <w:rsid w:val="00A20414"/>
    <w:rsid w:val="00A225A9"/>
    <w:rsid w:val="00A3308E"/>
    <w:rsid w:val="00A35DFD"/>
    <w:rsid w:val="00A702DF"/>
    <w:rsid w:val="00A7218C"/>
    <w:rsid w:val="00A775A3"/>
    <w:rsid w:val="00A81700"/>
    <w:rsid w:val="00A81B5B"/>
    <w:rsid w:val="00A82FAD"/>
    <w:rsid w:val="00A9673A"/>
    <w:rsid w:val="00A96EF2"/>
    <w:rsid w:val="00AA5C35"/>
    <w:rsid w:val="00AA5ED9"/>
    <w:rsid w:val="00AC0A38"/>
    <w:rsid w:val="00AC4272"/>
    <w:rsid w:val="00AC4E0E"/>
    <w:rsid w:val="00AC517B"/>
    <w:rsid w:val="00AD0D19"/>
    <w:rsid w:val="00AD4184"/>
    <w:rsid w:val="00AF051B"/>
    <w:rsid w:val="00AF3612"/>
    <w:rsid w:val="00AF5576"/>
    <w:rsid w:val="00B037A2"/>
    <w:rsid w:val="00B10A06"/>
    <w:rsid w:val="00B31870"/>
    <w:rsid w:val="00B320B8"/>
    <w:rsid w:val="00B35EE2"/>
    <w:rsid w:val="00B36DEF"/>
    <w:rsid w:val="00B57131"/>
    <w:rsid w:val="00B62F2C"/>
    <w:rsid w:val="00B727C9"/>
    <w:rsid w:val="00B735C8"/>
    <w:rsid w:val="00B76A63"/>
    <w:rsid w:val="00B93695"/>
    <w:rsid w:val="00BA6350"/>
    <w:rsid w:val="00BB4E29"/>
    <w:rsid w:val="00BB74C9"/>
    <w:rsid w:val="00BC3AB6"/>
    <w:rsid w:val="00BD19E8"/>
    <w:rsid w:val="00BD4273"/>
    <w:rsid w:val="00BE0C6A"/>
    <w:rsid w:val="00BE6ED8"/>
    <w:rsid w:val="00C31ED8"/>
    <w:rsid w:val="00C40BC2"/>
    <w:rsid w:val="00C42A5F"/>
    <w:rsid w:val="00C432E4"/>
    <w:rsid w:val="00C70C26"/>
    <w:rsid w:val="00C72001"/>
    <w:rsid w:val="00C72EC3"/>
    <w:rsid w:val="00C772B7"/>
    <w:rsid w:val="00C801FA"/>
    <w:rsid w:val="00C80347"/>
    <w:rsid w:val="00CB24D2"/>
    <w:rsid w:val="00CB7C1A"/>
    <w:rsid w:val="00CC5E08"/>
    <w:rsid w:val="00CE14FD"/>
    <w:rsid w:val="00CF6860"/>
    <w:rsid w:val="00D02AC6"/>
    <w:rsid w:val="00D03F0C"/>
    <w:rsid w:val="00D04312"/>
    <w:rsid w:val="00D15F8D"/>
    <w:rsid w:val="00D167B8"/>
    <w:rsid w:val="00D16A7F"/>
    <w:rsid w:val="00D16AD2"/>
    <w:rsid w:val="00D22596"/>
    <w:rsid w:val="00D22691"/>
    <w:rsid w:val="00D24C3D"/>
    <w:rsid w:val="00D46CB1"/>
    <w:rsid w:val="00D67D8F"/>
    <w:rsid w:val="00D723F0"/>
    <w:rsid w:val="00D8133F"/>
    <w:rsid w:val="00D861EE"/>
    <w:rsid w:val="00D926F7"/>
    <w:rsid w:val="00D9429D"/>
    <w:rsid w:val="00D95B05"/>
    <w:rsid w:val="00D9728B"/>
    <w:rsid w:val="00D97E2D"/>
    <w:rsid w:val="00DA103D"/>
    <w:rsid w:val="00DA45D3"/>
    <w:rsid w:val="00DA4772"/>
    <w:rsid w:val="00DA7B44"/>
    <w:rsid w:val="00DB2667"/>
    <w:rsid w:val="00DB67B7"/>
    <w:rsid w:val="00DC15A9"/>
    <w:rsid w:val="00DC40AA"/>
    <w:rsid w:val="00DD1750"/>
    <w:rsid w:val="00DE7AF4"/>
    <w:rsid w:val="00E10947"/>
    <w:rsid w:val="00E349AA"/>
    <w:rsid w:val="00E41390"/>
    <w:rsid w:val="00E41CA0"/>
    <w:rsid w:val="00E4366B"/>
    <w:rsid w:val="00E50A4A"/>
    <w:rsid w:val="00E606DE"/>
    <w:rsid w:val="00E63568"/>
    <w:rsid w:val="00E644FE"/>
    <w:rsid w:val="00E72733"/>
    <w:rsid w:val="00E742FA"/>
    <w:rsid w:val="00E76816"/>
    <w:rsid w:val="00E83DBF"/>
    <w:rsid w:val="00E87C13"/>
    <w:rsid w:val="00E94CD9"/>
    <w:rsid w:val="00EA1A76"/>
    <w:rsid w:val="00EA290B"/>
    <w:rsid w:val="00EB2820"/>
    <w:rsid w:val="00EC602E"/>
    <w:rsid w:val="00EE0E90"/>
    <w:rsid w:val="00EF3BCA"/>
    <w:rsid w:val="00EF729B"/>
    <w:rsid w:val="00F01B0D"/>
    <w:rsid w:val="00F05427"/>
    <w:rsid w:val="00F11109"/>
    <w:rsid w:val="00F11951"/>
    <w:rsid w:val="00F1238F"/>
    <w:rsid w:val="00F16485"/>
    <w:rsid w:val="00F228ED"/>
    <w:rsid w:val="00F26E31"/>
    <w:rsid w:val="00F27C6C"/>
    <w:rsid w:val="00F32318"/>
    <w:rsid w:val="00F34A8D"/>
    <w:rsid w:val="00F4542D"/>
    <w:rsid w:val="00F50D25"/>
    <w:rsid w:val="00F535D8"/>
    <w:rsid w:val="00F61155"/>
    <w:rsid w:val="00F708E3"/>
    <w:rsid w:val="00F76561"/>
    <w:rsid w:val="00F84736"/>
    <w:rsid w:val="00FB6BD1"/>
    <w:rsid w:val="00FC6C29"/>
    <w:rsid w:val="00FD58E0"/>
    <w:rsid w:val="00FD71AE"/>
    <w:rsid w:val="00FD76B1"/>
    <w:rsid w:val="00FE0198"/>
    <w:rsid w:val="00FE3A7C"/>
    <w:rsid w:val="00FF1C0B"/>
    <w:rsid w:val="00FF232D"/>
    <w:rsid w:val="00FF7F9B"/>
    <w:rsid w:val="1808A8F9"/>
    <w:rsid w:val="18AB10B4"/>
    <w:rsid w:val="18CC8222"/>
    <w:rsid w:val="1C025616"/>
    <w:rsid w:val="1C21AE4D"/>
    <w:rsid w:val="1E947C66"/>
    <w:rsid w:val="1FD352CA"/>
    <w:rsid w:val="239AD84D"/>
    <w:rsid w:val="23EB5234"/>
    <w:rsid w:val="2788CCF7"/>
    <w:rsid w:val="3402208B"/>
    <w:rsid w:val="4080E031"/>
    <w:rsid w:val="45D5089B"/>
    <w:rsid w:val="49E686CA"/>
    <w:rsid w:val="574E2F30"/>
    <w:rsid w:val="58E9FF91"/>
    <w:rsid w:val="5954C058"/>
    <w:rsid w:val="5A85CFF2"/>
    <w:rsid w:val="5A8B89F0"/>
    <w:rsid w:val="612E6D98"/>
    <w:rsid w:val="63C0AA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8F03A5"/>
  <w15:docId w15:val="{B220BAFC-BA91-8C43-A08D-E2643D5A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D9429D"/>
    <w:pPr>
      <w:ind w:left="720"/>
      <w:contextualSpacing/>
    </w:pPr>
  </w:style>
  <w:style w:type="paragraph" w:styleId="Revision">
    <w:name w:val="Revision"/>
    <w:hidden/>
    <w:uiPriority w:val="99"/>
    <w:semiHidden/>
    <w:rsid w:val="00FD7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