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A2E9D" w:rsidP="002A2E9D" w14:paraId="0D04112B" w14:textId="77777777"/>
    <w:p w:rsidR="002A2E9D" w:rsidP="002A2E9D" w14:paraId="7013614E" w14:textId="77777777"/>
    <w:p w:rsidR="00F97781" w:rsidP="002A2E9D" w14:paraId="742342F5" w14:textId="48E4F38A">
      <w:pPr>
        <w:rPr>
          <w:sz w:val="22"/>
          <w:szCs w:val="22"/>
        </w:rPr>
      </w:pPr>
      <w:r>
        <w:rPr>
          <w:sz w:val="22"/>
          <w:szCs w:val="22"/>
        </w:rPr>
        <w:t xml:space="preserve">Heather </w:t>
      </w:r>
      <w:r>
        <w:rPr>
          <w:sz w:val="22"/>
          <w:szCs w:val="22"/>
        </w:rPr>
        <w:t>Pickering-Hilgers</w:t>
      </w:r>
      <w:r w:rsidR="00CF3382">
        <w:rPr>
          <w:sz w:val="22"/>
          <w:szCs w:val="22"/>
        </w:rPr>
        <w:tab/>
      </w:r>
      <w:r w:rsidR="00CF3382">
        <w:rPr>
          <w:sz w:val="22"/>
          <w:szCs w:val="22"/>
        </w:rPr>
        <w:tab/>
      </w:r>
      <w:r w:rsidR="00CF3382">
        <w:rPr>
          <w:sz w:val="22"/>
          <w:szCs w:val="22"/>
        </w:rPr>
        <w:tab/>
      </w:r>
      <w:r w:rsidR="00CF3382">
        <w:rPr>
          <w:sz w:val="22"/>
          <w:szCs w:val="22"/>
        </w:rPr>
        <w:tab/>
      </w:r>
      <w:r w:rsidR="00D4714E">
        <w:rPr>
          <w:sz w:val="22"/>
          <w:szCs w:val="22"/>
        </w:rPr>
        <w:t>Rudy Powell, Jr., P.E.</w:t>
      </w:r>
    </w:p>
    <w:p w:rsidR="00F97781" w:rsidP="002A2E9D" w14:paraId="7381B077" w14:textId="125FC83B">
      <w:pPr>
        <w:rPr>
          <w:sz w:val="22"/>
          <w:szCs w:val="22"/>
        </w:rPr>
      </w:pPr>
      <w:r>
        <w:rPr>
          <w:sz w:val="22"/>
          <w:szCs w:val="22"/>
        </w:rPr>
        <w:t>Office of Innovative Mobility</w:t>
      </w:r>
      <w:r w:rsidR="00D4714E">
        <w:rPr>
          <w:sz w:val="22"/>
          <w:szCs w:val="22"/>
        </w:rPr>
        <w:tab/>
      </w:r>
      <w:r w:rsidR="00D4714E">
        <w:rPr>
          <w:sz w:val="22"/>
          <w:szCs w:val="22"/>
        </w:rPr>
        <w:tab/>
      </w:r>
      <w:r w:rsidR="00D4714E">
        <w:rPr>
          <w:sz w:val="22"/>
          <w:szCs w:val="22"/>
        </w:rPr>
        <w:tab/>
      </w:r>
      <w:r w:rsidR="00D4714E">
        <w:rPr>
          <w:sz w:val="22"/>
          <w:szCs w:val="22"/>
        </w:rPr>
        <w:tab/>
        <w:t>Director</w:t>
      </w:r>
    </w:p>
    <w:p w:rsidR="00F97781" w:rsidP="0093139B" w14:paraId="5BB958BA" w14:textId="1C9E68D7">
      <w:pPr>
        <w:rPr>
          <w:sz w:val="22"/>
          <w:szCs w:val="22"/>
        </w:rPr>
      </w:pPr>
      <w:r>
        <w:rPr>
          <w:sz w:val="22"/>
          <w:szCs w:val="22"/>
        </w:rPr>
        <w:t>Colorado Department of Transportation</w:t>
      </w:r>
      <w:r w:rsidR="00D4714E">
        <w:rPr>
          <w:sz w:val="22"/>
          <w:szCs w:val="22"/>
        </w:rPr>
        <w:tab/>
      </w:r>
      <w:r w:rsidR="00D4714E">
        <w:rPr>
          <w:sz w:val="22"/>
          <w:szCs w:val="22"/>
        </w:rPr>
        <w:tab/>
      </w:r>
      <w:r w:rsidR="00D4714E">
        <w:rPr>
          <w:sz w:val="22"/>
          <w:szCs w:val="22"/>
        </w:rPr>
        <w:tab/>
      </w:r>
      <w:r w:rsidR="0093139B">
        <w:rPr>
          <w:sz w:val="22"/>
          <w:szCs w:val="22"/>
        </w:rPr>
        <w:t>Traffic Engineering &amp; Operations Office</w:t>
      </w:r>
    </w:p>
    <w:p w:rsidR="00CF3382" w:rsidP="002A2E9D" w14:paraId="08327522" w14:textId="2BF31EDE">
      <w:pPr>
        <w:rPr>
          <w:sz w:val="22"/>
          <w:szCs w:val="22"/>
        </w:rPr>
      </w:pPr>
      <w:r>
        <w:rPr>
          <w:sz w:val="22"/>
          <w:szCs w:val="22"/>
        </w:rPr>
        <w:t>2829 W. Howard Place</w:t>
      </w:r>
      <w:r w:rsidR="0093139B">
        <w:rPr>
          <w:sz w:val="22"/>
          <w:szCs w:val="22"/>
        </w:rPr>
        <w:tab/>
      </w:r>
      <w:r w:rsidR="0093139B">
        <w:rPr>
          <w:sz w:val="22"/>
          <w:szCs w:val="22"/>
        </w:rPr>
        <w:tab/>
      </w:r>
      <w:r w:rsidR="0093139B">
        <w:rPr>
          <w:sz w:val="22"/>
          <w:szCs w:val="22"/>
        </w:rPr>
        <w:tab/>
      </w:r>
      <w:r w:rsidR="0093139B">
        <w:rPr>
          <w:sz w:val="22"/>
          <w:szCs w:val="22"/>
        </w:rPr>
        <w:tab/>
      </w:r>
      <w:r w:rsidR="0093139B">
        <w:rPr>
          <w:sz w:val="22"/>
          <w:szCs w:val="22"/>
        </w:rPr>
        <w:tab/>
      </w:r>
      <w:r w:rsidR="00D13625">
        <w:rPr>
          <w:sz w:val="22"/>
          <w:szCs w:val="22"/>
        </w:rPr>
        <w:t>Florida Department of Transportation</w:t>
      </w:r>
    </w:p>
    <w:p w:rsidR="009B4FA0" w:rsidP="002A2E9D" w14:paraId="4909C2AC" w14:textId="77777777">
      <w:pPr>
        <w:rPr>
          <w:sz w:val="22"/>
          <w:szCs w:val="22"/>
        </w:rPr>
      </w:pPr>
      <w:r>
        <w:rPr>
          <w:sz w:val="22"/>
          <w:szCs w:val="22"/>
        </w:rPr>
        <w:t>Denver, CO 80204</w:t>
      </w:r>
      <w:r w:rsidR="002A2E9D">
        <w:rPr>
          <w:rFonts w:ascii="Arial" w:hAnsi="Arial" w:cs="Arial"/>
          <w:sz w:val="24"/>
          <w:szCs w:val="24"/>
        </w:rPr>
        <w:tab/>
      </w:r>
      <w:r w:rsidR="00D13625">
        <w:rPr>
          <w:rFonts w:ascii="Arial" w:hAnsi="Arial" w:cs="Arial"/>
          <w:sz w:val="24"/>
          <w:szCs w:val="24"/>
        </w:rPr>
        <w:tab/>
      </w:r>
      <w:r w:rsidR="00D13625">
        <w:rPr>
          <w:rFonts w:ascii="Arial" w:hAnsi="Arial" w:cs="Arial"/>
          <w:sz w:val="24"/>
          <w:szCs w:val="24"/>
        </w:rPr>
        <w:tab/>
      </w:r>
      <w:r w:rsidR="00D13625">
        <w:rPr>
          <w:rFonts w:ascii="Arial" w:hAnsi="Arial" w:cs="Arial"/>
          <w:sz w:val="24"/>
          <w:szCs w:val="24"/>
        </w:rPr>
        <w:tab/>
      </w:r>
      <w:r w:rsidR="00D13625">
        <w:rPr>
          <w:rFonts w:ascii="Arial" w:hAnsi="Arial" w:cs="Arial"/>
          <w:sz w:val="24"/>
          <w:szCs w:val="24"/>
        </w:rPr>
        <w:tab/>
      </w:r>
      <w:r>
        <w:rPr>
          <w:sz w:val="22"/>
          <w:szCs w:val="22"/>
        </w:rPr>
        <w:t>3185 South Blair Stone Road</w:t>
      </w:r>
    </w:p>
    <w:p w:rsidR="009506BF" w:rsidP="002A2E9D" w14:paraId="321D01BF"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Tallahassee</w:t>
      </w:r>
      <w:r>
        <w:rPr>
          <w:sz w:val="22"/>
          <w:szCs w:val="22"/>
        </w:rPr>
        <w:t>, FL 32302</w:t>
      </w:r>
    </w:p>
    <w:p w:rsidR="009506BF" w:rsidP="002A2E9D" w14:paraId="220407BA" w14:textId="77777777">
      <w:pPr>
        <w:rPr>
          <w:sz w:val="22"/>
          <w:szCs w:val="22"/>
        </w:rPr>
      </w:pPr>
    </w:p>
    <w:p w:rsidR="00870DED" w:rsidP="002A2E9D" w14:paraId="1BC39893" w14:textId="3757F415">
      <w:pPr>
        <w:rPr>
          <w:sz w:val="22"/>
          <w:szCs w:val="22"/>
        </w:rPr>
      </w:pPr>
      <w:r>
        <w:rPr>
          <w:sz w:val="22"/>
          <w:szCs w:val="22"/>
        </w:rPr>
        <w:t>Alan Davis, PE, PTOE</w:t>
      </w:r>
      <w:r w:rsidR="005A1089">
        <w:rPr>
          <w:sz w:val="22"/>
          <w:szCs w:val="22"/>
        </w:rPr>
        <w:tab/>
      </w:r>
      <w:r w:rsidR="005A1089">
        <w:rPr>
          <w:sz w:val="22"/>
          <w:szCs w:val="22"/>
        </w:rPr>
        <w:tab/>
      </w:r>
      <w:r w:rsidR="005A1089">
        <w:rPr>
          <w:sz w:val="22"/>
          <w:szCs w:val="22"/>
        </w:rPr>
        <w:tab/>
      </w:r>
      <w:r w:rsidR="005A1089">
        <w:rPr>
          <w:sz w:val="22"/>
          <w:szCs w:val="22"/>
        </w:rPr>
        <w:tab/>
      </w:r>
      <w:r w:rsidR="005A1089">
        <w:rPr>
          <w:sz w:val="22"/>
          <w:szCs w:val="22"/>
        </w:rPr>
        <w:tab/>
      </w:r>
      <w:r w:rsidR="003C674C">
        <w:rPr>
          <w:sz w:val="22"/>
          <w:szCs w:val="22"/>
        </w:rPr>
        <w:t>Sergio George G. Abcede</w:t>
      </w:r>
    </w:p>
    <w:p w:rsidR="00870DED" w:rsidP="002A2E9D" w14:paraId="48F4A098" w14:textId="6E51147A">
      <w:pPr>
        <w:rPr>
          <w:sz w:val="22"/>
          <w:szCs w:val="22"/>
        </w:rPr>
      </w:pPr>
      <w:r>
        <w:rPr>
          <w:sz w:val="22"/>
          <w:szCs w:val="22"/>
        </w:rPr>
        <w:t>State Traffic Engineer</w:t>
      </w:r>
      <w:r w:rsidR="003C674C">
        <w:rPr>
          <w:sz w:val="22"/>
          <w:szCs w:val="22"/>
        </w:rPr>
        <w:tab/>
      </w:r>
      <w:r w:rsidR="003C674C">
        <w:rPr>
          <w:sz w:val="22"/>
          <w:szCs w:val="22"/>
        </w:rPr>
        <w:tab/>
      </w:r>
      <w:r w:rsidR="003C674C">
        <w:rPr>
          <w:sz w:val="22"/>
          <w:szCs w:val="22"/>
        </w:rPr>
        <w:tab/>
      </w:r>
      <w:r w:rsidR="003C674C">
        <w:rPr>
          <w:sz w:val="22"/>
          <w:szCs w:val="22"/>
        </w:rPr>
        <w:tab/>
      </w:r>
      <w:r w:rsidR="003C674C">
        <w:rPr>
          <w:sz w:val="22"/>
          <w:szCs w:val="22"/>
        </w:rPr>
        <w:tab/>
        <w:t>Highways Administrator</w:t>
      </w:r>
    </w:p>
    <w:p w:rsidR="00870DED" w:rsidP="002A2E9D" w14:paraId="52C51CA3" w14:textId="636560A1">
      <w:pPr>
        <w:rPr>
          <w:sz w:val="22"/>
          <w:szCs w:val="22"/>
        </w:rPr>
      </w:pPr>
      <w:r>
        <w:rPr>
          <w:sz w:val="22"/>
          <w:szCs w:val="22"/>
        </w:rPr>
        <w:t>Georgia Department of Transportation</w:t>
      </w:r>
      <w:r w:rsidR="003C674C">
        <w:rPr>
          <w:sz w:val="22"/>
          <w:szCs w:val="22"/>
        </w:rPr>
        <w:tab/>
      </w:r>
      <w:r w:rsidR="003C674C">
        <w:rPr>
          <w:sz w:val="22"/>
          <w:szCs w:val="22"/>
        </w:rPr>
        <w:tab/>
      </w:r>
      <w:r w:rsidR="003C674C">
        <w:rPr>
          <w:sz w:val="22"/>
          <w:szCs w:val="22"/>
        </w:rPr>
        <w:tab/>
      </w:r>
      <w:r w:rsidR="00B72FC2">
        <w:rPr>
          <w:sz w:val="22"/>
          <w:szCs w:val="22"/>
        </w:rPr>
        <w:t>Hawaii Department of Transportation</w:t>
      </w:r>
    </w:p>
    <w:p w:rsidR="005A1089" w:rsidP="002A2E9D" w14:paraId="727CBBCE" w14:textId="42323C93">
      <w:pPr>
        <w:rPr>
          <w:sz w:val="22"/>
          <w:szCs w:val="22"/>
        </w:rPr>
      </w:pPr>
      <w:r>
        <w:rPr>
          <w:sz w:val="22"/>
          <w:szCs w:val="22"/>
        </w:rPr>
        <w:t>600 West Peachtree NW</w:t>
      </w:r>
      <w:r w:rsidR="00B72FC2">
        <w:tab/>
      </w:r>
      <w:r w:rsidR="00B72FC2">
        <w:tab/>
      </w:r>
      <w:r w:rsidR="00B72FC2">
        <w:tab/>
      </w:r>
      <w:r w:rsidR="00B72FC2">
        <w:tab/>
      </w:r>
      <w:r w:rsidR="00B72FC2">
        <w:rPr>
          <w:sz w:val="22"/>
          <w:szCs w:val="22"/>
        </w:rPr>
        <w:t>869 Punchbowl Street</w:t>
      </w:r>
    </w:p>
    <w:p w:rsidR="00D818D4" w:rsidP="002A2E9D" w14:paraId="000C94A9" w14:textId="77777777">
      <w:pPr>
        <w:rPr>
          <w:sz w:val="22"/>
          <w:szCs w:val="22"/>
        </w:rPr>
      </w:pPr>
      <w:r>
        <w:rPr>
          <w:sz w:val="22"/>
          <w:szCs w:val="22"/>
        </w:rPr>
        <w:t>Atlanta, GA 30308</w:t>
      </w:r>
      <w:r w:rsidR="002A2E9D">
        <w:rPr>
          <w:rFonts w:ascii="Arial" w:hAnsi="Arial" w:cs="Arial"/>
          <w:sz w:val="24"/>
          <w:szCs w:val="24"/>
        </w:rPr>
        <w:tab/>
      </w:r>
      <w:r w:rsidR="002A2E9D">
        <w:rPr>
          <w:rFonts w:ascii="Arial" w:hAnsi="Arial" w:cs="Arial"/>
          <w:sz w:val="24"/>
          <w:szCs w:val="24"/>
        </w:rPr>
        <w:tab/>
      </w:r>
      <w:r w:rsidR="002A2E9D">
        <w:rPr>
          <w:rFonts w:ascii="Arial" w:hAnsi="Arial" w:cs="Arial"/>
          <w:sz w:val="24"/>
          <w:szCs w:val="24"/>
        </w:rPr>
        <w:tab/>
      </w:r>
      <w:r w:rsidR="00B72FC2">
        <w:rPr>
          <w:rFonts w:ascii="Arial" w:hAnsi="Arial" w:cs="Arial"/>
          <w:sz w:val="24"/>
          <w:szCs w:val="24"/>
        </w:rPr>
        <w:tab/>
      </w:r>
      <w:r w:rsidR="00B72FC2">
        <w:rPr>
          <w:rFonts w:ascii="Arial" w:hAnsi="Arial" w:cs="Arial"/>
          <w:sz w:val="24"/>
          <w:szCs w:val="24"/>
        </w:rPr>
        <w:tab/>
      </w:r>
      <w:r w:rsidR="008C114B">
        <w:rPr>
          <w:sz w:val="22"/>
          <w:szCs w:val="22"/>
        </w:rPr>
        <w:t>Honolulu, H</w:t>
      </w:r>
      <w:r w:rsidR="00F70202">
        <w:rPr>
          <w:sz w:val="22"/>
          <w:szCs w:val="22"/>
        </w:rPr>
        <w:t xml:space="preserve">I </w:t>
      </w:r>
      <w:r>
        <w:rPr>
          <w:sz w:val="22"/>
          <w:szCs w:val="22"/>
        </w:rPr>
        <w:t>96813</w:t>
      </w:r>
    </w:p>
    <w:p w:rsidR="00D818D4" w:rsidP="002A2E9D" w14:paraId="5D14D287" w14:textId="77777777">
      <w:pPr>
        <w:rPr>
          <w:sz w:val="22"/>
          <w:szCs w:val="22"/>
        </w:rPr>
      </w:pPr>
    </w:p>
    <w:p w:rsidR="00303692" w:rsidP="002A2E9D" w14:paraId="0E107CD6" w14:textId="1DA96DB9">
      <w:pPr>
        <w:rPr>
          <w:sz w:val="22"/>
          <w:szCs w:val="22"/>
        </w:rPr>
      </w:pPr>
      <w:r>
        <w:rPr>
          <w:sz w:val="22"/>
          <w:szCs w:val="22"/>
        </w:rPr>
        <w:t xml:space="preserve">Jason </w:t>
      </w:r>
      <w:r>
        <w:rPr>
          <w:sz w:val="22"/>
          <w:szCs w:val="22"/>
        </w:rPr>
        <w:t>Dicembre</w:t>
      </w:r>
      <w:r w:rsidR="00873EB3">
        <w:rPr>
          <w:sz w:val="22"/>
          <w:szCs w:val="22"/>
        </w:rPr>
        <w:tab/>
      </w:r>
      <w:r w:rsidR="00873EB3">
        <w:rPr>
          <w:sz w:val="22"/>
          <w:szCs w:val="22"/>
        </w:rPr>
        <w:tab/>
      </w:r>
      <w:r w:rsidR="00873EB3">
        <w:rPr>
          <w:sz w:val="22"/>
          <w:szCs w:val="22"/>
        </w:rPr>
        <w:tab/>
      </w:r>
      <w:r w:rsidR="00873EB3">
        <w:rPr>
          <w:sz w:val="22"/>
          <w:szCs w:val="22"/>
        </w:rPr>
        <w:tab/>
      </w:r>
      <w:r w:rsidR="00873EB3">
        <w:rPr>
          <w:sz w:val="22"/>
          <w:szCs w:val="22"/>
        </w:rPr>
        <w:tab/>
      </w:r>
      <w:r w:rsidR="00873EB3">
        <w:rPr>
          <w:sz w:val="22"/>
          <w:szCs w:val="22"/>
        </w:rPr>
        <w:tab/>
      </w:r>
      <w:r w:rsidR="0037495A">
        <w:rPr>
          <w:sz w:val="22"/>
          <w:szCs w:val="22"/>
        </w:rPr>
        <w:t>Bradley C. Wieferich, P.E.</w:t>
      </w:r>
    </w:p>
    <w:p w:rsidR="00303692" w:rsidP="002A2E9D" w14:paraId="1FD8D3BE" w14:textId="4572C325">
      <w:pPr>
        <w:rPr>
          <w:sz w:val="22"/>
          <w:szCs w:val="22"/>
        </w:rPr>
      </w:pPr>
      <w:r>
        <w:rPr>
          <w:sz w:val="22"/>
          <w:szCs w:val="22"/>
        </w:rPr>
        <w:t>Director</w:t>
      </w:r>
      <w:r w:rsidR="0037495A">
        <w:rPr>
          <w:sz w:val="22"/>
          <w:szCs w:val="22"/>
        </w:rPr>
        <w:tab/>
      </w:r>
      <w:r w:rsidR="0037495A">
        <w:rPr>
          <w:sz w:val="22"/>
          <w:szCs w:val="22"/>
        </w:rPr>
        <w:tab/>
      </w:r>
      <w:r w:rsidR="0037495A">
        <w:rPr>
          <w:sz w:val="22"/>
          <w:szCs w:val="22"/>
        </w:rPr>
        <w:tab/>
      </w:r>
      <w:r w:rsidR="0037495A">
        <w:rPr>
          <w:sz w:val="22"/>
          <w:szCs w:val="22"/>
        </w:rPr>
        <w:tab/>
      </w:r>
      <w:r w:rsidR="0037495A">
        <w:rPr>
          <w:sz w:val="22"/>
          <w:szCs w:val="22"/>
        </w:rPr>
        <w:tab/>
      </w:r>
      <w:r w:rsidR="0037495A">
        <w:rPr>
          <w:sz w:val="22"/>
          <w:szCs w:val="22"/>
        </w:rPr>
        <w:tab/>
        <w:t>Director</w:t>
      </w:r>
    </w:p>
    <w:p w:rsidR="00303692" w:rsidP="002A2E9D" w14:paraId="64D53332" w14:textId="3B8B68E3">
      <w:pPr>
        <w:rPr>
          <w:sz w:val="22"/>
          <w:szCs w:val="22"/>
        </w:rPr>
      </w:pPr>
      <w:r>
        <w:rPr>
          <w:sz w:val="22"/>
          <w:szCs w:val="22"/>
        </w:rPr>
        <w:t>Office of Transportation Mobility</w:t>
      </w:r>
      <w:r w:rsidR="0037495A">
        <w:rPr>
          <w:sz w:val="22"/>
          <w:szCs w:val="22"/>
        </w:rPr>
        <w:tab/>
      </w:r>
      <w:r w:rsidR="0037495A">
        <w:rPr>
          <w:sz w:val="22"/>
          <w:szCs w:val="22"/>
        </w:rPr>
        <w:tab/>
      </w:r>
      <w:r w:rsidR="0037495A">
        <w:rPr>
          <w:sz w:val="22"/>
          <w:szCs w:val="22"/>
        </w:rPr>
        <w:tab/>
      </w:r>
      <w:r w:rsidR="00B02785">
        <w:rPr>
          <w:sz w:val="22"/>
          <w:szCs w:val="22"/>
        </w:rPr>
        <w:t>Michigan Department of Transportation</w:t>
      </w:r>
    </w:p>
    <w:p w:rsidR="00303692" w:rsidP="002A2E9D" w14:paraId="009A2654" w14:textId="34BD404E">
      <w:pPr>
        <w:rPr>
          <w:sz w:val="22"/>
          <w:szCs w:val="22"/>
        </w:rPr>
      </w:pPr>
      <w:r>
        <w:rPr>
          <w:sz w:val="22"/>
          <w:szCs w:val="22"/>
        </w:rPr>
        <w:t>And Operations</w:t>
      </w:r>
      <w:r w:rsidR="00A87870">
        <w:rPr>
          <w:sz w:val="22"/>
          <w:szCs w:val="22"/>
        </w:rPr>
        <w:tab/>
      </w:r>
      <w:r w:rsidR="00A87870">
        <w:rPr>
          <w:sz w:val="22"/>
          <w:szCs w:val="22"/>
        </w:rPr>
        <w:tab/>
      </w:r>
      <w:r w:rsidR="00A87870">
        <w:rPr>
          <w:sz w:val="22"/>
          <w:szCs w:val="22"/>
        </w:rPr>
        <w:tab/>
      </w:r>
      <w:r w:rsidR="00A87870">
        <w:rPr>
          <w:sz w:val="22"/>
          <w:szCs w:val="22"/>
        </w:rPr>
        <w:tab/>
      </w:r>
      <w:r w:rsidR="00A87870">
        <w:rPr>
          <w:sz w:val="22"/>
          <w:szCs w:val="22"/>
        </w:rPr>
        <w:tab/>
      </w:r>
      <w:r w:rsidR="00A87870">
        <w:rPr>
          <w:sz w:val="22"/>
          <w:szCs w:val="22"/>
        </w:rPr>
        <w:tab/>
      </w:r>
      <w:r w:rsidR="005D7728">
        <w:rPr>
          <w:sz w:val="22"/>
          <w:szCs w:val="22"/>
        </w:rPr>
        <w:t>425 W. Ottawa Street</w:t>
      </w:r>
    </w:p>
    <w:p w:rsidR="00303692" w:rsidP="002A2E9D" w14:paraId="66A50803" w14:textId="1AC10106">
      <w:pPr>
        <w:rPr>
          <w:sz w:val="22"/>
          <w:szCs w:val="22"/>
        </w:rPr>
      </w:pPr>
      <w:r>
        <w:rPr>
          <w:sz w:val="22"/>
          <w:szCs w:val="22"/>
        </w:rPr>
        <w:t>Maryland Department of Transportation</w:t>
      </w:r>
      <w:r w:rsidR="005D7728">
        <w:rPr>
          <w:sz w:val="22"/>
          <w:szCs w:val="22"/>
        </w:rPr>
        <w:tab/>
      </w:r>
      <w:r w:rsidR="005D7728">
        <w:rPr>
          <w:sz w:val="22"/>
          <w:szCs w:val="22"/>
        </w:rPr>
        <w:tab/>
      </w:r>
      <w:r w:rsidR="005D7728">
        <w:rPr>
          <w:sz w:val="22"/>
          <w:szCs w:val="22"/>
        </w:rPr>
        <w:tab/>
        <w:t xml:space="preserve">Lansing, MI </w:t>
      </w:r>
      <w:r w:rsidR="00961C80">
        <w:rPr>
          <w:sz w:val="22"/>
          <w:szCs w:val="22"/>
        </w:rPr>
        <w:t>48933</w:t>
      </w:r>
    </w:p>
    <w:p w:rsidR="00303692" w:rsidP="002A2E9D" w14:paraId="14FD03FA" w14:textId="77777777">
      <w:pPr>
        <w:rPr>
          <w:sz w:val="22"/>
          <w:szCs w:val="22"/>
        </w:rPr>
      </w:pPr>
      <w:r>
        <w:rPr>
          <w:sz w:val="22"/>
          <w:szCs w:val="22"/>
        </w:rPr>
        <w:t>State Highway Administration</w:t>
      </w:r>
    </w:p>
    <w:p w:rsidR="00873EB3" w:rsidP="002A2E9D" w14:paraId="3562B004" w14:textId="77777777">
      <w:pPr>
        <w:rPr>
          <w:sz w:val="22"/>
          <w:szCs w:val="22"/>
        </w:rPr>
      </w:pPr>
      <w:r>
        <w:rPr>
          <w:sz w:val="22"/>
          <w:szCs w:val="22"/>
        </w:rPr>
        <w:t>7491 Connelley Drive</w:t>
      </w:r>
    </w:p>
    <w:p w:rsidR="00A87870" w:rsidP="002A2E9D" w14:paraId="0018D90E" w14:textId="77777777">
      <w:pPr>
        <w:rPr>
          <w:sz w:val="22"/>
          <w:szCs w:val="22"/>
        </w:rPr>
      </w:pPr>
      <w:r>
        <w:rPr>
          <w:sz w:val="22"/>
          <w:szCs w:val="22"/>
        </w:rPr>
        <w:t>Hanover, MD 21076</w:t>
      </w:r>
    </w:p>
    <w:p w:rsidR="004F2039" w:rsidP="002A2E9D" w14:paraId="0016B39E" w14:textId="77777777">
      <w:pPr>
        <w:rPr>
          <w:sz w:val="22"/>
          <w:szCs w:val="22"/>
        </w:rPr>
      </w:pPr>
    </w:p>
    <w:p w:rsidR="004F2039" w:rsidP="002A2E9D" w14:paraId="51C20D67" w14:textId="5A5B03C6">
      <w:pPr>
        <w:rPr>
          <w:sz w:val="22"/>
          <w:szCs w:val="22"/>
        </w:rPr>
      </w:pPr>
      <w:r>
        <w:rPr>
          <w:sz w:val="22"/>
          <w:szCs w:val="22"/>
        </w:rPr>
        <w:t>Vicki Kramer</w:t>
      </w:r>
      <w:r w:rsidR="004E2D08">
        <w:rPr>
          <w:sz w:val="22"/>
          <w:szCs w:val="22"/>
        </w:rPr>
        <w:tab/>
      </w:r>
      <w:r w:rsidR="004E2D08">
        <w:rPr>
          <w:sz w:val="22"/>
          <w:szCs w:val="22"/>
        </w:rPr>
        <w:tab/>
      </w:r>
      <w:r w:rsidR="004E2D08">
        <w:rPr>
          <w:sz w:val="22"/>
          <w:szCs w:val="22"/>
        </w:rPr>
        <w:tab/>
      </w:r>
      <w:r w:rsidR="004E2D08">
        <w:rPr>
          <w:sz w:val="22"/>
          <w:szCs w:val="22"/>
        </w:rPr>
        <w:tab/>
      </w:r>
      <w:r w:rsidR="004E2D08">
        <w:rPr>
          <w:sz w:val="22"/>
          <w:szCs w:val="22"/>
        </w:rPr>
        <w:tab/>
      </w:r>
      <w:r w:rsidR="004E2D08">
        <w:rPr>
          <w:sz w:val="22"/>
          <w:szCs w:val="22"/>
        </w:rPr>
        <w:tab/>
        <w:t>Salvatore (Sal) Cowan</w:t>
      </w:r>
    </w:p>
    <w:p w:rsidR="009A7046" w:rsidP="002A2E9D" w14:paraId="5BFBB663" w14:textId="0FCA0216">
      <w:pPr>
        <w:rPr>
          <w:sz w:val="22"/>
          <w:szCs w:val="22"/>
        </w:rPr>
      </w:pPr>
      <w:r>
        <w:rPr>
          <w:sz w:val="22"/>
          <w:szCs w:val="22"/>
        </w:rPr>
        <w:t>Director</w:t>
      </w:r>
      <w:r w:rsidR="004E2D08">
        <w:rPr>
          <w:sz w:val="22"/>
          <w:szCs w:val="22"/>
        </w:rPr>
        <w:tab/>
      </w:r>
      <w:r w:rsidR="004E2D08">
        <w:rPr>
          <w:sz w:val="22"/>
          <w:szCs w:val="22"/>
        </w:rPr>
        <w:tab/>
      </w:r>
      <w:r w:rsidR="004E2D08">
        <w:rPr>
          <w:sz w:val="22"/>
          <w:szCs w:val="22"/>
        </w:rPr>
        <w:tab/>
      </w:r>
      <w:r w:rsidR="004E2D08">
        <w:rPr>
          <w:sz w:val="22"/>
          <w:szCs w:val="22"/>
        </w:rPr>
        <w:tab/>
      </w:r>
      <w:r w:rsidR="004E2D08">
        <w:rPr>
          <w:sz w:val="22"/>
          <w:szCs w:val="22"/>
        </w:rPr>
        <w:tab/>
      </w:r>
      <w:r w:rsidR="004E2D08">
        <w:rPr>
          <w:sz w:val="22"/>
          <w:szCs w:val="22"/>
        </w:rPr>
        <w:tab/>
        <w:t>Senior Director</w:t>
      </w:r>
    </w:p>
    <w:p w:rsidR="00C81E6D" w:rsidP="002A2E9D" w14:paraId="2B450B52" w14:textId="0911A2D3">
      <w:pPr>
        <w:rPr>
          <w:sz w:val="22"/>
          <w:szCs w:val="22"/>
        </w:rPr>
      </w:pPr>
      <w:r>
        <w:rPr>
          <w:sz w:val="22"/>
          <w:szCs w:val="22"/>
        </w:rPr>
        <w:t>Nebraska Department of Transportation</w:t>
      </w:r>
      <w:r w:rsidR="004E2D08">
        <w:rPr>
          <w:sz w:val="22"/>
          <w:szCs w:val="22"/>
        </w:rPr>
        <w:tab/>
      </w:r>
      <w:r w:rsidR="004E2D08">
        <w:rPr>
          <w:sz w:val="22"/>
          <w:szCs w:val="22"/>
        </w:rPr>
        <w:tab/>
      </w:r>
      <w:r w:rsidR="004E2D08">
        <w:rPr>
          <w:sz w:val="22"/>
          <w:szCs w:val="22"/>
        </w:rPr>
        <w:tab/>
        <w:t>Transportation Mobility</w:t>
      </w:r>
    </w:p>
    <w:p w:rsidR="00C81E6D" w:rsidP="002A2E9D" w14:paraId="7CD66E19" w14:textId="05D1AED2">
      <w:pPr>
        <w:rPr>
          <w:sz w:val="22"/>
          <w:szCs w:val="22"/>
        </w:rPr>
      </w:pPr>
      <w:r>
        <w:rPr>
          <w:sz w:val="22"/>
          <w:szCs w:val="22"/>
        </w:rPr>
        <w:t>P.O. Box</w:t>
      </w:r>
      <w:r w:rsidR="004E2D08">
        <w:rPr>
          <w:sz w:val="22"/>
          <w:szCs w:val="22"/>
        </w:rPr>
        <w:t xml:space="preserve"> 94759</w:t>
      </w:r>
      <w:r w:rsidR="004E2D08">
        <w:rPr>
          <w:sz w:val="22"/>
          <w:szCs w:val="22"/>
        </w:rPr>
        <w:tab/>
      </w:r>
      <w:r w:rsidR="004E2D08">
        <w:rPr>
          <w:sz w:val="22"/>
          <w:szCs w:val="22"/>
        </w:rPr>
        <w:tab/>
      </w:r>
      <w:r w:rsidR="004E2D08">
        <w:rPr>
          <w:sz w:val="22"/>
          <w:szCs w:val="22"/>
        </w:rPr>
        <w:tab/>
      </w:r>
      <w:r w:rsidR="004E2D08">
        <w:rPr>
          <w:sz w:val="22"/>
          <w:szCs w:val="22"/>
        </w:rPr>
        <w:tab/>
      </w:r>
      <w:r w:rsidR="004E2D08">
        <w:rPr>
          <w:sz w:val="22"/>
          <w:szCs w:val="22"/>
        </w:rPr>
        <w:tab/>
      </w:r>
      <w:r w:rsidR="004E2D08">
        <w:rPr>
          <w:sz w:val="22"/>
          <w:szCs w:val="22"/>
        </w:rPr>
        <w:tab/>
        <w:t>NJDOT</w:t>
      </w:r>
      <w:r w:rsidR="004E2D08">
        <w:rPr>
          <w:sz w:val="22"/>
          <w:szCs w:val="22"/>
        </w:rPr>
        <w:tab/>
      </w:r>
    </w:p>
    <w:p w:rsidR="004E2D08" w:rsidP="002A2E9D" w14:paraId="4780A914" w14:textId="4CAB4F86">
      <w:pPr>
        <w:rPr>
          <w:sz w:val="22"/>
          <w:szCs w:val="22"/>
        </w:rPr>
      </w:pPr>
      <w:r>
        <w:rPr>
          <w:sz w:val="22"/>
          <w:szCs w:val="22"/>
        </w:rPr>
        <w:t>Lincoln, NE 68509-4579</w:t>
      </w:r>
      <w:r>
        <w:rPr>
          <w:sz w:val="22"/>
          <w:szCs w:val="22"/>
        </w:rPr>
        <w:tab/>
      </w:r>
      <w:r>
        <w:rPr>
          <w:sz w:val="22"/>
          <w:szCs w:val="22"/>
        </w:rPr>
        <w:tab/>
      </w:r>
      <w:r>
        <w:rPr>
          <w:sz w:val="22"/>
          <w:szCs w:val="22"/>
        </w:rPr>
        <w:tab/>
      </w:r>
      <w:r>
        <w:rPr>
          <w:sz w:val="22"/>
          <w:szCs w:val="22"/>
        </w:rPr>
        <w:tab/>
        <w:t>1035 Parkway Avenue</w:t>
      </w:r>
    </w:p>
    <w:p w:rsidR="004E2D08" w:rsidP="004E2D08" w14:paraId="16DFB807"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Trenton, NJ 08625</w:t>
      </w:r>
    </w:p>
    <w:p w:rsidR="00961C80" w:rsidP="002A2E9D" w14:paraId="33A2EABA" w14:textId="1FA39EC4">
      <w:pPr>
        <w:rPr>
          <w:sz w:val="22"/>
          <w:szCs w:val="22"/>
        </w:rPr>
      </w:pPr>
    </w:p>
    <w:p w:rsidR="00961C80" w:rsidP="002A2E9D" w14:paraId="6C5FB8EF" w14:textId="7DDF77DD">
      <w:pPr>
        <w:rPr>
          <w:sz w:val="22"/>
          <w:szCs w:val="22"/>
        </w:rPr>
      </w:pPr>
      <w:r>
        <w:rPr>
          <w:sz w:val="22"/>
          <w:szCs w:val="22"/>
        </w:rPr>
        <w:t>Preeti Choudhary</w:t>
      </w:r>
      <w:r w:rsidRPr="009748B5" w:rsidR="009748B5">
        <w:rPr>
          <w:sz w:val="22"/>
          <w:szCs w:val="22"/>
        </w:rPr>
        <w:t xml:space="preserve"> </w:t>
      </w:r>
      <w:r w:rsidR="009748B5">
        <w:rPr>
          <w:sz w:val="22"/>
          <w:szCs w:val="22"/>
        </w:rPr>
        <w:tab/>
      </w:r>
      <w:r w:rsidR="009748B5">
        <w:rPr>
          <w:sz w:val="22"/>
          <w:szCs w:val="22"/>
        </w:rPr>
        <w:tab/>
      </w:r>
      <w:r w:rsidR="009748B5">
        <w:rPr>
          <w:sz w:val="22"/>
          <w:szCs w:val="22"/>
        </w:rPr>
        <w:tab/>
      </w:r>
      <w:r w:rsidR="009748B5">
        <w:rPr>
          <w:sz w:val="22"/>
          <w:szCs w:val="22"/>
        </w:rPr>
        <w:tab/>
      </w:r>
      <w:r w:rsidR="009748B5">
        <w:rPr>
          <w:sz w:val="22"/>
          <w:szCs w:val="22"/>
        </w:rPr>
        <w:tab/>
        <w:t>Galen McGill, P.E.</w:t>
      </w:r>
    </w:p>
    <w:p w:rsidR="000D1F2E" w:rsidP="002A2E9D" w14:paraId="58B40A4F" w14:textId="0345397B">
      <w:pPr>
        <w:rPr>
          <w:sz w:val="22"/>
          <w:szCs w:val="22"/>
        </w:rPr>
      </w:pPr>
      <w:r>
        <w:rPr>
          <w:sz w:val="22"/>
          <w:szCs w:val="22"/>
        </w:rPr>
        <w:t>Executive Director</w:t>
      </w:r>
      <w:r w:rsidRPr="009748B5" w:rsidR="009748B5">
        <w:rPr>
          <w:sz w:val="22"/>
          <w:szCs w:val="22"/>
        </w:rPr>
        <w:t xml:space="preserve"> </w:t>
      </w:r>
      <w:r w:rsidR="009748B5">
        <w:rPr>
          <w:sz w:val="22"/>
          <w:szCs w:val="22"/>
        </w:rPr>
        <w:tab/>
      </w:r>
      <w:r w:rsidR="009748B5">
        <w:rPr>
          <w:sz w:val="22"/>
          <w:szCs w:val="22"/>
        </w:rPr>
        <w:tab/>
      </w:r>
      <w:r w:rsidR="009748B5">
        <w:rPr>
          <w:sz w:val="22"/>
          <w:szCs w:val="22"/>
        </w:rPr>
        <w:tab/>
      </w:r>
      <w:r w:rsidR="009748B5">
        <w:rPr>
          <w:sz w:val="22"/>
          <w:szCs w:val="22"/>
        </w:rPr>
        <w:tab/>
      </w:r>
      <w:r w:rsidR="009748B5">
        <w:rPr>
          <w:sz w:val="22"/>
          <w:szCs w:val="22"/>
        </w:rPr>
        <w:tab/>
        <w:t>State Maintenance and Operations Engineer</w:t>
      </w:r>
    </w:p>
    <w:p w:rsidR="000D1F2E" w:rsidP="002A2E9D" w14:paraId="035F0C8A" w14:textId="1E61BC21">
      <w:pPr>
        <w:rPr>
          <w:sz w:val="22"/>
          <w:szCs w:val="22"/>
        </w:rPr>
      </w:pPr>
      <w:r>
        <w:rPr>
          <w:sz w:val="22"/>
          <w:szCs w:val="22"/>
        </w:rPr>
        <w:t>DriveOhio</w:t>
      </w:r>
      <w:r w:rsidRPr="009748B5" w:rsidR="009748B5">
        <w:rPr>
          <w:sz w:val="22"/>
          <w:szCs w:val="22"/>
        </w:rPr>
        <w:t xml:space="preserve"> </w:t>
      </w:r>
      <w:r w:rsidR="009748B5">
        <w:rPr>
          <w:sz w:val="22"/>
          <w:szCs w:val="22"/>
        </w:rPr>
        <w:tab/>
      </w:r>
      <w:r w:rsidR="009748B5">
        <w:rPr>
          <w:sz w:val="22"/>
          <w:szCs w:val="22"/>
        </w:rPr>
        <w:tab/>
      </w:r>
      <w:r w:rsidR="009748B5">
        <w:rPr>
          <w:sz w:val="22"/>
          <w:szCs w:val="22"/>
        </w:rPr>
        <w:tab/>
      </w:r>
      <w:r w:rsidR="009748B5">
        <w:rPr>
          <w:sz w:val="22"/>
          <w:szCs w:val="22"/>
        </w:rPr>
        <w:tab/>
      </w:r>
      <w:r w:rsidR="009748B5">
        <w:rPr>
          <w:sz w:val="22"/>
          <w:szCs w:val="22"/>
        </w:rPr>
        <w:tab/>
      </w:r>
      <w:r w:rsidR="009748B5">
        <w:rPr>
          <w:sz w:val="22"/>
          <w:szCs w:val="22"/>
        </w:rPr>
        <w:tab/>
        <w:t>Oregon Department of Transportation</w:t>
      </w:r>
    </w:p>
    <w:p w:rsidR="000D1F2E" w:rsidP="002A2E9D" w14:paraId="1C1FCC3C" w14:textId="6E7BEB24">
      <w:pPr>
        <w:rPr>
          <w:sz w:val="22"/>
          <w:szCs w:val="22"/>
        </w:rPr>
      </w:pPr>
      <w:r>
        <w:rPr>
          <w:sz w:val="22"/>
          <w:szCs w:val="22"/>
        </w:rPr>
        <w:t>1980 West Broad Street</w:t>
      </w:r>
      <w:r w:rsidR="009748B5">
        <w:rPr>
          <w:sz w:val="22"/>
          <w:szCs w:val="22"/>
        </w:rPr>
        <w:tab/>
      </w:r>
      <w:r w:rsidR="009748B5">
        <w:rPr>
          <w:sz w:val="22"/>
          <w:szCs w:val="22"/>
        </w:rPr>
        <w:tab/>
      </w:r>
      <w:r w:rsidR="009748B5">
        <w:rPr>
          <w:sz w:val="22"/>
          <w:szCs w:val="22"/>
        </w:rPr>
        <w:tab/>
      </w:r>
      <w:r w:rsidR="009748B5">
        <w:rPr>
          <w:sz w:val="22"/>
          <w:szCs w:val="22"/>
        </w:rPr>
        <w:tab/>
      </w:r>
      <w:r w:rsidR="009748B5">
        <w:rPr>
          <w:sz w:val="22"/>
          <w:szCs w:val="22"/>
        </w:rPr>
        <w:tab/>
        <w:t>Maintenance &amp; Operations Branch</w:t>
      </w:r>
    </w:p>
    <w:p w:rsidR="000D1F2E" w:rsidP="002A2E9D" w14:paraId="4E2475B6" w14:textId="44822A81">
      <w:pPr>
        <w:rPr>
          <w:sz w:val="22"/>
          <w:szCs w:val="22"/>
        </w:rPr>
      </w:pPr>
      <w:r>
        <w:rPr>
          <w:sz w:val="22"/>
          <w:szCs w:val="22"/>
        </w:rPr>
        <w:t>Columbus, OH 43223</w:t>
      </w:r>
      <w:r w:rsidR="009748B5">
        <w:rPr>
          <w:sz w:val="22"/>
          <w:szCs w:val="22"/>
        </w:rPr>
        <w:tab/>
      </w:r>
      <w:r w:rsidR="009748B5">
        <w:rPr>
          <w:sz w:val="22"/>
          <w:szCs w:val="22"/>
        </w:rPr>
        <w:tab/>
      </w:r>
      <w:r w:rsidR="009748B5">
        <w:rPr>
          <w:sz w:val="22"/>
          <w:szCs w:val="22"/>
        </w:rPr>
        <w:tab/>
      </w:r>
      <w:r w:rsidR="009748B5">
        <w:rPr>
          <w:sz w:val="22"/>
          <w:szCs w:val="22"/>
        </w:rPr>
        <w:tab/>
      </w:r>
      <w:r w:rsidR="009748B5">
        <w:rPr>
          <w:sz w:val="22"/>
          <w:szCs w:val="22"/>
        </w:rPr>
        <w:tab/>
        <w:t>455 Airport Road SE, Bldg. K</w:t>
      </w:r>
    </w:p>
    <w:p w:rsidR="009748B5" w:rsidP="009748B5" w14:paraId="24DCCF83"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Salem, OR 97301</w:t>
      </w:r>
    </w:p>
    <w:p w:rsidR="006B35F6" w:rsidP="002A2E9D" w14:paraId="133DB859" w14:textId="4611A510">
      <w:pPr>
        <w:rPr>
          <w:sz w:val="22"/>
          <w:szCs w:val="22"/>
        </w:rPr>
      </w:pPr>
    </w:p>
    <w:p w:rsidR="009748B5" w:rsidP="002A2E9D" w14:paraId="664B7A69" w14:textId="77777777">
      <w:pPr>
        <w:rPr>
          <w:sz w:val="22"/>
          <w:szCs w:val="22"/>
        </w:rPr>
      </w:pPr>
      <w:r>
        <w:rPr>
          <w:sz w:val="22"/>
          <w:szCs w:val="22"/>
        </w:rPr>
        <w:t>Marc D. Williams, P.E.</w:t>
      </w:r>
    </w:p>
    <w:p w:rsidR="007B7D2B" w:rsidP="002A2E9D" w14:paraId="6CC5C410" w14:textId="3712C63A">
      <w:pPr>
        <w:rPr>
          <w:sz w:val="22"/>
          <w:szCs w:val="22"/>
        </w:rPr>
      </w:pPr>
      <w:r>
        <w:rPr>
          <w:sz w:val="22"/>
          <w:szCs w:val="22"/>
        </w:rPr>
        <w:t>Executive Director</w:t>
      </w:r>
    </w:p>
    <w:p w:rsidR="00B34511" w:rsidP="002A2E9D" w14:paraId="4F9F9FB8" w14:textId="608EE0A3">
      <w:pPr>
        <w:rPr>
          <w:sz w:val="22"/>
          <w:szCs w:val="22"/>
        </w:rPr>
      </w:pPr>
      <w:r>
        <w:rPr>
          <w:sz w:val="22"/>
          <w:szCs w:val="22"/>
        </w:rPr>
        <w:t>Te</w:t>
      </w:r>
      <w:r w:rsidR="00B81C8F">
        <w:rPr>
          <w:sz w:val="22"/>
          <w:szCs w:val="22"/>
        </w:rPr>
        <w:t>xas Department of Transportation</w:t>
      </w:r>
    </w:p>
    <w:p w:rsidR="00B34511" w:rsidP="002A2E9D" w14:paraId="781D1E15" w14:textId="68BD665D">
      <w:pPr>
        <w:rPr>
          <w:sz w:val="22"/>
          <w:szCs w:val="22"/>
        </w:rPr>
      </w:pPr>
      <w:r>
        <w:rPr>
          <w:sz w:val="22"/>
          <w:szCs w:val="22"/>
        </w:rPr>
        <w:t>125 East 11</w:t>
      </w:r>
      <w:r w:rsidRPr="00B81C8F">
        <w:rPr>
          <w:sz w:val="22"/>
          <w:szCs w:val="22"/>
          <w:vertAlign w:val="superscript"/>
        </w:rPr>
        <w:t>th</w:t>
      </w:r>
      <w:r>
        <w:rPr>
          <w:sz w:val="22"/>
          <w:szCs w:val="22"/>
        </w:rPr>
        <w:t xml:space="preserve"> Street</w:t>
      </w:r>
    </w:p>
    <w:p w:rsidR="00B34511" w:rsidP="002A2E9D" w14:paraId="6626EF25" w14:textId="59B4D58C">
      <w:pPr>
        <w:rPr>
          <w:sz w:val="22"/>
          <w:szCs w:val="22"/>
        </w:rPr>
      </w:pPr>
      <w:r>
        <w:rPr>
          <w:sz w:val="22"/>
          <w:szCs w:val="22"/>
        </w:rPr>
        <w:t>Austin, TX 78701</w:t>
      </w:r>
    </w:p>
    <w:p w:rsidR="00B81C8F" w:rsidP="002A2E9D" w14:paraId="6A42DBAF" w14:textId="77777777">
      <w:pPr>
        <w:rPr>
          <w:sz w:val="22"/>
          <w:szCs w:val="22"/>
        </w:rPr>
      </w:pPr>
    </w:p>
    <w:p w:rsidR="009748B5" w14:paraId="592E02E8" w14:textId="77777777">
      <w:pPr>
        <w:rPr>
          <w:sz w:val="22"/>
          <w:szCs w:val="22"/>
        </w:rPr>
      </w:pPr>
      <w:r>
        <w:rPr>
          <w:sz w:val="22"/>
          <w:szCs w:val="22"/>
        </w:rPr>
        <w:br w:type="page"/>
      </w:r>
    </w:p>
    <w:p w:rsidR="00B81C8F" w:rsidP="002A2E9D" w14:paraId="77588B21" w14:textId="243111A6">
      <w:pPr>
        <w:rPr>
          <w:sz w:val="22"/>
          <w:szCs w:val="22"/>
        </w:rPr>
      </w:pPr>
      <w:r w:rsidRPr="47328B14">
        <w:rPr>
          <w:sz w:val="22"/>
          <w:szCs w:val="22"/>
        </w:rPr>
        <w:t>R. Vince Garcia, P.E.</w:t>
      </w:r>
      <w:r>
        <w:tab/>
      </w:r>
      <w:r>
        <w:tab/>
      </w:r>
      <w:r>
        <w:tab/>
      </w:r>
      <w:r>
        <w:tab/>
      </w:r>
      <w:r>
        <w:tab/>
      </w:r>
      <w:r w:rsidR="00121C62">
        <w:rPr>
          <w:sz w:val="22"/>
          <w:szCs w:val="22"/>
        </w:rPr>
        <w:t>John Abraham</w:t>
      </w:r>
      <w:r w:rsidRPr="08110769" w:rsidR="00121C62">
        <w:rPr>
          <w:sz w:val="22"/>
          <w:szCs w:val="22"/>
        </w:rPr>
        <w:t xml:space="preserve"> </w:t>
      </w:r>
    </w:p>
    <w:p w:rsidR="00664B08" w:rsidP="002A2E9D" w14:paraId="3B2C7EDE" w14:textId="097ECB6D">
      <w:pPr>
        <w:rPr>
          <w:sz w:val="22"/>
          <w:szCs w:val="22"/>
        </w:rPr>
      </w:pPr>
      <w:r w:rsidRPr="47328B14">
        <w:rPr>
          <w:sz w:val="22"/>
          <w:szCs w:val="22"/>
        </w:rPr>
        <w:t>GIS/ITS/TMC Program Manager</w:t>
      </w:r>
      <w:r>
        <w:tab/>
      </w:r>
      <w:r>
        <w:tab/>
      </w:r>
      <w:r>
        <w:tab/>
      </w:r>
      <w:r w:rsidR="00121C62">
        <w:rPr>
          <w:sz w:val="22"/>
          <w:szCs w:val="22"/>
        </w:rPr>
        <w:t>Director of Traffic &amp; Operations</w:t>
      </w:r>
      <w:r w:rsidRPr="08110769" w:rsidR="00121C62">
        <w:rPr>
          <w:sz w:val="22"/>
          <w:szCs w:val="22"/>
        </w:rPr>
        <w:t xml:space="preserve"> </w:t>
      </w:r>
    </w:p>
    <w:p w:rsidR="00664B08" w:rsidP="002A2E9D" w14:paraId="742D742C" w14:textId="46F44E61">
      <w:pPr>
        <w:rPr>
          <w:sz w:val="22"/>
          <w:szCs w:val="22"/>
        </w:rPr>
      </w:pPr>
      <w:r w:rsidRPr="47328B14">
        <w:rPr>
          <w:sz w:val="22"/>
          <w:szCs w:val="22"/>
        </w:rPr>
        <w:t>Wyoming Department of Transportation</w:t>
      </w:r>
      <w:r>
        <w:tab/>
      </w:r>
      <w:r>
        <w:tab/>
      </w:r>
      <w:r>
        <w:tab/>
      </w:r>
      <w:r w:rsidR="00121C62">
        <w:rPr>
          <w:sz w:val="22"/>
          <w:szCs w:val="22"/>
        </w:rPr>
        <w:t>Macomb County Department of Roads</w:t>
      </w:r>
      <w:r w:rsidRPr="08110769" w:rsidR="00121C62">
        <w:rPr>
          <w:sz w:val="22"/>
          <w:szCs w:val="22"/>
        </w:rPr>
        <w:t xml:space="preserve"> </w:t>
      </w:r>
    </w:p>
    <w:p w:rsidR="00664B08" w:rsidP="002A2E9D" w14:paraId="6A20C378" w14:textId="4A97A060">
      <w:pPr>
        <w:rPr>
          <w:sz w:val="22"/>
          <w:szCs w:val="22"/>
        </w:rPr>
      </w:pPr>
      <w:r w:rsidRPr="47328B14">
        <w:rPr>
          <w:sz w:val="22"/>
          <w:szCs w:val="22"/>
        </w:rPr>
        <w:t>5300 Bishop Blvd.</w:t>
      </w:r>
      <w:r>
        <w:tab/>
      </w:r>
      <w:r>
        <w:tab/>
      </w:r>
      <w:r>
        <w:tab/>
      </w:r>
      <w:r>
        <w:tab/>
      </w:r>
      <w:r>
        <w:tab/>
      </w:r>
      <w:r w:rsidR="00121C62">
        <w:rPr>
          <w:sz w:val="22"/>
          <w:szCs w:val="22"/>
        </w:rPr>
        <w:t xml:space="preserve">117 S. </w:t>
      </w:r>
      <w:r w:rsidRPr="08110769" w:rsidR="00121C62">
        <w:rPr>
          <w:sz w:val="22"/>
          <w:szCs w:val="22"/>
        </w:rPr>
        <w:t xml:space="preserve">Groesbeck Hwy </w:t>
      </w:r>
    </w:p>
    <w:p w:rsidR="00276E9C" w:rsidP="002A2E9D" w14:paraId="028EAF25" w14:textId="35F06AE0">
      <w:pPr>
        <w:rPr>
          <w:sz w:val="22"/>
          <w:szCs w:val="22"/>
        </w:rPr>
      </w:pPr>
      <w:r w:rsidRPr="47328B14">
        <w:rPr>
          <w:sz w:val="22"/>
          <w:szCs w:val="22"/>
        </w:rPr>
        <w:t>Cheyenne, WY 82009</w:t>
      </w:r>
      <w:r>
        <w:tab/>
      </w:r>
      <w:r>
        <w:tab/>
      </w:r>
      <w:r>
        <w:tab/>
      </w:r>
      <w:r>
        <w:tab/>
      </w:r>
      <w:r>
        <w:tab/>
      </w:r>
      <w:r w:rsidR="00121C62">
        <w:rPr>
          <w:sz w:val="22"/>
          <w:szCs w:val="22"/>
        </w:rPr>
        <w:t>Mount Clemens, MI 48043</w:t>
      </w:r>
    </w:p>
    <w:p w:rsidR="004251CC" w:rsidP="002A2E9D" w14:paraId="495DB85A" w14:textId="77777777">
      <w:pPr>
        <w:rPr>
          <w:sz w:val="22"/>
          <w:szCs w:val="22"/>
        </w:rPr>
      </w:pPr>
    </w:p>
    <w:p w:rsidR="004251CC" w:rsidP="002A2E9D" w14:paraId="7045CB0B" w14:textId="3FD993BE">
      <w:pPr>
        <w:rPr>
          <w:sz w:val="22"/>
          <w:szCs w:val="22"/>
        </w:rPr>
      </w:pPr>
      <w:r>
        <w:rPr>
          <w:sz w:val="22"/>
          <w:szCs w:val="22"/>
        </w:rPr>
        <w:t>John Yu, P.E.</w:t>
      </w:r>
      <w:r w:rsidR="0092242F">
        <w:rPr>
          <w:sz w:val="22"/>
          <w:szCs w:val="22"/>
        </w:rPr>
        <w:tab/>
      </w:r>
      <w:r w:rsidR="0092242F">
        <w:rPr>
          <w:sz w:val="22"/>
          <w:szCs w:val="22"/>
        </w:rPr>
        <w:tab/>
      </w:r>
      <w:r w:rsidR="0092242F">
        <w:rPr>
          <w:sz w:val="22"/>
          <w:szCs w:val="22"/>
        </w:rPr>
        <w:tab/>
      </w:r>
      <w:r w:rsidR="0092242F">
        <w:rPr>
          <w:sz w:val="22"/>
          <w:szCs w:val="22"/>
        </w:rPr>
        <w:tab/>
      </w:r>
      <w:r w:rsidR="0092242F">
        <w:rPr>
          <w:sz w:val="22"/>
          <w:szCs w:val="22"/>
        </w:rPr>
        <w:tab/>
      </w:r>
      <w:r w:rsidR="0092242F">
        <w:rPr>
          <w:sz w:val="22"/>
          <w:szCs w:val="22"/>
        </w:rPr>
        <w:tab/>
      </w:r>
      <w:r w:rsidRPr="1397D74B" w:rsidR="00121C62">
        <w:rPr>
          <w:sz w:val="22"/>
          <w:szCs w:val="22"/>
        </w:rPr>
        <w:t>James R. Sayer, Ph.D.</w:t>
      </w:r>
    </w:p>
    <w:p w:rsidR="009404E7" w:rsidP="002A2E9D" w14:paraId="795C2F2C" w14:textId="0856EBE3">
      <w:pPr>
        <w:rPr>
          <w:sz w:val="22"/>
          <w:szCs w:val="22"/>
        </w:rPr>
      </w:pPr>
      <w:r>
        <w:rPr>
          <w:sz w:val="22"/>
          <w:szCs w:val="22"/>
        </w:rPr>
        <w:t>ATCMTD Program Manager</w:t>
      </w:r>
      <w:r w:rsidR="00C84EB4">
        <w:rPr>
          <w:sz w:val="22"/>
          <w:szCs w:val="22"/>
        </w:rPr>
        <w:tab/>
      </w:r>
      <w:r w:rsidR="00C84EB4">
        <w:rPr>
          <w:sz w:val="22"/>
          <w:szCs w:val="22"/>
        </w:rPr>
        <w:tab/>
      </w:r>
      <w:r w:rsidR="00C84EB4">
        <w:rPr>
          <w:sz w:val="22"/>
          <w:szCs w:val="22"/>
        </w:rPr>
        <w:tab/>
      </w:r>
      <w:r w:rsidR="00C84EB4">
        <w:rPr>
          <w:sz w:val="22"/>
          <w:szCs w:val="22"/>
        </w:rPr>
        <w:tab/>
      </w:r>
      <w:r w:rsidRPr="1397D74B" w:rsidR="00121C62">
        <w:rPr>
          <w:sz w:val="22"/>
          <w:szCs w:val="22"/>
        </w:rPr>
        <w:t>Director, UMTRI</w:t>
      </w:r>
      <w:r w:rsidR="00121C62">
        <w:rPr>
          <w:sz w:val="22"/>
          <w:szCs w:val="22"/>
        </w:rPr>
        <w:t xml:space="preserve"> </w:t>
      </w:r>
    </w:p>
    <w:p w:rsidR="009404E7" w:rsidP="002A2E9D" w14:paraId="64A95021" w14:textId="78EB37E1">
      <w:pPr>
        <w:rPr>
          <w:sz w:val="22"/>
          <w:szCs w:val="22"/>
        </w:rPr>
      </w:pPr>
      <w:r>
        <w:rPr>
          <w:sz w:val="22"/>
          <w:szCs w:val="22"/>
        </w:rPr>
        <w:t>Senior Engineer</w:t>
      </w:r>
      <w:r w:rsidR="00C84EB4">
        <w:rPr>
          <w:sz w:val="22"/>
          <w:szCs w:val="22"/>
        </w:rPr>
        <w:tab/>
      </w:r>
      <w:r w:rsidR="00C84EB4">
        <w:rPr>
          <w:sz w:val="22"/>
          <w:szCs w:val="22"/>
        </w:rPr>
        <w:tab/>
      </w:r>
      <w:r w:rsidR="00C84EB4">
        <w:rPr>
          <w:sz w:val="22"/>
          <w:szCs w:val="22"/>
        </w:rPr>
        <w:tab/>
      </w:r>
      <w:r w:rsidR="00C84EB4">
        <w:rPr>
          <w:sz w:val="22"/>
          <w:szCs w:val="22"/>
        </w:rPr>
        <w:tab/>
      </w:r>
      <w:r w:rsidR="00C84EB4">
        <w:rPr>
          <w:sz w:val="22"/>
          <w:szCs w:val="22"/>
        </w:rPr>
        <w:tab/>
      </w:r>
      <w:r w:rsidR="00C84EB4">
        <w:rPr>
          <w:sz w:val="22"/>
          <w:szCs w:val="22"/>
        </w:rPr>
        <w:tab/>
      </w:r>
      <w:r w:rsidRPr="1397D74B" w:rsidR="00121C62">
        <w:rPr>
          <w:sz w:val="22"/>
          <w:szCs w:val="22"/>
        </w:rPr>
        <w:t>The Regents of the University of Michigan</w:t>
      </w:r>
      <w:r w:rsidR="00121C62">
        <w:rPr>
          <w:sz w:val="22"/>
          <w:szCs w:val="22"/>
        </w:rPr>
        <w:t xml:space="preserve"> </w:t>
      </w:r>
    </w:p>
    <w:p w:rsidR="00B9586B" w:rsidP="002A2E9D" w14:paraId="5DE235EC" w14:textId="256FBC4D">
      <w:pPr>
        <w:rPr>
          <w:sz w:val="22"/>
          <w:szCs w:val="22"/>
        </w:rPr>
      </w:pPr>
      <w:r>
        <w:rPr>
          <w:sz w:val="22"/>
          <w:szCs w:val="22"/>
        </w:rPr>
        <w:t>City and County of Denver</w:t>
      </w:r>
      <w:r w:rsidR="00A62CA4">
        <w:rPr>
          <w:sz w:val="22"/>
          <w:szCs w:val="22"/>
        </w:rPr>
        <w:tab/>
      </w:r>
      <w:r w:rsidR="00A62CA4">
        <w:rPr>
          <w:sz w:val="22"/>
          <w:szCs w:val="22"/>
        </w:rPr>
        <w:tab/>
      </w:r>
      <w:r w:rsidR="00A62CA4">
        <w:rPr>
          <w:sz w:val="22"/>
          <w:szCs w:val="22"/>
        </w:rPr>
        <w:tab/>
      </w:r>
      <w:r w:rsidR="00A62CA4">
        <w:rPr>
          <w:sz w:val="22"/>
          <w:szCs w:val="22"/>
        </w:rPr>
        <w:tab/>
      </w:r>
      <w:r w:rsidRPr="1397D74B" w:rsidR="00121C62">
        <w:rPr>
          <w:sz w:val="22"/>
          <w:szCs w:val="22"/>
        </w:rPr>
        <w:t>3003 S. State Street</w:t>
      </w:r>
      <w:r w:rsidR="00121C62">
        <w:rPr>
          <w:sz w:val="22"/>
          <w:szCs w:val="22"/>
        </w:rPr>
        <w:t xml:space="preserve"> </w:t>
      </w:r>
    </w:p>
    <w:p w:rsidR="00B9586B" w:rsidP="002A2E9D" w14:paraId="11EFFFFD" w14:textId="4AA2E16E">
      <w:pPr>
        <w:rPr>
          <w:sz w:val="22"/>
          <w:szCs w:val="22"/>
        </w:rPr>
      </w:pPr>
      <w:r>
        <w:rPr>
          <w:sz w:val="22"/>
          <w:szCs w:val="22"/>
        </w:rPr>
        <w:t>201 West Colfax Ave</w:t>
      </w:r>
      <w:r w:rsidR="00A62CA4">
        <w:rPr>
          <w:sz w:val="22"/>
          <w:szCs w:val="22"/>
        </w:rPr>
        <w:tab/>
      </w:r>
      <w:r w:rsidR="00A62CA4">
        <w:rPr>
          <w:sz w:val="22"/>
          <w:szCs w:val="22"/>
        </w:rPr>
        <w:tab/>
      </w:r>
      <w:r w:rsidR="00A62CA4">
        <w:rPr>
          <w:sz w:val="22"/>
          <w:szCs w:val="22"/>
        </w:rPr>
        <w:tab/>
      </w:r>
      <w:r w:rsidR="00A62CA4">
        <w:rPr>
          <w:sz w:val="22"/>
          <w:szCs w:val="22"/>
        </w:rPr>
        <w:tab/>
      </w:r>
      <w:r w:rsidR="00A62CA4">
        <w:rPr>
          <w:sz w:val="22"/>
          <w:szCs w:val="22"/>
        </w:rPr>
        <w:tab/>
      </w:r>
      <w:r w:rsidRPr="1397D74B" w:rsidR="00121C62">
        <w:rPr>
          <w:sz w:val="22"/>
          <w:szCs w:val="22"/>
        </w:rPr>
        <w:t>Ann Arbor, MI 48109</w:t>
      </w:r>
    </w:p>
    <w:p w:rsidR="00FE73F6" w:rsidP="002A2E9D" w14:paraId="68708A87" w14:textId="77777777">
      <w:pPr>
        <w:rPr>
          <w:sz w:val="22"/>
          <w:szCs w:val="22"/>
        </w:rPr>
      </w:pPr>
      <w:r>
        <w:rPr>
          <w:sz w:val="22"/>
          <w:szCs w:val="22"/>
        </w:rPr>
        <w:t>Denver, CO 80202</w:t>
      </w:r>
    </w:p>
    <w:p w:rsidR="00CC4F6E" w:rsidP="002A2E9D" w14:paraId="60FE44F6" w14:textId="77777777">
      <w:pPr>
        <w:rPr>
          <w:sz w:val="22"/>
          <w:szCs w:val="22"/>
        </w:rPr>
      </w:pPr>
    </w:p>
    <w:p w:rsidR="009F1F4A" w:rsidP="002A2E9D" w14:paraId="04A58E2F" w14:textId="28BA4A8C">
      <w:pPr>
        <w:rPr>
          <w:sz w:val="22"/>
          <w:szCs w:val="22"/>
        </w:rPr>
      </w:pPr>
      <w:r>
        <w:rPr>
          <w:sz w:val="22"/>
          <w:szCs w:val="22"/>
        </w:rPr>
        <w:t>Robert B. Kelly</w:t>
      </w:r>
      <w:r w:rsidR="00112F49">
        <w:rPr>
          <w:sz w:val="22"/>
          <w:szCs w:val="22"/>
        </w:rPr>
        <w:tab/>
      </w:r>
      <w:r w:rsidR="00112F49">
        <w:rPr>
          <w:sz w:val="22"/>
          <w:szCs w:val="22"/>
        </w:rPr>
        <w:tab/>
      </w:r>
      <w:r w:rsidR="00112F49">
        <w:rPr>
          <w:sz w:val="22"/>
          <w:szCs w:val="22"/>
        </w:rPr>
        <w:tab/>
      </w:r>
      <w:r w:rsidR="00112F49">
        <w:rPr>
          <w:sz w:val="22"/>
          <w:szCs w:val="22"/>
        </w:rPr>
        <w:tab/>
      </w:r>
      <w:r w:rsidR="00112F49">
        <w:rPr>
          <w:sz w:val="22"/>
          <w:szCs w:val="22"/>
        </w:rPr>
        <w:tab/>
      </w:r>
      <w:r w:rsidR="00112F49">
        <w:rPr>
          <w:sz w:val="22"/>
          <w:szCs w:val="22"/>
        </w:rPr>
        <w:tab/>
      </w:r>
      <w:r w:rsidR="00E77A2F">
        <w:rPr>
          <w:sz w:val="22"/>
          <w:szCs w:val="22"/>
        </w:rPr>
        <w:t>Paul T. Porrini</w:t>
      </w:r>
    </w:p>
    <w:p w:rsidR="009F1F4A" w:rsidP="002A2E9D" w14:paraId="26E68508" w14:textId="7703BF00">
      <w:pPr>
        <w:rPr>
          <w:sz w:val="22"/>
          <w:szCs w:val="22"/>
        </w:rPr>
      </w:pPr>
      <w:r>
        <w:rPr>
          <w:sz w:val="22"/>
          <w:szCs w:val="22"/>
        </w:rPr>
        <w:t xml:space="preserve">Kahina I. </w:t>
      </w:r>
      <w:r>
        <w:rPr>
          <w:sz w:val="22"/>
          <w:szCs w:val="22"/>
        </w:rPr>
        <w:t>Scheige</w:t>
      </w:r>
      <w:r w:rsidR="00E77A2F">
        <w:rPr>
          <w:sz w:val="22"/>
          <w:szCs w:val="22"/>
        </w:rPr>
        <w:tab/>
      </w:r>
      <w:r w:rsidR="00E77A2F">
        <w:rPr>
          <w:sz w:val="22"/>
          <w:szCs w:val="22"/>
        </w:rPr>
        <w:tab/>
      </w:r>
      <w:r w:rsidR="00E77A2F">
        <w:rPr>
          <w:sz w:val="22"/>
          <w:szCs w:val="22"/>
        </w:rPr>
        <w:tab/>
      </w:r>
      <w:r w:rsidR="00E77A2F">
        <w:rPr>
          <w:sz w:val="22"/>
          <w:szCs w:val="22"/>
        </w:rPr>
        <w:tab/>
      </w:r>
      <w:r w:rsidR="00E77A2F">
        <w:rPr>
          <w:sz w:val="22"/>
          <w:szCs w:val="22"/>
        </w:rPr>
        <w:tab/>
        <w:t>Chief Operating Officer</w:t>
      </w:r>
    </w:p>
    <w:p w:rsidR="009F1F4A" w:rsidP="002A2E9D" w14:paraId="3E667799" w14:textId="284439E4">
      <w:pPr>
        <w:rPr>
          <w:sz w:val="22"/>
          <w:szCs w:val="22"/>
        </w:rPr>
      </w:pPr>
      <w:r>
        <w:rPr>
          <w:sz w:val="22"/>
          <w:szCs w:val="22"/>
        </w:rPr>
        <w:t>Squire Patton Boggs (US) LLP</w:t>
      </w:r>
      <w:r w:rsidR="00E77A2F">
        <w:rPr>
          <w:sz w:val="22"/>
          <w:szCs w:val="22"/>
        </w:rPr>
        <w:tab/>
      </w:r>
      <w:r w:rsidR="00E77A2F">
        <w:rPr>
          <w:sz w:val="22"/>
          <w:szCs w:val="22"/>
        </w:rPr>
        <w:tab/>
      </w:r>
      <w:r w:rsidR="00E77A2F">
        <w:rPr>
          <w:sz w:val="22"/>
          <w:szCs w:val="22"/>
        </w:rPr>
        <w:tab/>
      </w:r>
      <w:r w:rsidR="00E77A2F">
        <w:rPr>
          <w:sz w:val="22"/>
          <w:szCs w:val="22"/>
        </w:rPr>
        <w:tab/>
      </w:r>
      <w:r w:rsidR="0028476F">
        <w:rPr>
          <w:sz w:val="22"/>
          <w:szCs w:val="22"/>
        </w:rPr>
        <w:t>Connex2X, LLC</w:t>
      </w:r>
    </w:p>
    <w:p w:rsidR="00112F49" w:rsidP="002A2E9D" w14:paraId="37657E45" w14:textId="4DB78DF5">
      <w:pPr>
        <w:rPr>
          <w:sz w:val="22"/>
          <w:szCs w:val="22"/>
        </w:rPr>
      </w:pPr>
      <w:r>
        <w:rPr>
          <w:sz w:val="22"/>
          <w:szCs w:val="22"/>
        </w:rPr>
        <w:t>2250 M. Street</w:t>
      </w:r>
      <w:r>
        <w:rPr>
          <w:sz w:val="22"/>
          <w:szCs w:val="22"/>
        </w:rPr>
        <w:t xml:space="preserve"> NW</w:t>
      </w:r>
      <w:r w:rsidR="0028476F">
        <w:rPr>
          <w:sz w:val="22"/>
          <w:szCs w:val="22"/>
        </w:rPr>
        <w:tab/>
      </w:r>
      <w:r w:rsidR="0028476F">
        <w:rPr>
          <w:sz w:val="22"/>
          <w:szCs w:val="22"/>
        </w:rPr>
        <w:tab/>
      </w:r>
      <w:r w:rsidR="0028476F">
        <w:rPr>
          <w:sz w:val="22"/>
          <w:szCs w:val="22"/>
        </w:rPr>
        <w:tab/>
      </w:r>
      <w:r w:rsidR="0028476F">
        <w:rPr>
          <w:sz w:val="22"/>
          <w:szCs w:val="22"/>
        </w:rPr>
        <w:tab/>
      </w:r>
      <w:r w:rsidR="0028476F">
        <w:rPr>
          <w:sz w:val="22"/>
          <w:szCs w:val="22"/>
        </w:rPr>
        <w:tab/>
        <w:t>600 Cleveland Street</w:t>
      </w:r>
    </w:p>
    <w:p w:rsidR="00112F49" w:rsidP="002A2E9D" w14:paraId="27247656" w14:textId="3949BA8A">
      <w:pPr>
        <w:rPr>
          <w:sz w:val="22"/>
          <w:szCs w:val="22"/>
        </w:rPr>
      </w:pPr>
      <w:r>
        <w:rPr>
          <w:sz w:val="22"/>
          <w:szCs w:val="22"/>
        </w:rPr>
        <w:t>Washington, DC 20037</w:t>
      </w:r>
      <w:r w:rsidR="0028476F">
        <w:rPr>
          <w:sz w:val="22"/>
          <w:szCs w:val="22"/>
        </w:rPr>
        <w:tab/>
      </w:r>
      <w:r w:rsidR="0028476F">
        <w:rPr>
          <w:sz w:val="22"/>
          <w:szCs w:val="22"/>
        </w:rPr>
        <w:tab/>
      </w:r>
      <w:r w:rsidR="0028476F">
        <w:rPr>
          <w:sz w:val="22"/>
          <w:szCs w:val="22"/>
        </w:rPr>
        <w:tab/>
      </w:r>
      <w:r w:rsidR="0028476F">
        <w:rPr>
          <w:sz w:val="22"/>
          <w:szCs w:val="22"/>
        </w:rPr>
        <w:tab/>
      </w:r>
      <w:r w:rsidR="0028476F">
        <w:rPr>
          <w:sz w:val="22"/>
          <w:szCs w:val="22"/>
        </w:rPr>
        <w:tab/>
        <w:t>Suite 382</w:t>
      </w:r>
    </w:p>
    <w:p w:rsidR="00B9586B" w:rsidRPr="00112F49" w:rsidP="002A2E9D" w14:paraId="0D58A270" w14:textId="6D0B16E0">
      <w:pPr>
        <w:rPr>
          <w:i/>
          <w:iCs/>
          <w:sz w:val="22"/>
          <w:szCs w:val="22"/>
        </w:rPr>
      </w:pPr>
      <w:r w:rsidRPr="00112F49">
        <w:rPr>
          <w:i/>
          <w:iCs/>
          <w:sz w:val="22"/>
          <w:szCs w:val="22"/>
        </w:rPr>
        <w:t>Counsel to P3Mobility</w:t>
      </w:r>
      <w:r w:rsidRPr="00112F49" w:rsidR="00FE73F6">
        <w:rPr>
          <w:i/>
          <w:iCs/>
          <w:sz w:val="22"/>
          <w:szCs w:val="22"/>
        </w:rPr>
        <w:tab/>
      </w:r>
      <w:r w:rsidR="0028476F">
        <w:rPr>
          <w:i/>
          <w:iCs/>
          <w:sz w:val="22"/>
          <w:szCs w:val="22"/>
        </w:rPr>
        <w:tab/>
      </w:r>
      <w:r w:rsidR="0028476F">
        <w:rPr>
          <w:i/>
          <w:iCs/>
          <w:sz w:val="22"/>
          <w:szCs w:val="22"/>
        </w:rPr>
        <w:tab/>
      </w:r>
      <w:r w:rsidR="0028476F">
        <w:rPr>
          <w:i/>
          <w:iCs/>
          <w:sz w:val="22"/>
          <w:szCs w:val="22"/>
        </w:rPr>
        <w:tab/>
      </w:r>
      <w:r w:rsidR="0028476F">
        <w:rPr>
          <w:i/>
          <w:iCs/>
          <w:sz w:val="22"/>
          <w:szCs w:val="22"/>
        </w:rPr>
        <w:tab/>
      </w:r>
      <w:r w:rsidR="0028476F">
        <w:rPr>
          <w:sz w:val="22"/>
          <w:szCs w:val="22"/>
        </w:rPr>
        <w:t xml:space="preserve">Clearwater, FL </w:t>
      </w:r>
      <w:r w:rsidR="00E840EC">
        <w:rPr>
          <w:sz w:val="22"/>
          <w:szCs w:val="22"/>
        </w:rPr>
        <w:t>33755</w:t>
      </w:r>
      <w:r w:rsidRPr="00112F49" w:rsidR="00FE73F6">
        <w:rPr>
          <w:i/>
          <w:iCs/>
          <w:sz w:val="22"/>
          <w:szCs w:val="22"/>
        </w:rPr>
        <w:tab/>
      </w:r>
      <w:r w:rsidRPr="00112F49" w:rsidR="00FE73F6">
        <w:rPr>
          <w:i/>
          <w:iCs/>
          <w:sz w:val="22"/>
          <w:szCs w:val="22"/>
        </w:rPr>
        <w:tab/>
      </w:r>
      <w:r w:rsidRPr="00112F49" w:rsidR="00FE73F6">
        <w:rPr>
          <w:i/>
          <w:iCs/>
          <w:sz w:val="22"/>
          <w:szCs w:val="22"/>
        </w:rPr>
        <w:tab/>
      </w:r>
      <w:r w:rsidRPr="00112F49" w:rsidR="00FE73F6">
        <w:rPr>
          <w:i/>
          <w:iCs/>
          <w:sz w:val="22"/>
          <w:szCs w:val="22"/>
        </w:rPr>
        <w:tab/>
      </w:r>
    </w:p>
    <w:p w:rsidR="00A87870" w:rsidP="002A2E9D" w14:paraId="73B5CC2A" w14:textId="77777777">
      <w:pPr>
        <w:rPr>
          <w:sz w:val="22"/>
          <w:szCs w:val="22"/>
        </w:rPr>
      </w:pPr>
    </w:p>
    <w:p w:rsidR="002A2E9D" w:rsidRPr="00D818D4" w:rsidP="002A2E9D" w14:paraId="3288E080" w14:textId="544B9C3E">
      <w:pPr>
        <w:rPr>
          <w:sz w:val="22"/>
          <w:szCs w:val="22"/>
        </w:rPr>
      </w:pPr>
      <w:r w:rsidRPr="00D818D4">
        <w:rPr>
          <w:sz w:val="22"/>
          <w:szCs w:val="22"/>
        </w:rPr>
        <w:tab/>
      </w:r>
      <w:r w:rsidRPr="00D818D4">
        <w:rPr>
          <w:sz w:val="22"/>
          <w:szCs w:val="22"/>
        </w:rPr>
        <w:tab/>
      </w:r>
      <w:r w:rsidRPr="00D818D4">
        <w:rPr>
          <w:sz w:val="22"/>
          <w:szCs w:val="22"/>
        </w:rPr>
        <w:tab/>
      </w:r>
      <w:r w:rsidRPr="00D818D4">
        <w:rPr>
          <w:sz w:val="22"/>
          <w:szCs w:val="22"/>
        </w:rPr>
        <w:tab/>
      </w:r>
      <w:r w:rsidRPr="00D818D4">
        <w:rPr>
          <w:sz w:val="22"/>
          <w:szCs w:val="22"/>
        </w:rPr>
        <w:tab/>
      </w:r>
      <w:r w:rsidRPr="00D818D4">
        <w:rPr>
          <w:sz w:val="22"/>
          <w:szCs w:val="22"/>
        </w:rPr>
        <w:tab/>
      </w:r>
      <w:r w:rsidRPr="00D818D4">
        <w:rPr>
          <w:sz w:val="22"/>
          <w:szCs w:val="22"/>
        </w:rPr>
        <w:tab/>
      </w:r>
    </w:p>
    <w:p w:rsidR="002A2E9D" w:rsidRPr="00D818D4" w:rsidP="002A2E9D" w14:paraId="12D2D720" w14:textId="77777777">
      <w:pPr>
        <w:rPr>
          <w:sz w:val="22"/>
          <w:szCs w:val="22"/>
        </w:rPr>
      </w:pPr>
    </w:p>
    <w:p w:rsidR="002A2E9D" w:rsidRPr="00D818D4" w:rsidP="002A2E9D" w14:paraId="3D9395E8" w14:textId="330544BE">
      <w:pPr>
        <w:ind w:left="1440" w:hanging="720"/>
        <w:rPr>
          <w:sz w:val="22"/>
          <w:szCs w:val="22"/>
        </w:rPr>
      </w:pPr>
      <w:r w:rsidRPr="00D818D4">
        <w:rPr>
          <w:sz w:val="22"/>
          <w:szCs w:val="22"/>
        </w:rPr>
        <w:t>Re:</w:t>
      </w:r>
      <w:r w:rsidRPr="00D818D4">
        <w:rPr>
          <w:sz w:val="22"/>
          <w:szCs w:val="22"/>
        </w:rPr>
        <w:tab/>
        <w:t>Request</w:t>
      </w:r>
      <w:r w:rsidRPr="00D818D4" w:rsidR="002D668B">
        <w:rPr>
          <w:sz w:val="22"/>
          <w:szCs w:val="22"/>
        </w:rPr>
        <w:t>s</w:t>
      </w:r>
      <w:r w:rsidRPr="00D818D4">
        <w:rPr>
          <w:sz w:val="22"/>
          <w:szCs w:val="22"/>
        </w:rPr>
        <w:t xml:space="preserve"> for Waiver of 5.9 GHz Band Rules to Permit Initial Deployment of Cellular Vehicle-to-Everything Technology, ET Docket No. 19-138</w:t>
      </w:r>
    </w:p>
    <w:p w:rsidR="002A2E9D" w:rsidP="002A2E9D" w14:paraId="61EAB05C" w14:textId="77777777">
      <w:pPr>
        <w:rPr>
          <w:sz w:val="24"/>
          <w:szCs w:val="24"/>
        </w:rPr>
      </w:pPr>
    </w:p>
    <w:p w:rsidR="002A2E9D" w:rsidRPr="008F0D96" w:rsidP="002A2E9D" w14:paraId="037C936A" w14:textId="77777777">
      <w:pPr>
        <w:rPr>
          <w:spacing w:val="-2"/>
          <w:sz w:val="22"/>
          <w:szCs w:val="22"/>
        </w:rPr>
      </w:pPr>
      <w:r>
        <w:rPr>
          <w:bCs/>
          <w:sz w:val="22"/>
          <w:szCs w:val="22"/>
        </w:rPr>
        <w:t>Dear Petitioners:</w:t>
      </w:r>
    </w:p>
    <w:p w:rsidR="002A2E9D" w:rsidP="002A2E9D" w14:paraId="5D3002C0" w14:textId="77777777">
      <w:pPr>
        <w:rPr>
          <w:spacing w:val="-2"/>
        </w:rPr>
      </w:pPr>
    </w:p>
    <w:p w:rsidR="002A2E9D" w:rsidP="00C13874" w14:paraId="15E67743" w14:textId="243E41FA">
      <w:pPr>
        <w:pStyle w:val="ParaNum"/>
        <w:numPr>
          <w:ilvl w:val="0"/>
          <w:numId w:val="0"/>
        </w:numPr>
        <w:tabs>
          <w:tab w:val="clear" w:pos="1440"/>
        </w:tabs>
        <w:ind w:firstLine="720"/>
        <w:jc w:val="left"/>
      </w:pPr>
      <w:r>
        <w:t>We</w:t>
      </w:r>
      <w:r w:rsidRPr="00651AAF">
        <w:t>, the Public Safety and Homeland Security Bureau</w:t>
      </w:r>
      <w:r>
        <w:t xml:space="preserve">, </w:t>
      </w:r>
      <w:r w:rsidRPr="00651AAF">
        <w:t xml:space="preserve">the Office of Engineering and Technology, and the Wireless Telecommunications Bureau (collectively, the Bureaus) </w:t>
      </w:r>
      <w:r>
        <w:t xml:space="preserve">have before us </w:t>
      </w:r>
      <w:r w:rsidR="00D31B19">
        <w:t xml:space="preserve">seventeen </w:t>
      </w:r>
      <w:r>
        <w:t>individual waiver requests submitted by</w:t>
      </w:r>
      <w:r w:rsidR="008C08A3">
        <w:t xml:space="preserve"> certain state, local, and municipal transportation authorities</w:t>
      </w:r>
      <w:r w:rsidR="008C08A3">
        <w:t xml:space="preserve"> </w:t>
      </w:r>
      <w:r w:rsidR="00190884">
        <w:t xml:space="preserve">including the </w:t>
      </w:r>
      <w:r>
        <w:t xml:space="preserve">Colorado, </w:t>
      </w:r>
      <w:bookmarkStart w:id="0" w:name="_Hlk140831871"/>
      <w:r>
        <w:t>Florida, Georgia, Hawaii,</w:t>
      </w:r>
      <w:r w:rsidR="00C3123F">
        <w:t xml:space="preserve"> Maryland</w:t>
      </w:r>
      <w:r w:rsidR="009C7370">
        <w:t>,</w:t>
      </w:r>
      <w:r>
        <w:t xml:space="preserve"> Michigan, </w:t>
      </w:r>
      <w:r w:rsidR="0061632D">
        <w:t xml:space="preserve">Nebraska, </w:t>
      </w:r>
      <w:r>
        <w:t xml:space="preserve">New Jersey, Ohio, Oregon, Texas, </w:t>
      </w:r>
      <w:r w:rsidR="00190884">
        <w:t xml:space="preserve">and </w:t>
      </w:r>
      <w:r>
        <w:t>Wyoming</w:t>
      </w:r>
      <w:bookmarkEnd w:id="0"/>
      <w:r w:rsidR="00190884">
        <w:t xml:space="preserve"> state departments of transportation</w:t>
      </w:r>
      <w:r w:rsidR="00027740">
        <w:t xml:space="preserve">, </w:t>
      </w:r>
      <w:r>
        <w:t>the City and County of Denver, the Macomb County Department of Roads, and the Regents of the University of Michigan</w:t>
      </w:r>
      <w:r w:rsidR="00E97D89">
        <w:t xml:space="preserve">, and </w:t>
      </w:r>
      <w:r w:rsidR="00DE5B4B">
        <w:t>two</w:t>
      </w:r>
      <w:r w:rsidR="00DE5B4B">
        <w:t xml:space="preserve"> </w:t>
      </w:r>
      <w:r>
        <w:t xml:space="preserve">equipment manufacturers, </w:t>
      </w:r>
      <w:r>
        <w:t>Sonamore</w:t>
      </w:r>
      <w:r>
        <w:t>, Inc. d/b/a P3Mobility and Connex2X, LLC (collectively, the “Waiver Applicants” or “Applicants”).</w:t>
      </w:r>
      <w:r>
        <w:rPr>
          <w:rStyle w:val="FootnoteReference"/>
        </w:rPr>
        <w:footnoteReference w:id="3"/>
      </w:r>
      <w:r>
        <w:t xml:space="preserve"> </w:t>
      </w:r>
      <w:r w:rsidR="00BC54AC">
        <w:t xml:space="preserve"> For the reasons stated below, and subject to the technical parameters and conditions set forth herein, the Bureaus </w:t>
      </w:r>
      <w:r w:rsidRPr="007526CD" w:rsidR="007526CD">
        <w:t xml:space="preserve">grant each of the Applicants’ waiver requests to deploy </w:t>
      </w:r>
      <w:r w:rsidR="005E7FAB">
        <w:t xml:space="preserve">Cellular Vehicle-to-Everything (C-V2X) </w:t>
      </w:r>
      <w:r w:rsidR="005B7DA4">
        <w:t xml:space="preserve">technology within the </w:t>
      </w:r>
      <w:r w:rsidR="005E7FAB">
        <w:t>5.895</w:t>
      </w:r>
      <w:r w:rsidR="00405632">
        <w:t>–</w:t>
      </w:r>
      <w:r w:rsidR="005E7FAB">
        <w:t>5.925 GHz band.</w:t>
      </w:r>
    </w:p>
    <w:p w:rsidR="002A2E9D" w:rsidRPr="00581205" w:rsidP="002A2E9D" w14:paraId="457A1450" w14:textId="77777777">
      <w:pPr>
        <w:pStyle w:val="ParaNum"/>
        <w:numPr>
          <w:ilvl w:val="0"/>
          <w:numId w:val="0"/>
        </w:numPr>
        <w:tabs>
          <w:tab w:val="clear" w:pos="1440"/>
        </w:tabs>
        <w:spacing w:after="120"/>
        <w:jc w:val="left"/>
        <w:rPr>
          <w:b/>
          <w:bCs/>
        </w:rPr>
      </w:pPr>
      <w:r w:rsidRPr="00581205">
        <w:rPr>
          <w:b/>
          <w:bCs/>
        </w:rPr>
        <w:t>I.</w:t>
      </w:r>
      <w:r w:rsidRPr="00581205">
        <w:rPr>
          <w:b/>
          <w:bCs/>
        </w:rPr>
        <w:tab/>
        <w:t xml:space="preserve">Background </w:t>
      </w:r>
    </w:p>
    <w:p w:rsidR="002A2E9D" w:rsidP="00E67C52" w14:paraId="776A2C22" w14:textId="6ACDA26F">
      <w:pPr>
        <w:pStyle w:val="ParaNum"/>
        <w:keepNext/>
        <w:widowControl/>
        <w:numPr>
          <w:ilvl w:val="0"/>
          <w:numId w:val="0"/>
        </w:numPr>
        <w:tabs>
          <w:tab w:val="clear" w:pos="1440"/>
        </w:tabs>
        <w:ind w:firstLine="720"/>
        <w:jc w:val="left"/>
      </w:pPr>
      <w:r>
        <w:t>E</w:t>
      </w:r>
      <w:r>
        <w:t>ach Waiver Applicant</w:t>
      </w:r>
      <w:r>
        <w:rPr>
          <w:rStyle w:val="FootnoteReference"/>
        </w:rPr>
        <w:footnoteReference w:id="4"/>
      </w:r>
      <w:r>
        <w:t xml:space="preserve"> seeks a waiver of certain Commission rules applicable to intelligent transportation systems (ITS) operations </w:t>
      </w:r>
      <w:r w:rsidRPr="00E07BD8" w:rsidR="00E07BD8">
        <w:t xml:space="preserve">to allow C-V2X technology to be used </w:t>
      </w:r>
      <w:r>
        <w:t xml:space="preserve">in the upper 30 megahertz </w:t>
      </w:r>
      <w:r>
        <w:t>(5.895</w:t>
      </w:r>
      <w:r w:rsidR="00405632">
        <w:t>–</w:t>
      </w:r>
      <w:r>
        <w:t>5.925 GHz) portion of the 5.850</w:t>
      </w:r>
      <w:r w:rsidR="00405632">
        <w:t>–</w:t>
      </w:r>
      <w:r>
        <w:t>5.925 GHz Band (5.9 GHz band)</w:t>
      </w:r>
      <w:r w:rsidRPr="00682E4C" w:rsidR="00682E4C">
        <w:t xml:space="preserve"> </w:t>
      </w:r>
      <w:r w:rsidR="00682E4C">
        <w:t>prior to adoption of final C-V2X-based rules</w:t>
      </w:r>
      <w:r>
        <w:t>.</w:t>
      </w:r>
      <w:r>
        <w:rPr>
          <w:rStyle w:val="FootnoteReference"/>
        </w:rPr>
        <w:footnoteReference w:id="5"/>
      </w:r>
      <w:r>
        <w:t xml:space="preserve">  </w:t>
      </w:r>
      <w:r w:rsidRPr="0031153B">
        <w:t>The C-V2X equipment subject to the Waiver Requests would operate in the 5905</w:t>
      </w:r>
      <w:r w:rsidR="00405632">
        <w:t>–</w:t>
      </w:r>
      <w:r w:rsidRPr="0031153B">
        <w:t>5925 MHz portion of the 5.9 GHz band using a 20-megahertz channel.</w:t>
      </w:r>
    </w:p>
    <w:p w:rsidR="002A2E9D" w:rsidP="00E67C52" w14:paraId="3F2C03D8" w14:textId="64A31CED">
      <w:pPr>
        <w:pStyle w:val="ParaNum"/>
        <w:widowControl/>
        <w:numPr>
          <w:ilvl w:val="0"/>
          <w:numId w:val="0"/>
        </w:numPr>
        <w:tabs>
          <w:tab w:val="clear" w:pos="1440"/>
        </w:tabs>
        <w:ind w:firstLine="720"/>
        <w:jc w:val="left"/>
      </w:pPr>
      <w:r w:rsidRPr="00095468">
        <w:rPr>
          <w:i/>
        </w:rPr>
        <w:t>Waiver Requests</w:t>
      </w:r>
      <w:r>
        <w:rPr>
          <w:iCs/>
        </w:rPr>
        <w:t xml:space="preserve">.  </w:t>
      </w:r>
      <w:r w:rsidR="00BF4583">
        <w:rPr>
          <w:iCs/>
        </w:rPr>
        <w:t>Several</w:t>
      </w:r>
      <w:r>
        <w:rPr>
          <w:iCs/>
        </w:rPr>
        <w:t xml:space="preserve"> Applicant</w:t>
      </w:r>
      <w:r w:rsidR="00BF4583">
        <w:rPr>
          <w:iCs/>
        </w:rPr>
        <w:t>s</w:t>
      </w:r>
      <w:r>
        <w:rPr>
          <w:iCs/>
        </w:rPr>
        <w:t xml:space="preserve"> seek a waiver of</w:t>
      </w:r>
      <w:r>
        <w:t xml:space="preserve"> 47 CFR § 2.106</w:t>
      </w:r>
      <w:r w:rsidR="00285833">
        <w:t>(d)(16</w:t>
      </w:r>
      <w:r w:rsidR="003728FF">
        <w:t>0</w:t>
      </w:r>
      <w:r w:rsidR="00285833">
        <w:t>)</w:t>
      </w:r>
      <w:r>
        <w:rPr>
          <w:rStyle w:val="FootnoteReference"/>
        </w:rPr>
        <w:footnoteReference w:id="6"/>
      </w:r>
      <w:r>
        <w:t xml:space="preserve"> to allow the 5.905</w:t>
      </w:r>
      <w:r w:rsidR="00405632">
        <w:t>–</w:t>
      </w:r>
      <w:r>
        <w:t xml:space="preserve">5.925 GHz band </w:t>
      </w:r>
      <w:r w:rsidR="001609BB">
        <w:t xml:space="preserve">to be used </w:t>
      </w:r>
      <w:r>
        <w:t>for C-V2X safety systems operating in the Intelligent Transportation System radio service.</w:t>
      </w:r>
      <w:r>
        <w:rPr>
          <w:rStyle w:val="FootnoteReference"/>
        </w:rPr>
        <w:footnoteReference w:id="7"/>
      </w:r>
      <w:r>
        <w:t xml:space="preserve">  </w:t>
      </w:r>
      <w:r w:rsidR="00374958">
        <w:t xml:space="preserve">Each </w:t>
      </w:r>
      <w:r>
        <w:t>Applicant also seek</w:t>
      </w:r>
      <w:r w:rsidR="00EB70A3">
        <w:t>s</w:t>
      </w:r>
      <w:r>
        <w:t xml:space="preserve"> a waiver of certain part 90 and part 95 rules</w:t>
      </w:r>
      <w:r>
        <w:rPr>
          <w:rStyle w:val="FootnoteReference"/>
        </w:rPr>
        <w:footnoteReference w:id="8"/>
      </w:r>
      <w:r>
        <w:t xml:space="preserve"> (47 CFR §§ 90.375, 90.377, 90.379, </w:t>
      </w:r>
      <w:r w:rsidRPr="00064B75">
        <w:t>95.3159</w:t>
      </w:r>
      <w:r>
        <w:t>,</w:t>
      </w:r>
      <w:r>
        <w:rPr>
          <w:rStyle w:val="FootnoteReference"/>
        </w:rPr>
        <w:footnoteReference w:id="9"/>
      </w:r>
      <w:r>
        <w:t xml:space="preserve"> 95.3163, 95.3167, and 95.3189)</w:t>
      </w:r>
      <w:r>
        <w:rPr>
          <w:rStyle w:val="FootnoteReference"/>
        </w:rPr>
        <w:footnoteReference w:id="10"/>
      </w:r>
      <w:r>
        <w:t xml:space="preserve"> governing the operation of </w:t>
      </w:r>
      <w:r w:rsidR="008A46BA">
        <w:t xml:space="preserve">Dedicated Short Range Communication </w:t>
      </w:r>
      <w:r w:rsidR="00BD097B">
        <w:t>(</w:t>
      </w:r>
      <w:r w:rsidR="00AE3E4A">
        <w:t>DSRC</w:t>
      </w:r>
      <w:r w:rsidR="00BD097B">
        <w:t xml:space="preserve">) </w:t>
      </w:r>
      <w:r w:rsidR="00AE3E4A">
        <w:t xml:space="preserve">based </w:t>
      </w:r>
      <w:r>
        <w:t>roadside units (RSUs) and on-board units (OBUs</w:t>
      </w:r>
      <w:r>
        <w:t>)</w:t>
      </w:r>
      <w:r>
        <w:t xml:space="preserve"> in the upper 30 megahertz of the 5.9 GHz band.</w:t>
      </w:r>
    </w:p>
    <w:p w:rsidR="002A2E9D" w:rsidP="00C13874" w14:paraId="169C5A1A" w14:textId="5E6FF83C">
      <w:pPr>
        <w:pStyle w:val="ParaNum"/>
        <w:numPr>
          <w:ilvl w:val="0"/>
          <w:numId w:val="0"/>
        </w:numPr>
        <w:tabs>
          <w:tab w:val="clear" w:pos="1440"/>
        </w:tabs>
        <w:ind w:firstLine="720"/>
        <w:jc w:val="left"/>
      </w:pPr>
      <w:r>
        <w:rPr>
          <w:iCs/>
        </w:rPr>
        <w:t xml:space="preserve">Each Waiver </w:t>
      </w:r>
      <w:r w:rsidRPr="00C05BC9">
        <w:t>Applicant</w:t>
      </w:r>
      <w:r>
        <w:rPr>
          <w:iCs/>
        </w:rPr>
        <w:t xml:space="preserve"> requests relief pursuant to section 1.925 of the Commission’s rules.</w:t>
      </w:r>
      <w:r>
        <w:rPr>
          <w:rStyle w:val="FootnoteReference"/>
          <w:iCs/>
        </w:rPr>
        <w:footnoteReference w:id="11"/>
      </w:r>
      <w:r>
        <w:rPr>
          <w:iCs/>
        </w:rPr>
        <w:t xml:space="preserve">  Specifically, </w:t>
      </w:r>
      <w:r w:rsidRPr="00D92A64">
        <w:t>the</w:t>
      </w:r>
      <w:r>
        <w:rPr>
          <w:iCs/>
        </w:rPr>
        <w:t xml:space="preserve"> state, local</w:t>
      </w:r>
      <w:r w:rsidR="00D11683">
        <w:rPr>
          <w:iCs/>
        </w:rPr>
        <w:t>,</w:t>
      </w:r>
      <w:r>
        <w:rPr>
          <w:iCs/>
        </w:rPr>
        <w:t xml:space="preserve"> and municipal transportation departments listed in Appendix A seek </w:t>
      </w:r>
      <w:r w:rsidR="007B1D2A">
        <w:rPr>
          <w:iCs/>
        </w:rPr>
        <w:t>cert</w:t>
      </w:r>
      <w:r w:rsidR="00B4365F">
        <w:rPr>
          <w:iCs/>
        </w:rPr>
        <w:t xml:space="preserve">ain </w:t>
      </w:r>
      <w:r w:rsidR="00B4365F">
        <w:rPr>
          <w:iCs/>
        </w:rPr>
        <w:t xml:space="preserve">rule </w:t>
      </w:r>
      <w:r>
        <w:rPr>
          <w:iCs/>
        </w:rPr>
        <w:t>waiver</w:t>
      </w:r>
      <w:r w:rsidR="00B4365F">
        <w:rPr>
          <w:iCs/>
        </w:rPr>
        <w:t>s</w:t>
      </w:r>
      <w:r>
        <w:rPr>
          <w:iCs/>
        </w:rPr>
        <w:t xml:space="preserve"> under section 1.925 to deploy C-V2X operations, including RSUs and OBUs, within and throughout their respective state and/or local borders, under the FCC ITS licenses each currently holds.</w:t>
      </w:r>
      <w:r>
        <w:rPr>
          <w:rStyle w:val="FootnoteReference"/>
          <w:iCs/>
        </w:rPr>
        <w:footnoteReference w:id="12"/>
      </w:r>
      <w:r>
        <w:rPr>
          <w:iCs/>
        </w:rPr>
        <w:t xml:space="preserve">  The equipment manufacturers listed in Appendix A (P3Mobility and Connex2X)</w:t>
      </w:r>
      <w:r>
        <w:t xml:space="preserve"> seek </w:t>
      </w:r>
      <w:r w:rsidR="00AC5213">
        <w:t xml:space="preserve">certain rule </w:t>
      </w:r>
      <w:r>
        <w:t>waiver</w:t>
      </w:r>
      <w:r w:rsidR="00AC5213">
        <w:t>s</w:t>
      </w:r>
      <w:r>
        <w:t xml:space="preserve"> under section 1.925 to allow them to obtain the necessary equipment certifications for their C-V2X equipment.</w:t>
      </w:r>
      <w:r>
        <w:rPr>
          <w:rStyle w:val="FootnoteReference"/>
        </w:rPr>
        <w:footnoteReference w:id="13"/>
      </w:r>
    </w:p>
    <w:p w:rsidR="002A2E9D" w:rsidP="004678E2" w14:paraId="073948C0" w14:textId="5408B9F4">
      <w:pPr>
        <w:pStyle w:val="ParaNum"/>
        <w:widowControl/>
        <w:numPr>
          <w:ilvl w:val="0"/>
          <w:numId w:val="0"/>
        </w:numPr>
        <w:tabs>
          <w:tab w:val="clear" w:pos="1440"/>
        </w:tabs>
        <w:ind w:firstLine="720"/>
        <w:jc w:val="left"/>
      </w:pPr>
      <w:r w:rsidRPr="007D63CD">
        <w:rPr>
          <w:i/>
          <w:iCs/>
        </w:rPr>
        <w:t>Joint Waiver Order</w:t>
      </w:r>
      <w:r>
        <w:t xml:space="preserve">. </w:t>
      </w:r>
      <w:r w:rsidR="006B4F30">
        <w:t xml:space="preserve">On December 13, 2021, </w:t>
      </w:r>
      <w:r w:rsidR="005422F3">
        <w:t>a group of</w:t>
      </w:r>
      <w:r w:rsidR="007C2AAD">
        <w:t xml:space="preserve"> </w:t>
      </w:r>
      <w:r w:rsidR="006B4F30">
        <w:t>public and private transportation stakeholders</w:t>
      </w:r>
      <w:r w:rsidR="00BB6CB3">
        <w:t xml:space="preserve"> requested a waiver of the Commission’s</w:t>
      </w:r>
      <w:r w:rsidR="00D36612">
        <w:t xml:space="preserve"> DSRC-based rules to allow the</w:t>
      </w:r>
      <w:r w:rsidR="00466A9E">
        <w:t>m</w:t>
      </w:r>
      <w:r w:rsidR="00D36612">
        <w:t xml:space="preserve"> </w:t>
      </w:r>
      <w:r w:rsidR="00F11A75">
        <w:t xml:space="preserve">to </w:t>
      </w:r>
      <w:r w:rsidR="00D36612">
        <w:t>use C-V2X technology in the upper 30 megahertz of the 5.9 GHz band prior to adoption of final C-V2X-based rules</w:t>
      </w:r>
      <w:r w:rsidR="00F11A75">
        <w:t>.</w:t>
      </w:r>
      <w:r>
        <w:rPr>
          <w:rStyle w:val="FootnoteReference"/>
        </w:rPr>
        <w:footnoteReference w:id="14"/>
      </w:r>
      <w:r w:rsidR="006B4F30">
        <w:t xml:space="preserve"> </w:t>
      </w:r>
      <w:r w:rsidR="00F11A75">
        <w:t xml:space="preserve"> </w:t>
      </w:r>
      <w:r w:rsidR="004C31F9">
        <w:t>Th</w:t>
      </w:r>
      <w:r w:rsidR="004D74A2">
        <w:t xml:space="preserve">e </w:t>
      </w:r>
      <w:r w:rsidR="004D74A2">
        <w:rPr>
          <w:i/>
          <w:iCs/>
        </w:rPr>
        <w:t xml:space="preserve">Joint Waiver </w:t>
      </w:r>
      <w:r w:rsidRPr="00817132" w:rsidR="004D74A2">
        <w:rPr>
          <w:i/>
          <w:iCs/>
        </w:rPr>
        <w:t>Request</w:t>
      </w:r>
      <w:r w:rsidR="00817132">
        <w:t xml:space="preserve"> </w:t>
      </w:r>
      <w:r w:rsidR="009026D3">
        <w:t xml:space="preserve">stated that </w:t>
      </w:r>
      <w:r w:rsidR="00817132">
        <w:t>th</w:t>
      </w:r>
      <w:r w:rsidR="009026D3">
        <w:t>e</w:t>
      </w:r>
      <w:r w:rsidR="00817132">
        <w:t xml:space="preserve"> C-V2X equipment subject to the </w:t>
      </w:r>
      <w:r w:rsidR="009026D3">
        <w:t>request would</w:t>
      </w:r>
      <w:r w:rsidR="00817132">
        <w:t xml:space="preserve"> operate in the 5905</w:t>
      </w:r>
      <w:r w:rsidR="00405632">
        <w:t>–</w:t>
      </w:r>
      <w:r w:rsidR="00817132">
        <w:t>5925 MHz portion of the 5.9 GHz band using a 20-megahertz channel</w:t>
      </w:r>
      <w:r w:rsidR="009026D3">
        <w:t>.</w:t>
      </w:r>
      <w:r>
        <w:rPr>
          <w:rStyle w:val="FootnoteReference"/>
        </w:rPr>
        <w:footnoteReference w:id="15"/>
      </w:r>
      <w:r w:rsidR="009026D3">
        <w:t xml:space="preserve"> </w:t>
      </w:r>
      <w:r w:rsidRPr="00817132" w:rsidR="00817132">
        <w:t xml:space="preserve"> </w:t>
      </w:r>
      <w:r w:rsidRPr="00817132">
        <w:t>On</w:t>
      </w:r>
      <w:r>
        <w:t xml:space="preserve"> April 24, 2023, the Bureaus </w:t>
      </w:r>
      <w:r w:rsidR="007B77E2">
        <w:t>gran</w:t>
      </w:r>
      <w:r w:rsidR="0050440F">
        <w:t xml:space="preserve">ted </w:t>
      </w:r>
      <w:r>
        <w:t xml:space="preserve">the </w:t>
      </w:r>
      <w:r w:rsidRPr="002B5471">
        <w:rPr>
          <w:i/>
          <w:iCs/>
        </w:rPr>
        <w:t>Joint Waiver Request</w:t>
      </w:r>
      <w:r>
        <w:t>.</w:t>
      </w:r>
      <w:r>
        <w:rPr>
          <w:rStyle w:val="FootnoteReference"/>
        </w:rPr>
        <w:footnoteReference w:id="16"/>
      </w:r>
      <w:r>
        <w:t xml:space="preserve">  </w:t>
      </w:r>
      <w:r w:rsidR="00D95162">
        <w:t xml:space="preserve">The Bureaus </w:t>
      </w:r>
      <w:r>
        <w:t>conditioned the waiver grant on certain technical and operational parameters set forth in the Joint Waiver Order</w:t>
      </w:r>
      <w:r>
        <w:rPr>
          <w:rStyle w:val="FootnoteReference"/>
        </w:rPr>
        <w:footnoteReference w:id="17"/>
      </w:r>
      <w:r>
        <w:t xml:space="preserve"> and further modified those conditions by our Waiver Modification Order on July 5, 2023.</w:t>
      </w:r>
      <w:r>
        <w:rPr>
          <w:rStyle w:val="FootnoteReference"/>
        </w:rPr>
        <w:footnoteReference w:id="18"/>
      </w:r>
    </w:p>
    <w:p w:rsidR="002A2E9D" w:rsidP="008C351E" w14:paraId="3BA8B528" w14:textId="52EF49C0">
      <w:pPr>
        <w:pStyle w:val="ParaNum"/>
        <w:widowControl/>
        <w:numPr>
          <w:ilvl w:val="0"/>
          <w:numId w:val="0"/>
        </w:numPr>
        <w:tabs>
          <w:tab w:val="clear" w:pos="1440"/>
        </w:tabs>
        <w:ind w:firstLine="720"/>
        <w:jc w:val="left"/>
      </w:pPr>
      <w:r>
        <w:t>In supplemental filings to each of the Waiver Applicants’ initial waiver requests, the Waiver Applicants request that the Bureaus grant their waivers under the same grant conditions specified in the C-V2X Joint Waiver Order</w:t>
      </w:r>
      <w:r w:rsidR="00430178">
        <w:t>, as modified</w:t>
      </w:r>
      <w:r>
        <w:t>.</w:t>
      </w:r>
      <w:r>
        <w:rPr>
          <w:rStyle w:val="FootnoteReference"/>
        </w:rPr>
        <w:footnoteReference w:id="19"/>
      </w:r>
      <w:r>
        <w:t xml:space="preserve"> </w:t>
      </w:r>
    </w:p>
    <w:p w:rsidR="002A2E9D" w:rsidP="00C13874" w14:paraId="523A9D57" w14:textId="17E6EAF5">
      <w:pPr>
        <w:pStyle w:val="ParaNum"/>
        <w:numPr>
          <w:ilvl w:val="0"/>
          <w:numId w:val="0"/>
        </w:numPr>
        <w:ind w:firstLine="720"/>
        <w:jc w:val="left"/>
      </w:pPr>
      <w:r>
        <w:t>For the reasons stated below, the Bureaus grant each Applicant</w:t>
      </w:r>
      <w:r w:rsidR="00463346">
        <w:t>’</w:t>
      </w:r>
      <w:r>
        <w:t>s waiver request to deploy C-V2X technology in the upper 30 megahertz of the 5.9 GHz band, pending adoption of final C-V2X-based rules, subject to the technical parameters and conditions set forth below</w:t>
      </w:r>
      <w:r w:rsidR="003242DE">
        <w:t xml:space="preserve">, </w:t>
      </w:r>
      <w:r w:rsidR="00ED25A1">
        <w:t>which are</w:t>
      </w:r>
      <w:r w:rsidR="00E178E8">
        <w:t xml:space="preserve"> </w:t>
      </w:r>
      <w:r w:rsidR="003242DE">
        <w:t xml:space="preserve">consistent with the technical parameters and conditions set forth </w:t>
      </w:r>
      <w:r>
        <w:t>in the April 24, 2023 Joint Waiver Order,</w:t>
      </w:r>
      <w:r>
        <w:rPr>
          <w:rStyle w:val="FootnoteReference"/>
        </w:rPr>
        <w:footnoteReference w:id="20"/>
      </w:r>
      <w:r>
        <w:t xml:space="preserve"> as modified by the July 5, 2023 Waiver Modification Order.</w:t>
      </w:r>
      <w:r>
        <w:rPr>
          <w:rStyle w:val="FootnoteReference"/>
        </w:rPr>
        <w:footnoteReference w:id="21"/>
      </w:r>
    </w:p>
    <w:p w:rsidR="002A2E9D" w:rsidP="002A2E9D" w14:paraId="2DB2FC55" w14:textId="77777777">
      <w:pPr>
        <w:pStyle w:val="Heading1"/>
        <w:numPr>
          <w:ilvl w:val="0"/>
          <w:numId w:val="0"/>
        </w:numPr>
      </w:pPr>
      <w:r>
        <w:t>II.</w:t>
      </w:r>
      <w:r>
        <w:tab/>
        <w:t>Discussion</w:t>
      </w:r>
    </w:p>
    <w:p w:rsidR="002A2E9D" w:rsidP="001F5957" w14:paraId="468707AB" w14:textId="77777777">
      <w:pPr>
        <w:pStyle w:val="Heading2"/>
      </w:pPr>
      <w:r>
        <w:t>Waiver Standard</w:t>
      </w:r>
    </w:p>
    <w:p w:rsidR="002A2E9D" w:rsidP="00C13874" w14:paraId="453E0D34" w14:textId="3E5CB753">
      <w:pPr>
        <w:pStyle w:val="ParaNum"/>
        <w:numPr>
          <w:ilvl w:val="0"/>
          <w:numId w:val="0"/>
        </w:numPr>
        <w:tabs>
          <w:tab w:val="clear" w:pos="1440"/>
        </w:tabs>
        <w:ind w:firstLine="720"/>
        <w:jc w:val="left"/>
      </w:pPr>
      <w:r>
        <w:t>The Applicants seek waiver</w:t>
      </w:r>
      <w:r w:rsidR="00877B11">
        <w:t>s</w:t>
      </w:r>
      <w:r>
        <w:t xml:space="preserve"> pursuant to section 1.925 of the Commission’s rules</w:t>
      </w:r>
      <w:r w:rsidRPr="00972C8D">
        <w:t>.</w:t>
      </w:r>
      <w:r>
        <w:t xml:space="preserve">  </w:t>
      </w:r>
      <w:r w:rsidRPr="005C5E67">
        <w:t>Section</w:t>
      </w:r>
      <w:r w:rsidRPr="004872DB">
        <w:t xml:space="preserve"> 1.925 states that the </w:t>
      </w:r>
      <w:r>
        <w:t>agency</w:t>
      </w:r>
      <w:r w:rsidRPr="004872DB">
        <w:t xml:space="preserve"> may grant a waiver </w:t>
      </w:r>
      <w:r>
        <w:t>if it is shown that</w:t>
      </w:r>
      <w:r w:rsidRPr="004872DB">
        <w:t xml:space="preserve"> the underlying purpose of the rule at issue would not be served or would be frustrated by application to the instant case, and a grant would be in the public interest, or where, “in view of unique or unusual factual circumstances,” application of the rule would be inequitable, unduly burdensome or contrary to the public interest, or the applicant has no reasonable alternative.</w:t>
      </w:r>
      <w:r>
        <w:rPr>
          <w:vertAlign w:val="superscript"/>
        </w:rPr>
        <w:footnoteReference w:id="22"/>
      </w:r>
      <w:r w:rsidRPr="004872DB">
        <w:t xml:space="preserve">  In addition, </w:t>
      </w:r>
      <w:r>
        <w:t>s</w:t>
      </w:r>
      <w:r w:rsidRPr="004872DB">
        <w:t xml:space="preserve">ection 1.3 </w:t>
      </w:r>
      <w:r>
        <w:t>provides that</w:t>
      </w:r>
      <w:r w:rsidRPr="004872DB">
        <w:t xml:space="preserve"> the Commission </w:t>
      </w:r>
      <w:r>
        <w:t>may</w:t>
      </w:r>
      <w:r w:rsidRPr="004872DB">
        <w:t xml:space="preserve"> waive any provision of its rules on its own motion for good cause.</w:t>
      </w:r>
      <w:r>
        <w:rPr>
          <w:vertAlign w:val="superscript"/>
        </w:rPr>
        <w:footnoteReference w:id="23"/>
      </w:r>
    </w:p>
    <w:p w:rsidR="002A2E9D" w:rsidRPr="00095468" w:rsidP="00C13874" w14:paraId="788D54CF" w14:textId="3058A2FB">
      <w:pPr>
        <w:pStyle w:val="ParaNum"/>
        <w:numPr>
          <w:ilvl w:val="0"/>
          <w:numId w:val="0"/>
        </w:numPr>
        <w:tabs>
          <w:tab w:val="clear" w:pos="1440"/>
        </w:tabs>
        <w:ind w:firstLine="720"/>
        <w:jc w:val="left"/>
      </w:pPr>
      <w:r>
        <w:t xml:space="preserve">Specifically, </w:t>
      </w:r>
      <w:r w:rsidR="002E0947">
        <w:t xml:space="preserve">each of </w:t>
      </w:r>
      <w:r>
        <w:t>t</w:t>
      </w:r>
      <w:r w:rsidRPr="00095468">
        <w:t xml:space="preserve">he </w:t>
      </w:r>
      <w:r>
        <w:t>Waiver Applicants</w:t>
      </w:r>
      <w:r w:rsidRPr="00095468">
        <w:t xml:space="preserve"> seek</w:t>
      </w:r>
      <w:r w:rsidR="004414EA">
        <w:t>s</w:t>
      </w:r>
      <w:r w:rsidRPr="00095468">
        <w:t xml:space="preserve"> a waiver of </w:t>
      </w:r>
      <w:r w:rsidR="007F104F">
        <w:t xml:space="preserve">certain </w:t>
      </w:r>
      <w:r w:rsidR="00A845FA">
        <w:t xml:space="preserve">Commission </w:t>
      </w:r>
      <w:r w:rsidR="007F104F">
        <w:t>rules</w:t>
      </w:r>
      <w:r w:rsidR="00A845FA">
        <w:t xml:space="preserve"> applicable to ITS operations in the </w:t>
      </w:r>
      <w:r w:rsidR="007C7989">
        <w:t>5.9 GHz band (</w:t>
      </w:r>
      <w:r w:rsidRPr="002A0940" w:rsidR="007C7989">
        <w:rPr>
          <w:i/>
          <w:iCs/>
        </w:rPr>
        <w:t>i.e.</w:t>
      </w:r>
      <w:r w:rsidR="007C7989">
        <w:t>,</w:t>
      </w:r>
      <w:r w:rsidR="007F104F">
        <w:t xml:space="preserve"> </w:t>
      </w:r>
      <w:r w:rsidRPr="00095468">
        <w:t>47 CFR §§ 90.375, 90.377, 90.379, 95.3163, 95.3167, and 95.3189</w:t>
      </w:r>
      <w:r w:rsidR="007C7989">
        <w:t>)</w:t>
      </w:r>
      <w:r w:rsidRPr="00095468">
        <w:t>, the rule sections that establish the technical requirements mandating DSRC-based technology in the upper 30 megahertz of the 5.9 GHz band,</w:t>
      </w:r>
      <w:r w:rsidRPr="00095468">
        <w:rPr>
          <w:rStyle w:val="FootnoteReference"/>
        </w:rPr>
        <w:t xml:space="preserve"> </w:t>
      </w:r>
      <w:r w:rsidRPr="00095468">
        <w:t>to allow the use of C-V2X-based technology in the band and to provide adjustments to the technical parameters where the two technologies differ.  As discussed</w:t>
      </w:r>
      <w:r>
        <w:t xml:space="preserve"> briefly below</w:t>
      </w:r>
      <w:r w:rsidR="00F80E03">
        <w:t>,</w:t>
      </w:r>
      <w:r>
        <w:t xml:space="preserve"> and in greater detail in the Joint Waiver Order,</w:t>
      </w:r>
      <w:r>
        <w:rPr>
          <w:rStyle w:val="FootnoteReference"/>
        </w:rPr>
        <w:footnoteReference w:id="24"/>
      </w:r>
      <w:r>
        <w:t xml:space="preserve"> </w:t>
      </w:r>
      <w:r w:rsidRPr="00095468">
        <w:t xml:space="preserve">we find that a waiver of these rules is warranted under section 1.925, subject to the </w:t>
      </w:r>
      <w:r>
        <w:t>Waiver Applicants’</w:t>
      </w:r>
      <w:r w:rsidRPr="00095468">
        <w:t xml:space="preserve"> commitment</w:t>
      </w:r>
      <w:r w:rsidR="00D079E9">
        <w:t>s</w:t>
      </w:r>
      <w:r w:rsidRPr="00095468">
        <w:t xml:space="preserve"> to adhere to the technical parameters </w:t>
      </w:r>
      <w:r>
        <w:t>and</w:t>
      </w:r>
      <w:r w:rsidRPr="00095468">
        <w:t xml:space="preserve"> conditions imposed by </w:t>
      </w:r>
      <w:r>
        <w:t>the Joint Waiver</w:t>
      </w:r>
      <w:r w:rsidRPr="00095468">
        <w:t xml:space="preserve"> Order</w:t>
      </w:r>
      <w:r w:rsidR="0014404D">
        <w:t>, as modified</w:t>
      </w:r>
      <w:r w:rsidR="00AC31A3">
        <w:t xml:space="preserve"> by the Waiver Modification Order</w:t>
      </w:r>
      <w:r w:rsidR="0014404D">
        <w:t>,</w:t>
      </w:r>
      <w:r w:rsidRPr="00095468">
        <w:t xml:space="preserve"> which are intended to protect DSRC and federal incumbents from potentially harmful interference caused by C-V2X operations in the upper 30 megahertz of the 5.9 GHz band.  </w:t>
      </w:r>
    </w:p>
    <w:p w:rsidR="002A2E9D" w:rsidP="00C13874" w14:paraId="60FB8FFE" w14:textId="2B5F9468">
      <w:pPr>
        <w:pStyle w:val="ParaNum"/>
        <w:numPr>
          <w:ilvl w:val="0"/>
          <w:numId w:val="0"/>
        </w:numPr>
        <w:tabs>
          <w:tab w:val="clear" w:pos="1440"/>
        </w:tabs>
        <w:ind w:firstLine="720"/>
        <w:jc w:val="left"/>
      </w:pPr>
      <w:r w:rsidRPr="00095468">
        <w:t>We find that, pursuant to section 1.925(b)(3)(i) of the Commission’s rules, the underlying purpose of the rules governing ITS operations would not be served by denying the</w:t>
      </w:r>
      <w:r>
        <w:t xml:space="preserve">se requests </w:t>
      </w:r>
      <w:r w:rsidRPr="00095468">
        <w:t>and thereby delaying or precluding C-V2X operations in the upper 30 megahertz of the 5.9 GHz band.</w:t>
      </w:r>
      <w:r>
        <w:rPr>
          <w:rStyle w:val="FootnoteReference"/>
        </w:rPr>
        <w:footnoteReference w:id="25"/>
      </w:r>
      <w:r w:rsidRPr="00095468">
        <w:t xml:space="preserve">  </w:t>
      </w:r>
      <w:r>
        <w:t xml:space="preserve">Furthermore, we find that a waiver in this case will facilitate early C-V2X deployment as the Commission envisioned </w:t>
      </w:r>
      <w:r>
        <w:t>in</w:t>
      </w:r>
      <w:r w:rsidRPr="00095468">
        <w:t xml:space="preserve"> the </w:t>
      </w:r>
      <w:r w:rsidRPr="00095468">
        <w:rPr>
          <w:i/>
          <w:iCs/>
        </w:rPr>
        <w:t>5.9 GHz First R&amp;O</w:t>
      </w:r>
      <w:r>
        <w:t>.</w:t>
      </w:r>
      <w:r>
        <w:rPr>
          <w:rStyle w:val="FootnoteReference"/>
        </w:rPr>
        <w:footnoteReference w:id="26"/>
      </w:r>
      <w:r>
        <w:t xml:space="preserve">  Granting the Waiver Applicants’ requests serves the public interest by encouraging</w:t>
      </w:r>
      <w:r w:rsidRPr="00095468">
        <w:t xml:space="preserve"> widespread deployment of ITS operations using </w:t>
      </w:r>
      <w:r w:rsidR="00F31C31">
        <w:t>C-</w:t>
      </w:r>
      <w:r w:rsidRPr="00095468">
        <w:t xml:space="preserve">V2X technology.  </w:t>
      </w:r>
      <w:r>
        <w:t>“</w:t>
      </w:r>
      <w:r w:rsidRPr="00095468">
        <w:t xml:space="preserve">To deny the </w:t>
      </w:r>
      <w:r>
        <w:t>[requests]</w:t>
      </w:r>
      <w:r w:rsidRPr="00095468">
        <w:t xml:space="preserve"> and insist on application of the current DSRC-based rules would be contrary to the public interest as it would further entrench the DSRC technology the Commission determined needs to be replaced and preclude rapid deployment of the technology the Commission has identified as best suited to promote the most efficient and effective use of the spectrum.</w:t>
      </w:r>
      <w:r>
        <w:t>”</w:t>
      </w:r>
      <w:r>
        <w:rPr>
          <w:rStyle w:val="FootnoteReference"/>
        </w:rPr>
        <w:footnoteReference w:id="27"/>
      </w:r>
      <w:r w:rsidRPr="00095468">
        <w:t xml:space="preserve">  </w:t>
      </w:r>
      <w:r>
        <w:t>We further find</w:t>
      </w:r>
      <w:r w:rsidRPr="00095468">
        <w:t xml:space="preserve"> that permitting C-V2X technologies to deploy now, prior to adoption of final C-V2X rules, will serve the public interest by advancing vehicular safety and promoting interoperability.</w:t>
      </w:r>
      <w:r>
        <w:rPr>
          <w:rStyle w:val="FootnoteReference"/>
        </w:rPr>
        <w:footnoteReference w:id="28"/>
      </w:r>
      <w:r w:rsidRPr="00095468">
        <w:t xml:space="preserve">  </w:t>
      </w:r>
    </w:p>
    <w:p w:rsidR="002A2E9D" w:rsidP="00C13874" w14:paraId="2DCFFAC9" w14:textId="3D2251B7">
      <w:pPr>
        <w:pStyle w:val="ParaNum"/>
        <w:numPr>
          <w:ilvl w:val="0"/>
          <w:numId w:val="0"/>
        </w:numPr>
        <w:tabs>
          <w:tab w:val="clear" w:pos="1440"/>
        </w:tabs>
        <w:ind w:firstLine="720"/>
        <w:jc w:val="left"/>
      </w:pPr>
      <w:r>
        <w:t xml:space="preserve">Based on the record before us, we grant a waiver, to the extent necessary, to each of the Waiver Applicants listed in Appendix A for C-V2X deployments specified </w:t>
      </w:r>
      <w:r w:rsidR="000E0AB2">
        <w:t>below</w:t>
      </w:r>
      <w:r>
        <w:t>, with conditions to protect incumbent licensees and interests.  As to the named Waiver Applicants, w</w:t>
      </w:r>
      <w:r w:rsidRPr="00095468">
        <w:t xml:space="preserve">e waive the Part 90 and 95 rule requirements that mandate DSRC technology in favor of C-V2X operation pursuant to the conditions articulated </w:t>
      </w:r>
      <w:r w:rsidR="00352CD5">
        <w:t xml:space="preserve">in Section </w:t>
      </w:r>
      <w:r w:rsidR="00192DE5">
        <w:t xml:space="preserve">II.B. </w:t>
      </w:r>
      <w:r w:rsidRPr="00095468">
        <w:t>below</w:t>
      </w:r>
      <w:r>
        <w:t>.</w:t>
      </w:r>
      <w:r>
        <w:rPr>
          <w:rStyle w:val="FootnoteReference"/>
        </w:rPr>
        <w:footnoteReference w:id="29"/>
      </w:r>
      <w:r w:rsidRPr="00095468">
        <w:t xml:space="preserve">  </w:t>
      </w:r>
    </w:p>
    <w:p w:rsidR="00762EF9" w:rsidP="00C13874" w14:paraId="37DBB95F" w14:textId="3C141278">
      <w:pPr>
        <w:pStyle w:val="ParaNum"/>
        <w:numPr>
          <w:ilvl w:val="0"/>
          <w:numId w:val="0"/>
        </w:numPr>
        <w:tabs>
          <w:tab w:val="clear" w:pos="1440"/>
        </w:tabs>
        <w:ind w:firstLine="720"/>
        <w:jc w:val="left"/>
      </w:pPr>
      <w:r w:rsidRPr="006F4858">
        <w:rPr>
          <w:i/>
          <w:iCs/>
        </w:rPr>
        <w:t xml:space="preserve">State, </w:t>
      </w:r>
      <w:r w:rsidRPr="006F4858" w:rsidR="00EA0B91">
        <w:rPr>
          <w:i/>
          <w:iCs/>
        </w:rPr>
        <w:t>local, and municipal transportation authorities</w:t>
      </w:r>
      <w:r w:rsidR="00EA0B91">
        <w:t xml:space="preserve">.  </w:t>
      </w:r>
      <w:r w:rsidRPr="00095468" w:rsidR="002A2E9D">
        <w:t xml:space="preserve">Specifically, we grant to the </w:t>
      </w:r>
      <w:r w:rsidR="002A2E9D">
        <w:t>state, local, and municipal transportation authorities listed in Appendix A (Colorado, Florida, Georgia, Hawaii,</w:t>
      </w:r>
      <w:r w:rsidR="00C52A07">
        <w:t xml:space="preserve"> Maryland,</w:t>
      </w:r>
      <w:r w:rsidR="002A2E9D">
        <w:t xml:space="preserve"> Michigan, </w:t>
      </w:r>
      <w:r w:rsidR="000D5625">
        <w:t xml:space="preserve">Nebraska, </w:t>
      </w:r>
      <w:r w:rsidR="002A2E9D">
        <w:t xml:space="preserve">New Jersey, Ohio, Oregon, Texas, Wyoming, </w:t>
      </w:r>
      <w:r w:rsidR="002A2E9D">
        <w:t xml:space="preserve">the City </w:t>
      </w:r>
      <w:r w:rsidR="002A2E9D">
        <w:t xml:space="preserve">and County of Denver, Macomb County, and the Regents of the University of Michigan) </w:t>
      </w:r>
      <w:r w:rsidRPr="00095468" w:rsidR="002A2E9D">
        <w:t>waiver of 47 CFR §§ 90.375 (governing RSU license areas, communication zones</w:t>
      </w:r>
      <w:r w:rsidR="007743FA">
        <w:t>,</w:t>
      </w:r>
      <w:r w:rsidRPr="00095468" w:rsidR="002A2E9D">
        <w:t xml:space="preserve"> and registrations) and 90.377 (RSU frequencies available, maximum power limit, antenna height, and priority communications).  </w:t>
      </w:r>
    </w:p>
    <w:p w:rsidR="00762EF9" w:rsidP="00C13874" w14:paraId="02CE3B4D" w14:textId="0983EAA4">
      <w:pPr>
        <w:pStyle w:val="ParaNum"/>
        <w:numPr>
          <w:ilvl w:val="0"/>
          <w:numId w:val="0"/>
        </w:numPr>
        <w:tabs>
          <w:tab w:val="clear" w:pos="1440"/>
        </w:tabs>
        <w:ind w:firstLine="720"/>
        <w:jc w:val="left"/>
      </w:pPr>
      <w:r w:rsidRPr="00581F24">
        <w:rPr>
          <w:i/>
          <w:iCs/>
        </w:rPr>
        <w:t>State, local, and municipal transportation authorities</w:t>
      </w:r>
      <w:r>
        <w:rPr>
          <w:i/>
          <w:iCs/>
        </w:rPr>
        <w:t>, and equipment manufactu</w:t>
      </w:r>
      <w:r w:rsidR="002065D9">
        <w:rPr>
          <w:i/>
          <w:iCs/>
        </w:rPr>
        <w:t>r</w:t>
      </w:r>
      <w:r>
        <w:rPr>
          <w:i/>
          <w:iCs/>
        </w:rPr>
        <w:t>ers</w:t>
      </w:r>
      <w:r>
        <w:t>.</w:t>
      </w:r>
      <w:r w:rsidRPr="00095468">
        <w:t xml:space="preserve"> </w:t>
      </w:r>
      <w:r>
        <w:t xml:space="preserve"> </w:t>
      </w:r>
      <w:r w:rsidRPr="00095468" w:rsidR="002A2E9D">
        <w:t xml:space="preserve">We grant to the </w:t>
      </w:r>
      <w:r w:rsidR="002A2E9D">
        <w:t>state, local</w:t>
      </w:r>
      <w:r w:rsidR="00B67781">
        <w:t>,</w:t>
      </w:r>
      <w:r w:rsidR="002A2E9D">
        <w:t xml:space="preserve"> and municipal transportation departments listed in Appendix A as well as the</w:t>
      </w:r>
      <w:r w:rsidRPr="00095468" w:rsidR="002A2E9D">
        <w:t xml:space="preserve"> equipment manufacturers</w:t>
      </w:r>
      <w:r w:rsidR="002A2E9D">
        <w:t xml:space="preserve"> listed in Appendix A</w:t>
      </w:r>
      <w:r w:rsidRPr="00095468" w:rsidR="002A2E9D">
        <w:t xml:space="preserve"> (</w:t>
      </w:r>
      <w:r w:rsidR="002A2E9D">
        <w:t>Sonomore</w:t>
      </w:r>
      <w:r w:rsidR="002A2E9D">
        <w:t>, Inc. d/b/a P3Mobility and Connex2X, LLC</w:t>
      </w:r>
      <w:r w:rsidRPr="00095468" w:rsidR="002A2E9D">
        <w:t xml:space="preserve">) waiver of 47 CFR §§ 90.379 (governing Technical Standards for RSUs).  </w:t>
      </w:r>
    </w:p>
    <w:p w:rsidR="002A2E9D" w:rsidP="005F509C" w14:paraId="1ED4BFFF" w14:textId="084386F3">
      <w:pPr>
        <w:pStyle w:val="ParaNum"/>
        <w:widowControl/>
        <w:numPr>
          <w:ilvl w:val="0"/>
          <w:numId w:val="0"/>
        </w:numPr>
        <w:tabs>
          <w:tab w:val="clear" w:pos="1440"/>
        </w:tabs>
        <w:ind w:firstLine="720"/>
        <w:jc w:val="left"/>
      </w:pPr>
      <w:r w:rsidRPr="006F4858">
        <w:rPr>
          <w:i/>
          <w:iCs/>
        </w:rPr>
        <w:t xml:space="preserve">Equipment </w:t>
      </w:r>
      <w:r w:rsidRPr="006F4858" w:rsidR="003F76CA">
        <w:rPr>
          <w:i/>
          <w:iCs/>
        </w:rPr>
        <w:t>manufacturers</w:t>
      </w:r>
      <w:r w:rsidR="003F76CA">
        <w:t>.  W</w:t>
      </w:r>
      <w:r w:rsidRPr="00095468">
        <w:t>e grant to the equipment manufacturers (</w:t>
      </w:r>
      <w:r>
        <w:t>Sonomore</w:t>
      </w:r>
      <w:r>
        <w:t>, Inc. d/b/a P3Mobility and Connex2X, LLC</w:t>
      </w:r>
      <w:r w:rsidRPr="00095468">
        <w:t xml:space="preserve">) waiver of 47 CFR §§ 95.3163 (providing that DSRC </w:t>
      </w:r>
      <w:r w:rsidR="5C4B0149">
        <w:t>OBUs</w:t>
      </w:r>
      <w:r w:rsidRPr="00095468">
        <w:t xml:space="preserve"> are permitted to operate in the upper 30 megahertz of the 5.9 GHz band), 95.3167 (maximum power limit for DSRC OBUs), and 95.3189 (technical standard for DSRC OBUs).</w:t>
      </w:r>
    </w:p>
    <w:p w:rsidR="002A2E9D" w:rsidRPr="00792110" w:rsidP="003B15C2" w14:paraId="62D65E58" w14:textId="6DAEBAAB">
      <w:pPr>
        <w:pStyle w:val="Heading2"/>
      </w:pPr>
      <w:r w:rsidRPr="00792110">
        <w:t xml:space="preserve">Waiver Grant </w:t>
      </w:r>
      <w:r w:rsidRPr="001F5957">
        <w:t>Conditions</w:t>
      </w:r>
      <w:r w:rsidRPr="00792110">
        <w:t>.</w:t>
      </w:r>
    </w:p>
    <w:p w:rsidR="002A2E9D" w:rsidRPr="00792110" w:rsidP="00C13874" w14:paraId="54EE4576" w14:textId="38CFC873">
      <w:pPr>
        <w:pStyle w:val="ParaNum"/>
        <w:numPr>
          <w:ilvl w:val="0"/>
          <w:numId w:val="0"/>
        </w:numPr>
        <w:tabs>
          <w:tab w:val="clear" w:pos="1440"/>
        </w:tabs>
        <w:ind w:firstLine="720"/>
        <w:jc w:val="left"/>
      </w:pPr>
      <w:r>
        <w:t>Consistent with the technical requirements and restrictions imposed by the Joint Waiver Order,</w:t>
      </w:r>
      <w:r>
        <w:rPr>
          <w:rStyle w:val="FootnoteReference"/>
        </w:rPr>
        <w:footnoteReference w:id="30"/>
      </w:r>
      <w:r>
        <w:t xml:space="preserve"> </w:t>
      </w:r>
      <w:r>
        <w:t>as modified by the Waiver Modification Order</w:t>
      </w:r>
      <w:r w:rsidR="00C3053D">
        <w:t>,</w:t>
      </w:r>
      <w:r>
        <w:rPr>
          <w:rStyle w:val="FootnoteReference"/>
        </w:rPr>
        <w:footnoteReference w:id="31"/>
      </w:r>
      <w:r w:rsidR="00C3053D">
        <w:t xml:space="preserve"> t</w:t>
      </w:r>
      <w:r>
        <w:t>his waiver grant is subject to the technical parameters and conditions set forth below.</w:t>
      </w:r>
    </w:p>
    <w:p w:rsidR="006B7B2F" w:rsidP="006B7B2F" w14:paraId="19100DF3" w14:textId="0DD615F4">
      <w:pPr>
        <w:pStyle w:val="ParaNum"/>
        <w:numPr>
          <w:ilvl w:val="0"/>
          <w:numId w:val="0"/>
        </w:numPr>
        <w:tabs>
          <w:tab w:val="clear" w:pos="1440"/>
        </w:tabs>
        <w:ind w:firstLine="720"/>
        <w:jc w:val="left"/>
      </w:pPr>
      <w:r w:rsidRPr="004F21D6">
        <w:rPr>
          <w:i/>
          <w:iCs/>
        </w:rPr>
        <w:t xml:space="preserve">Scope of the Waiver.  </w:t>
      </w:r>
      <w:r w:rsidRPr="004F21D6">
        <w:t xml:space="preserve">With respect to ITS licensees, this waiver is limited to the state, local, and municipal transportation departments listed in Appendix A to allow them to deploy C-V2X infrastructure that satisfies all conditions of this Order, including RSUs and OBUs, within their respective jurisdictions.  The geographic area of the waiver is limited to the area encompassing the legal jurisdictions of the listed states, localities, and municipalities. </w:t>
      </w:r>
    </w:p>
    <w:p w:rsidR="006B7B2F" w:rsidP="007071F6" w14:paraId="04EC9613" w14:textId="77777777">
      <w:pPr>
        <w:pStyle w:val="ParaNum"/>
        <w:numPr>
          <w:ilvl w:val="0"/>
          <w:numId w:val="0"/>
        </w:numPr>
        <w:tabs>
          <w:tab w:val="clear" w:pos="1440"/>
        </w:tabs>
        <w:ind w:firstLine="720"/>
        <w:jc w:val="left"/>
      </w:pPr>
      <w:r>
        <w:t>All operations authorized pursuant to this waiver are limited to transportation and vehicle safety-related communications.</w:t>
      </w:r>
    </w:p>
    <w:p w:rsidR="006B7B2F" w:rsidP="007071F6" w14:paraId="3958E637" w14:textId="456DB5A6">
      <w:pPr>
        <w:pStyle w:val="ParaNum"/>
        <w:numPr>
          <w:ilvl w:val="0"/>
          <w:numId w:val="0"/>
        </w:numPr>
        <w:tabs>
          <w:tab w:val="clear" w:pos="1440"/>
        </w:tabs>
        <w:ind w:firstLine="720"/>
        <w:jc w:val="left"/>
      </w:pPr>
      <w:r>
        <w:t>All C-V2X operations permitted pursuant to this waiver are limited to the 5905</w:t>
      </w:r>
      <w:r w:rsidR="00405632">
        <w:t>–</w:t>
      </w:r>
      <w:r>
        <w:t>5925 MHz frequencies using a 20-megahertz channel.</w:t>
      </w:r>
    </w:p>
    <w:p w:rsidR="007C4F59" w:rsidP="007C4F59" w14:paraId="7CBA32E0" w14:textId="77777777">
      <w:pPr>
        <w:pStyle w:val="ParaNum"/>
        <w:numPr>
          <w:ilvl w:val="0"/>
          <w:numId w:val="0"/>
        </w:numPr>
        <w:tabs>
          <w:tab w:val="clear" w:pos="1440"/>
        </w:tabs>
        <w:ind w:firstLine="720"/>
        <w:jc w:val="left"/>
      </w:pPr>
      <w:r>
        <w:t xml:space="preserve">With respect to equipment manufacturers, this waiver is limited to </w:t>
      </w:r>
      <w:r w:rsidR="001F12E0">
        <w:t>P3Mobility and C</w:t>
      </w:r>
      <w:r w:rsidR="00CC5F81">
        <w:t>o</w:t>
      </w:r>
      <w:r w:rsidR="001F12E0">
        <w:t>nnex2X</w:t>
      </w:r>
      <w:r w:rsidR="00DD25BE">
        <w:t xml:space="preserve"> and </w:t>
      </w:r>
      <w:r w:rsidR="00CC5F81">
        <w:t xml:space="preserve"> </w:t>
      </w:r>
      <w:r>
        <w:t xml:space="preserve">provides </w:t>
      </w:r>
      <w:r w:rsidR="00DD25BE">
        <w:t>them</w:t>
      </w:r>
      <w:r>
        <w:t xml:space="preserve"> eligibility to obtain the necessary equipment certifications for their RSUs and OBUs.  Equipment authorization requirements continue to apply to all RSUs and OBUs under this waiver order.</w:t>
      </w:r>
      <w:r>
        <w:rPr>
          <w:rStyle w:val="FootnoteReference"/>
        </w:rPr>
        <w:footnoteReference w:id="32"/>
      </w:r>
      <w:r>
        <w:t xml:space="preserve">  Any application for equipment authorization will need to include a copy of this waiver order.</w:t>
      </w:r>
    </w:p>
    <w:p w:rsidR="00A11A27" w:rsidP="005F509C" w14:paraId="762468BF" w14:textId="5169A1F5">
      <w:pPr>
        <w:pStyle w:val="ParaNum"/>
        <w:widowControl/>
        <w:numPr>
          <w:ilvl w:val="0"/>
          <w:numId w:val="0"/>
        </w:numPr>
        <w:tabs>
          <w:tab w:val="clear" w:pos="1440"/>
        </w:tabs>
        <w:ind w:firstLine="720"/>
        <w:jc w:val="left"/>
      </w:pPr>
      <w:r>
        <w:t>C-V2X operations under this waiver order are authorized on a secondary basis to the Federal radiolocation service operating on a primary basis within the 5.895</w:t>
      </w:r>
      <w:r w:rsidR="00405632">
        <w:t>–</w:t>
      </w:r>
      <w:r>
        <w:t xml:space="preserve">5.925 GHz band and must protect these Federal operations from harmful interference.  The NTIA reviewed the technical parameters </w:t>
      </w:r>
      <w:r w:rsidR="000257AF">
        <w:t>adopted in the Joint Waiver Order,</w:t>
      </w:r>
      <w:r>
        <w:rPr>
          <w:rStyle w:val="FootnoteReference"/>
        </w:rPr>
        <w:footnoteReference w:id="33"/>
      </w:r>
      <w:r w:rsidR="000257AF">
        <w:t xml:space="preserve"> as modified by the Waiver Modification Order,</w:t>
      </w:r>
      <w:r>
        <w:rPr>
          <w:rStyle w:val="FootnoteReference"/>
        </w:rPr>
        <w:footnoteReference w:id="34"/>
      </w:r>
      <w:r w:rsidR="000257AF">
        <w:t xml:space="preserve"> and </w:t>
      </w:r>
      <w:r>
        <w:t>agrees that spectrum usage should be limited to 5905</w:t>
      </w:r>
      <w:r w:rsidR="00405632">
        <w:t>–</w:t>
      </w:r>
      <w:r>
        <w:t>5925 MHz and that EIRP for both OBUs and RSUs be limited to 33 dBm.</w:t>
      </w:r>
      <w:r>
        <w:rPr>
          <w:rStyle w:val="FootnoteReference"/>
        </w:rPr>
        <w:footnoteReference w:id="35"/>
      </w:r>
      <w:r>
        <w:t xml:space="preserve">  In addition, “to adequately protect the primary 5.9 GHz band for federal radiolocation services during this waiver period,” NTIA also requests that C-V2X OBUs be limited to an EIRP of 27 dBm at ± 5 degrees in elevation from the horizontal plane.</w:t>
      </w:r>
      <w:r>
        <w:rPr>
          <w:rStyle w:val="FootnoteReference"/>
        </w:rPr>
        <w:footnoteReference w:id="36"/>
      </w:r>
      <w:r>
        <w:t xml:space="preserve">  </w:t>
      </w:r>
      <w:r w:rsidR="00B86B65">
        <w:t>P</w:t>
      </w:r>
      <w:r w:rsidR="00806CAE">
        <w:t xml:space="preserve">ursuant to their supplemental requests </w:t>
      </w:r>
      <w:r w:rsidR="009863FD">
        <w:t xml:space="preserve">to abide by the same grant conditions outlined in the Joint Waiver Order, </w:t>
      </w:r>
      <w:r w:rsidR="000921C2">
        <w:t xml:space="preserve">as modified, </w:t>
      </w:r>
      <w:r w:rsidR="00CB259A">
        <w:t xml:space="preserve">each of the Waiver Applicants have agreed to </w:t>
      </w:r>
      <w:r w:rsidR="009C44AD">
        <w:t xml:space="preserve">these </w:t>
      </w:r>
      <w:r w:rsidR="00CB259A">
        <w:t>condition</w:t>
      </w:r>
      <w:r w:rsidR="009C44AD">
        <w:t>s</w:t>
      </w:r>
      <w:r w:rsidR="00CB259A">
        <w:t>.</w:t>
      </w:r>
      <w:r>
        <w:rPr>
          <w:rStyle w:val="FootnoteReference"/>
        </w:rPr>
        <w:footnoteReference w:id="37"/>
      </w:r>
    </w:p>
    <w:p w:rsidR="002A2E9D" w:rsidP="00C13874" w14:paraId="121273CE" w14:textId="79F6F37D">
      <w:pPr>
        <w:pStyle w:val="ParaNum"/>
        <w:numPr>
          <w:ilvl w:val="0"/>
          <w:numId w:val="0"/>
        </w:numPr>
        <w:tabs>
          <w:tab w:val="clear" w:pos="1440"/>
        </w:tabs>
        <w:ind w:firstLine="720"/>
        <w:jc w:val="left"/>
      </w:pPr>
      <w:r w:rsidRPr="00077ABE">
        <w:rPr>
          <w:i/>
          <w:iCs/>
        </w:rPr>
        <w:t>Technical Requirements</w:t>
      </w:r>
      <w:r>
        <w:rPr>
          <w:i/>
          <w:iCs/>
        </w:rPr>
        <w:t xml:space="preserve"> and Restrictions</w:t>
      </w:r>
      <w:r w:rsidRPr="0082471A">
        <w:rPr>
          <w:i/>
          <w:iCs/>
        </w:rPr>
        <w:t>.</w:t>
      </w:r>
      <w:r>
        <w:t xml:space="preserve">  </w:t>
      </w:r>
      <w:r w:rsidR="008D292E">
        <w:t>A</w:t>
      </w:r>
      <w:r>
        <w:t>ll RSUs and OBUs authorized under this O</w:t>
      </w:r>
      <w:r w:rsidRPr="009F01C8">
        <w:t>rder</w:t>
      </w:r>
      <w:r>
        <w:t xml:space="preserve"> must operate using the technical characteristics and operating parameters, including power, height, and out-of-band emission limits, specified below, in order to ensure compliance with all existing technical rules applicable to ITS operations other than the requirement to use DSRC-based technology:</w:t>
      </w:r>
    </w:p>
    <w:p w:rsidR="002A2E9D" w:rsidRPr="00A13952" w:rsidP="00A13952" w14:paraId="68F16D3E" w14:textId="77777777">
      <w:pPr>
        <w:keepNext/>
        <w:tabs>
          <w:tab w:val="left" w:pos="4130"/>
        </w:tabs>
        <w:jc w:val="center"/>
        <w:rPr>
          <w:b/>
          <w:bCs/>
          <w:sz w:val="22"/>
          <w:szCs w:val="22"/>
        </w:rPr>
      </w:pPr>
      <w:r w:rsidRPr="00A13952">
        <w:rPr>
          <w:b/>
          <w:bCs/>
          <w:sz w:val="22"/>
          <w:szCs w:val="22"/>
        </w:rPr>
        <w:t>C-V2X OBU and RSU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885"/>
        <w:gridCol w:w="3338"/>
        <w:gridCol w:w="2425"/>
      </w:tblGrid>
      <w:tr w14:paraId="0103E92F" w14:textId="77777777" w:rsidTr="00BF11A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0" w:type="auto"/>
            <w:shd w:val="clear" w:color="auto" w:fill="auto"/>
            <w:vAlign w:val="center"/>
          </w:tcPr>
          <w:p w:rsidR="002A2E9D" w:rsidRPr="00A13952" w:rsidP="00BF11A6" w14:paraId="10F8C156" w14:textId="77777777">
            <w:pPr>
              <w:tabs>
                <w:tab w:val="left" w:pos="4130"/>
              </w:tabs>
              <w:jc w:val="center"/>
              <w:rPr>
                <w:b/>
                <w:bCs/>
                <w:sz w:val="22"/>
                <w:szCs w:val="22"/>
              </w:rPr>
            </w:pPr>
            <w:r w:rsidRPr="00A13952">
              <w:rPr>
                <w:rFonts w:eastAsia="Calibri"/>
                <w:b/>
                <w:bCs/>
                <w:sz w:val="22"/>
                <w:szCs w:val="22"/>
              </w:rPr>
              <w:t>Frequency Range</w:t>
            </w:r>
          </w:p>
        </w:tc>
        <w:tc>
          <w:tcPr>
            <w:tcW w:w="0" w:type="auto"/>
            <w:shd w:val="clear" w:color="auto" w:fill="auto"/>
            <w:vAlign w:val="center"/>
          </w:tcPr>
          <w:p w:rsidR="002A2E9D" w:rsidRPr="00A13952" w:rsidP="00BF11A6" w14:paraId="321DC39B" w14:textId="77777777">
            <w:pPr>
              <w:tabs>
                <w:tab w:val="left" w:pos="4130"/>
              </w:tabs>
              <w:jc w:val="center"/>
              <w:rPr>
                <w:b/>
                <w:bCs/>
                <w:sz w:val="22"/>
                <w:szCs w:val="22"/>
              </w:rPr>
            </w:pPr>
            <w:r w:rsidRPr="00A13952">
              <w:rPr>
                <w:rFonts w:eastAsia="Calibri"/>
                <w:b/>
                <w:bCs/>
                <w:sz w:val="22"/>
                <w:szCs w:val="22"/>
              </w:rPr>
              <w:t>Channel Bandwidth</w:t>
            </w:r>
          </w:p>
        </w:tc>
        <w:tc>
          <w:tcPr>
            <w:tcW w:w="3338" w:type="dxa"/>
            <w:shd w:val="clear" w:color="auto" w:fill="auto"/>
            <w:vAlign w:val="center"/>
          </w:tcPr>
          <w:p w:rsidR="002A2E9D" w:rsidRPr="00A13952" w:rsidP="00BF11A6" w14:paraId="3AE5D019" w14:textId="77777777">
            <w:pPr>
              <w:tabs>
                <w:tab w:val="left" w:pos="4130"/>
              </w:tabs>
              <w:jc w:val="center"/>
              <w:rPr>
                <w:b/>
                <w:bCs/>
                <w:sz w:val="22"/>
                <w:szCs w:val="22"/>
              </w:rPr>
            </w:pPr>
            <w:r w:rsidRPr="00A13952">
              <w:rPr>
                <w:rFonts w:eastAsia="Calibri"/>
                <w:b/>
                <w:bCs/>
                <w:sz w:val="22"/>
                <w:szCs w:val="22"/>
              </w:rPr>
              <w:t>OBU Limits</w:t>
            </w:r>
          </w:p>
        </w:tc>
        <w:tc>
          <w:tcPr>
            <w:tcW w:w="2425" w:type="dxa"/>
            <w:shd w:val="clear" w:color="auto" w:fill="auto"/>
            <w:vAlign w:val="center"/>
          </w:tcPr>
          <w:p w:rsidR="002A2E9D" w:rsidRPr="00A13952" w:rsidP="00BF11A6" w14:paraId="1D6D312A" w14:textId="77777777">
            <w:pPr>
              <w:tabs>
                <w:tab w:val="left" w:pos="4130"/>
              </w:tabs>
              <w:jc w:val="center"/>
              <w:rPr>
                <w:b/>
                <w:bCs/>
                <w:sz w:val="22"/>
                <w:szCs w:val="22"/>
              </w:rPr>
            </w:pPr>
            <w:r w:rsidRPr="00A13952">
              <w:rPr>
                <w:rFonts w:eastAsia="Calibri"/>
                <w:b/>
                <w:bCs/>
                <w:sz w:val="22"/>
                <w:szCs w:val="22"/>
              </w:rPr>
              <w:t>RSU EIRP Limit</w:t>
            </w:r>
          </w:p>
        </w:tc>
      </w:tr>
      <w:tr w14:paraId="67A6F660" w14:textId="77777777" w:rsidTr="00BF11A6">
        <w:tblPrEx>
          <w:tblW w:w="0" w:type="auto"/>
          <w:tblLook w:val="04A0"/>
        </w:tblPrEx>
        <w:tc>
          <w:tcPr>
            <w:tcW w:w="0" w:type="auto"/>
            <w:shd w:val="clear" w:color="auto" w:fill="auto"/>
            <w:vAlign w:val="center"/>
          </w:tcPr>
          <w:p w:rsidR="002A2E9D" w:rsidRPr="00A13952" w:rsidP="00BF11A6" w14:paraId="0E156A26" w14:textId="606BD158">
            <w:pPr>
              <w:tabs>
                <w:tab w:val="left" w:pos="4130"/>
              </w:tabs>
              <w:rPr>
                <w:sz w:val="22"/>
                <w:szCs w:val="22"/>
              </w:rPr>
            </w:pPr>
            <w:r w:rsidRPr="00A13952">
              <w:rPr>
                <w:rFonts w:eastAsia="Calibri"/>
                <w:sz w:val="22"/>
                <w:szCs w:val="22"/>
              </w:rPr>
              <w:t>5905</w:t>
            </w:r>
            <w:r w:rsidR="00405632">
              <w:rPr>
                <w:rFonts w:eastAsia="Calibri"/>
                <w:sz w:val="22"/>
                <w:szCs w:val="22"/>
              </w:rPr>
              <w:t>–</w:t>
            </w:r>
            <w:r w:rsidRPr="00A13952">
              <w:rPr>
                <w:rFonts w:eastAsia="Calibri"/>
                <w:sz w:val="22"/>
                <w:szCs w:val="22"/>
              </w:rPr>
              <w:t>5925 MHz</w:t>
            </w:r>
          </w:p>
        </w:tc>
        <w:tc>
          <w:tcPr>
            <w:tcW w:w="0" w:type="auto"/>
            <w:shd w:val="clear" w:color="auto" w:fill="auto"/>
            <w:vAlign w:val="center"/>
          </w:tcPr>
          <w:p w:rsidR="002A2E9D" w:rsidRPr="00A13952" w:rsidP="00BF11A6" w14:paraId="6695DE83" w14:textId="77777777">
            <w:pPr>
              <w:tabs>
                <w:tab w:val="left" w:pos="4130"/>
              </w:tabs>
              <w:rPr>
                <w:sz w:val="22"/>
                <w:szCs w:val="22"/>
              </w:rPr>
            </w:pPr>
            <w:r w:rsidRPr="00A13952">
              <w:rPr>
                <w:rFonts w:eastAsia="Calibri"/>
                <w:sz w:val="22"/>
                <w:szCs w:val="22"/>
              </w:rPr>
              <w:t>20 MHz</w:t>
            </w:r>
          </w:p>
        </w:tc>
        <w:tc>
          <w:tcPr>
            <w:tcW w:w="3338" w:type="dxa"/>
            <w:shd w:val="clear" w:color="auto" w:fill="auto"/>
            <w:vAlign w:val="center"/>
          </w:tcPr>
          <w:p w:rsidR="002A2E9D" w:rsidRPr="00A13952" w:rsidP="00BF11A6" w14:paraId="1E864177" w14:textId="77777777">
            <w:pPr>
              <w:tabs>
                <w:tab w:val="left" w:pos="4130"/>
              </w:tabs>
              <w:rPr>
                <w:sz w:val="22"/>
                <w:szCs w:val="22"/>
              </w:rPr>
            </w:pPr>
            <w:r w:rsidRPr="00A13952">
              <w:rPr>
                <w:rFonts w:eastAsia="Calibri"/>
                <w:sz w:val="22"/>
                <w:szCs w:val="22"/>
              </w:rPr>
              <w:t>33 dBm EIRP*; 27dBm EIRP within 5 degrees of horizontal</w:t>
            </w:r>
          </w:p>
        </w:tc>
        <w:tc>
          <w:tcPr>
            <w:tcW w:w="2425" w:type="dxa"/>
            <w:shd w:val="clear" w:color="auto" w:fill="auto"/>
            <w:vAlign w:val="center"/>
          </w:tcPr>
          <w:p w:rsidR="002A2E9D" w:rsidRPr="00A13952" w:rsidP="00BF11A6" w14:paraId="1F8A2363" w14:textId="77777777">
            <w:pPr>
              <w:rPr>
                <w:sz w:val="22"/>
                <w:szCs w:val="22"/>
              </w:rPr>
            </w:pPr>
            <w:r w:rsidRPr="00A13952">
              <w:rPr>
                <w:sz w:val="22"/>
                <w:szCs w:val="22"/>
              </w:rPr>
              <w:t>33 dBm EIRP</w:t>
            </w:r>
          </w:p>
          <w:p w:rsidR="002A2E9D" w:rsidRPr="00A13952" w:rsidP="00BF11A6" w14:paraId="117C4670" w14:textId="77777777">
            <w:pPr>
              <w:tabs>
                <w:tab w:val="left" w:pos="4130"/>
              </w:tabs>
              <w:rPr>
                <w:sz w:val="22"/>
                <w:szCs w:val="22"/>
              </w:rPr>
            </w:pPr>
          </w:p>
        </w:tc>
      </w:tr>
    </w:tbl>
    <w:p w:rsidR="002A2E9D" w:rsidRPr="00A13952" w:rsidP="002A2E9D" w14:paraId="0B46A9DA" w14:textId="77777777">
      <w:pPr>
        <w:tabs>
          <w:tab w:val="left" w:pos="4130"/>
        </w:tabs>
        <w:jc w:val="center"/>
        <w:rPr>
          <w:rFonts w:eastAsia="Calibri"/>
          <w:sz w:val="22"/>
          <w:szCs w:val="22"/>
        </w:rPr>
      </w:pPr>
      <w:r w:rsidRPr="00A13952">
        <w:rPr>
          <w:rFonts w:eastAsia="Calibri"/>
          <w:sz w:val="22"/>
          <w:szCs w:val="22"/>
        </w:rPr>
        <w:t xml:space="preserve">*EIRP (equivalent </w:t>
      </w:r>
      <w:r w:rsidRPr="00A13952">
        <w:rPr>
          <w:rFonts w:eastAsia="Calibri"/>
          <w:sz w:val="22"/>
          <w:szCs w:val="22"/>
        </w:rPr>
        <w:t>isotropically</w:t>
      </w:r>
      <w:r w:rsidRPr="00A13952">
        <w:rPr>
          <w:rFonts w:eastAsia="Calibri"/>
          <w:sz w:val="22"/>
          <w:szCs w:val="22"/>
        </w:rPr>
        <w:t xml:space="preserve"> radiated power)</w:t>
      </w:r>
    </w:p>
    <w:p w:rsidR="00A13952" w:rsidRPr="002A0940" w:rsidP="002A2E9D" w14:paraId="3B2346AF" w14:textId="77777777">
      <w:pPr>
        <w:tabs>
          <w:tab w:val="left" w:pos="4130"/>
        </w:tabs>
        <w:jc w:val="center"/>
        <w:rPr>
          <w:rFonts w:eastAsia="Calibri"/>
          <w:sz w:val="22"/>
          <w:szCs w:val="22"/>
        </w:rPr>
      </w:pPr>
    </w:p>
    <w:p w:rsidR="002A2E9D" w:rsidRPr="002A0940" w:rsidP="002A2E9D" w14:paraId="5595AF78" w14:textId="77777777">
      <w:pPr>
        <w:jc w:val="center"/>
        <w:rPr>
          <w:b/>
          <w:bCs/>
          <w:sz w:val="22"/>
          <w:szCs w:val="22"/>
        </w:rPr>
      </w:pPr>
      <w:r w:rsidRPr="002A0940">
        <w:rPr>
          <w:b/>
          <w:bCs/>
          <w:sz w:val="22"/>
          <w:szCs w:val="22"/>
        </w:rPr>
        <w:t>C-V2X Out-of-Band Emissions (OOBE)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5"/>
        <w:gridCol w:w="4650"/>
      </w:tblGrid>
      <w:tr w14:paraId="676A5F86" w14:textId="77777777" w:rsidTr="131EC1C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595" w:type="dxa"/>
            <w:shd w:val="clear" w:color="auto" w:fill="auto"/>
            <w:vAlign w:val="center"/>
          </w:tcPr>
          <w:p w:rsidR="002A2E9D" w:rsidRPr="002A0940" w:rsidP="00BF11A6" w14:paraId="6A798222" w14:textId="77777777">
            <w:pPr>
              <w:jc w:val="center"/>
              <w:rPr>
                <w:b/>
                <w:bCs/>
                <w:sz w:val="22"/>
                <w:szCs w:val="22"/>
              </w:rPr>
            </w:pPr>
            <w:r w:rsidRPr="002A0940">
              <w:rPr>
                <w:b/>
                <w:bCs/>
                <w:sz w:val="22"/>
                <w:szCs w:val="22"/>
              </w:rPr>
              <w:t>Frequency Offset (MHz from Channel Edge)</w:t>
            </w:r>
          </w:p>
        </w:tc>
        <w:tc>
          <w:tcPr>
            <w:tcW w:w="4650" w:type="dxa"/>
            <w:shd w:val="clear" w:color="auto" w:fill="auto"/>
            <w:vAlign w:val="center"/>
          </w:tcPr>
          <w:p w:rsidR="002A2E9D" w:rsidRPr="002A0940" w:rsidP="00BF11A6" w14:paraId="52822FA3" w14:textId="19AEDF97">
            <w:pPr>
              <w:jc w:val="center"/>
              <w:rPr>
                <w:b/>
                <w:bCs/>
                <w:sz w:val="22"/>
                <w:szCs w:val="22"/>
              </w:rPr>
            </w:pPr>
            <w:r w:rsidRPr="131EC1CC">
              <w:rPr>
                <w:b/>
                <w:bCs/>
                <w:sz w:val="22"/>
                <w:szCs w:val="22"/>
              </w:rPr>
              <w:t>OOBE EIRP Limits for C-V2X Transmissions (dBm/100 kHz)**</w:t>
            </w:r>
          </w:p>
        </w:tc>
      </w:tr>
      <w:tr w14:paraId="43E8CCD3" w14:textId="77777777" w:rsidTr="131EC1CC">
        <w:tblPrEx>
          <w:tblW w:w="0" w:type="auto"/>
          <w:jc w:val="center"/>
          <w:tblLook w:val="04A0"/>
        </w:tblPrEx>
        <w:trPr>
          <w:jc w:val="center"/>
        </w:trPr>
        <w:tc>
          <w:tcPr>
            <w:tcW w:w="3595" w:type="dxa"/>
            <w:shd w:val="clear" w:color="auto" w:fill="auto"/>
          </w:tcPr>
          <w:p w:rsidR="002A2E9D" w:rsidRPr="002A0940" w:rsidP="00BF11A6" w14:paraId="76DF7350" w14:textId="77777777">
            <w:pPr>
              <w:rPr>
                <w:sz w:val="22"/>
                <w:szCs w:val="22"/>
              </w:rPr>
            </w:pPr>
            <w:r w:rsidRPr="002A0940">
              <w:rPr>
                <w:sz w:val="22"/>
                <w:szCs w:val="22"/>
              </w:rPr>
              <w:t>0.0</w:t>
            </w:r>
          </w:p>
        </w:tc>
        <w:tc>
          <w:tcPr>
            <w:tcW w:w="4650" w:type="dxa"/>
            <w:shd w:val="clear" w:color="auto" w:fill="auto"/>
          </w:tcPr>
          <w:p w:rsidR="002A2E9D" w:rsidRPr="002A0940" w:rsidP="00BF11A6" w14:paraId="7557C9E2" w14:textId="77777777">
            <w:pPr>
              <w:rPr>
                <w:sz w:val="22"/>
                <w:szCs w:val="22"/>
              </w:rPr>
            </w:pPr>
            <w:r w:rsidRPr="002A0940">
              <w:rPr>
                <w:sz w:val="22"/>
                <w:szCs w:val="22"/>
              </w:rPr>
              <w:t>-16.0</w:t>
            </w:r>
          </w:p>
        </w:tc>
      </w:tr>
      <w:tr w14:paraId="2D710930" w14:textId="77777777" w:rsidTr="131EC1CC">
        <w:tblPrEx>
          <w:tblW w:w="0" w:type="auto"/>
          <w:jc w:val="center"/>
          <w:tblLook w:val="04A0"/>
        </w:tblPrEx>
        <w:trPr>
          <w:jc w:val="center"/>
        </w:trPr>
        <w:tc>
          <w:tcPr>
            <w:tcW w:w="3595" w:type="dxa"/>
            <w:shd w:val="clear" w:color="auto" w:fill="auto"/>
          </w:tcPr>
          <w:p w:rsidR="002A2E9D" w:rsidRPr="002A0940" w:rsidP="00BF11A6" w14:paraId="55069FE1" w14:textId="77777777">
            <w:pPr>
              <w:rPr>
                <w:sz w:val="22"/>
                <w:szCs w:val="22"/>
              </w:rPr>
            </w:pPr>
            <w:r w:rsidRPr="002A0940">
              <w:rPr>
                <w:sz w:val="22"/>
                <w:szCs w:val="22"/>
              </w:rPr>
              <w:t>1.0</w:t>
            </w:r>
          </w:p>
        </w:tc>
        <w:tc>
          <w:tcPr>
            <w:tcW w:w="4650" w:type="dxa"/>
            <w:shd w:val="clear" w:color="auto" w:fill="auto"/>
          </w:tcPr>
          <w:p w:rsidR="002A2E9D" w:rsidRPr="002A0940" w:rsidP="00BF11A6" w14:paraId="7A3063C9" w14:textId="77777777">
            <w:pPr>
              <w:rPr>
                <w:sz w:val="22"/>
                <w:szCs w:val="22"/>
              </w:rPr>
            </w:pPr>
            <w:r w:rsidRPr="002A0940">
              <w:rPr>
                <w:sz w:val="22"/>
                <w:szCs w:val="22"/>
              </w:rPr>
              <w:t>-22.0</w:t>
            </w:r>
          </w:p>
        </w:tc>
      </w:tr>
      <w:tr w14:paraId="40221953" w14:textId="77777777" w:rsidTr="131EC1CC">
        <w:tblPrEx>
          <w:tblW w:w="0" w:type="auto"/>
          <w:jc w:val="center"/>
          <w:tblLook w:val="04A0"/>
        </w:tblPrEx>
        <w:trPr>
          <w:jc w:val="center"/>
        </w:trPr>
        <w:tc>
          <w:tcPr>
            <w:tcW w:w="3595" w:type="dxa"/>
            <w:shd w:val="clear" w:color="auto" w:fill="auto"/>
          </w:tcPr>
          <w:p w:rsidR="002A2E9D" w:rsidRPr="002A0940" w:rsidP="00BF11A6" w14:paraId="647A30F4" w14:textId="77777777">
            <w:pPr>
              <w:rPr>
                <w:sz w:val="22"/>
                <w:szCs w:val="22"/>
              </w:rPr>
            </w:pPr>
            <w:r w:rsidRPr="002A0940">
              <w:rPr>
                <w:sz w:val="22"/>
                <w:szCs w:val="22"/>
              </w:rPr>
              <w:t>10.0</w:t>
            </w:r>
          </w:p>
        </w:tc>
        <w:tc>
          <w:tcPr>
            <w:tcW w:w="4650" w:type="dxa"/>
            <w:shd w:val="clear" w:color="auto" w:fill="auto"/>
          </w:tcPr>
          <w:p w:rsidR="002A2E9D" w:rsidRPr="002A0940" w:rsidP="00BF11A6" w14:paraId="3EB4FB86" w14:textId="77777777">
            <w:pPr>
              <w:rPr>
                <w:sz w:val="22"/>
                <w:szCs w:val="22"/>
              </w:rPr>
            </w:pPr>
            <w:r w:rsidRPr="002A0940">
              <w:rPr>
                <w:sz w:val="22"/>
                <w:szCs w:val="22"/>
              </w:rPr>
              <w:t>-30.0</w:t>
            </w:r>
          </w:p>
        </w:tc>
      </w:tr>
      <w:tr w14:paraId="15D52BEC" w14:textId="77777777" w:rsidTr="131EC1CC">
        <w:tblPrEx>
          <w:tblW w:w="0" w:type="auto"/>
          <w:jc w:val="center"/>
          <w:tblLook w:val="04A0"/>
        </w:tblPrEx>
        <w:trPr>
          <w:jc w:val="center"/>
        </w:trPr>
        <w:tc>
          <w:tcPr>
            <w:tcW w:w="3595" w:type="dxa"/>
            <w:shd w:val="clear" w:color="auto" w:fill="auto"/>
          </w:tcPr>
          <w:p w:rsidR="002A2E9D" w:rsidRPr="002A0940" w:rsidP="00BF11A6" w14:paraId="7732503A" w14:textId="77777777">
            <w:pPr>
              <w:rPr>
                <w:sz w:val="22"/>
                <w:szCs w:val="22"/>
              </w:rPr>
            </w:pPr>
            <w:r w:rsidRPr="002A0940">
              <w:rPr>
                <w:sz w:val="22"/>
                <w:szCs w:val="22"/>
              </w:rPr>
              <w:t>20.0</w:t>
            </w:r>
          </w:p>
        </w:tc>
        <w:tc>
          <w:tcPr>
            <w:tcW w:w="4650" w:type="dxa"/>
            <w:shd w:val="clear" w:color="auto" w:fill="auto"/>
          </w:tcPr>
          <w:p w:rsidR="002A2E9D" w:rsidRPr="002A0940" w:rsidP="00BF11A6" w14:paraId="603CC16C" w14:textId="77777777">
            <w:pPr>
              <w:rPr>
                <w:sz w:val="22"/>
                <w:szCs w:val="22"/>
              </w:rPr>
            </w:pPr>
            <w:r w:rsidRPr="002A0940">
              <w:rPr>
                <w:sz w:val="22"/>
                <w:szCs w:val="22"/>
              </w:rPr>
              <w:t>-40.0</w:t>
            </w:r>
          </w:p>
        </w:tc>
      </w:tr>
    </w:tbl>
    <w:p w:rsidR="002A2E9D" w:rsidP="002A2E9D" w14:paraId="2E02AE7D" w14:textId="77777777">
      <w:pPr>
        <w:spacing w:after="240"/>
        <w:jc w:val="center"/>
        <w:rPr>
          <w:sz w:val="22"/>
          <w:szCs w:val="22"/>
        </w:rPr>
      </w:pPr>
      <w:r w:rsidRPr="002A0940">
        <w:rPr>
          <w:sz w:val="22"/>
          <w:szCs w:val="22"/>
        </w:rPr>
        <w:t>**See IEEE 802.11p-2010 Table I.8</w:t>
      </w:r>
    </w:p>
    <w:p w:rsidR="00CA317F" w:rsidP="004678E2" w14:paraId="7D689A60" w14:textId="0F32E622">
      <w:pPr>
        <w:pStyle w:val="ParaNum"/>
        <w:widowControl/>
        <w:numPr>
          <w:ilvl w:val="0"/>
          <w:numId w:val="0"/>
        </w:numPr>
        <w:tabs>
          <w:tab w:val="clear" w:pos="1440"/>
        </w:tabs>
        <w:spacing w:after="120"/>
        <w:ind w:firstLine="720"/>
        <w:jc w:val="left"/>
      </w:pPr>
      <w:r>
        <w:t>The s</w:t>
      </w:r>
      <w:r w:rsidRPr="006F4858">
        <w:t>tate, local, and municipal transportation authorities</w:t>
      </w:r>
      <w:r>
        <w:t xml:space="preserve">’ C-V2X RSU operations </w:t>
      </w:r>
      <w:r w:rsidRPr="00BB2698">
        <w:t>must protect DSRC and primary non-federal fixed-satellite service (Earth-to-space) operations in the 5.895</w:t>
      </w:r>
      <w:r w:rsidR="00405632">
        <w:t>–</w:t>
      </w:r>
      <w:r w:rsidRPr="00BB2698">
        <w:t xml:space="preserve">5.925 GHz band from harmful interference.  </w:t>
      </w:r>
      <w:r>
        <w:t>Prior to commencing C-V2X operations, t</w:t>
      </w:r>
      <w:r w:rsidRPr="00BB2698">
        <w:t xml:space="preserve">he </w:t>
      </w:r>
      <w:r w:rsidR="00897F3A">
        <w:t>state, local, and municipal transportation authorities</w:t>
      </w:r>
      <w:r w:rsidR="00897F3A">
        <w:t xml:space="preserve"> </w:t>
      </w:r>
      <w:r w:rsidRPr="00BB2698">
        <w:t xml:space="preserve">must </w:t>
      </w:r>
      <w:r>
        <w:t xml:space="preserve">successfully </w:t>
      </w:r>
      <w:r w:rsidRPr="00BB2698">
        <w:t xml:space="preserve">coordinate with </w:t>
      </w:r>
      <w:r>
        <w:t xml:space="preserve">all </w:t>
      </w:r>
      <w:r w:rsidRPr="00BB2698">
        <w:t xml:space="preserve">DSRC incumbent(s) </w:t>
      </w:r>
      <w:r>
        <w:t>whose licensed areas either overlap or are within 25 miles of the license areas of the</w:t>
      </w:r>
      <w:r w:rsidR="68E2B3EE">
        <w:t xml:space="preserve"> state</w:t>
      </w:r>
      <w:r w:rsidR="12963E5B">
        <w:t>, local, and municipal transportation authorities</w:t>
      </w:r>
      <w:r>
        <w:t>.  The purpose of this coordination is to ensure that harmful interference will not occur.</w:t>
      </w:r>
      <w:r>
        <w:rPr>
          <w:rStyle w:val="FootnoteReference"/>
        </w:rPr>
        <w:footnoteReference w:id="38"/>
      </w:r>
      <w:r>
        <w:t xml:space="preserve">  In addition, within 30 days of commencing operations, the</w:t>
      </w:r>
      <w:r w:rsidR="438EFFEC">
        <w:t xml:space="preserve"> state, local, and municipal transportation authorities</w:t>
      </w:r>
      <w:r>
        <w:t xml:space="preserve"> must file a report in the Universal Licensing System (ULS) confirming successful coordination (including the names of the DSRC incumbents and dates coordination was completed), or if applicable, certifying that coordination was unnecessary, and include a grandfathered list of state DOT RSU locations that will be converted from DSRC to C-V2X operation.  FCC staff will add a C-V2X special condition to these RSU locations and forward the grandfathered </w:t>
      </w:r>
      <w:r w:rsidR="3FF91A21">
        <w:t xml:space="preserve">state, local, and municipal transportation authority </w:t>
      </w:r>
      <w:r>
        <w:t>RSU list to NTIA.</w:t>
      </w:r>
    </w:p>
    <w:p w:rsidR="00FD0EB2" w:rsidP="007071F6" w14:paraId="731ECC17" w14:textId="1A7F8232">
      <w:pPr>
        <w:pStyle w:val="ParaNum"/>
        <w:numPr>
          <w:ilvl w:val="0"/>
          <w:numId w:val="0"/>
        </w:numPr>
        <w:tabs>
          <w:tab w:val="clear" w:pos="1440"/>
        </w:tabs>
        <w:spacing w:after="120"/>
        <w:ind w:firstLine="720"/>
        <w:jc w:val="left"/>
      </w:pPr>
      <w:r w:rsidRPr="000B0C56">
        <w:rPr>
          <w:i/>
          <w:iCs/>
        </w:rPr>
        <w:t>RSU registration requirements</w:t>
      </w:r>
      <w:r w:rsidRPr="00B5253D">
        <w:rPr>
          <w:i/>
          <w:iCs/>
        </w:rPr>
        <w:t>.</w:t>
      </w:r>
      <w:r>
        <w:t xml:space="preserve">  Licensees must register each RSU in ULS before operating the RSU.  RSUs included in the grandfathered DSRC RSU list being converted to C-V2X do not need to be filed in ULS.  RSU registrations are subject to the requirements of 47 CFR § 1.923 as applicable (antenna structure registration, environmental review, international coordination, and quiet zones). </w:t>
      </w:r>
      <w:r w:rsidR="004C2FBF">
        <w:t xml:space="preserve"> </w:t>
      </w:r>
      <w:r>
        <w:t>Additionally, RSUs at locations subject to NTIA coordination</w:t>
      </w:r>
      <w:r>
        <w:rPr>
          <w:rStyle w:val="FootnoteReference"/>
        </w:rPr>
        <w:footnoteReference w:id="39"/>
      </w:r>
      <w:r>
        <w:t xml:space="preserve"> may not begin operation until the licensee receives NTIA approval.  Registrations are not effective until the Commission posts them in ULS.  It is the licensee’s responsibility to delete from the registration database any RSUs that have been discontinued.</w:t>
      </w:r>
      <w:r>
        <w:rPr>
          <w:rStyle w:val="FootnoteReference"/>
        </w:rPr>
        <w:footnoteReference w:id="40"/>
      </w:r>
    </w:p>
    <w:p w:rsidR="00F1707C" w:rsidP="003A453E" w14:paraId="6CBB9587" w14:textId="77777777">
      <w:pPr>
        <w:pStyle w:val="ParaNum"/>
        <w:numPr>
          <w:ilvl w:val="0"/>
          <w:numId w:val="0"/>
        </w:numPr>
        <w:tabs>
          <w:tab w:val="clear" w:pos="1440"/>
        </w:tabs>
        <w:spacing w:after="120"/>
        <w:ind w:firstLine="720"/>
        <w:jc w:val="left"/>
      </w:pPr>
      <w:r>
        <w:rPr>
          <w:i/>
          <w:iCs/>
        </w:rPr>
        <w:t>Compliance</w:t>
      </w:r>
      <w:r w:rsidRPr="00CC39B4">
        <w:rPr>
          <w:i/>
          <w:iCs/>
        </w:rPr>
        <w:t xml:space="preserve"> with Final Rules</w:t>
      </w:r>
      <w:r w:rsidRPr="00B5253D">
        <w:rPr>
          <w:i/>
          <w:iCs/>
        </w:rPr>
        <w:t>.</w:t>
      </w:r>
      <w:r>
        <w:t xml:space="preserve">  We intend by this Order to enable a fast transition to the next generation of technology in this spectrum band while the Commission contemplates the framework for final rules.  Consistent with this goal, we condition the waiver on the requirement that each waiver recipient will ensure that RSU and OBU operations and devices authorized under the waiver will comply with the final rules or other guidance provided by the Commission in any timeframe determined by the </w:t>
      </w:r>
      <w:r>
        <w:t>Commission.  This approach ensures that waiver recipients, including but not limited to equipment manufacturers, will consider the pendency of the final rulemaking, and incorporate technology that will allow prompt and efficient regulatory compliance with respect to individual RSUs, OBUs, and C-V2X-based operations once any relevant final rules are implemented.  Equipment manufacturers, in particular, must take steps to ensure that they can update or disable any OBUs deployed pursuant to this Order to bring these units into compliance with the final rules.  Recipients of this waiver should be aware that the Commission may further tailor this and other waiver conditions, if needed and as appropriate, as part of any determination it makes in the rulemaking proceeding.</w:t>
      </w:r>
    </w:p>
    <w:p w:rsidR="002A2E9D" w:rsidP="002A2E9D" w14:paraId="37ECBC44" w14:textId="77777777">
      <w:pPr>
        <w:pStyle w:val="Heading1"/>
      </w:pPr>
      <w:r>
        <w:t>Ordering Clauses</w:t>
      </w:r>
    </w:p>
    <w:p w:rsidR="002A2E9D" w:rsidP="00C13874" w14:paraId="0FFF41CA" w14:textId="68D38B31">
      <w:pPr>
        <w:pStyle w:val="ParaNum"/>
        <w:numPr>
          <w:ilvl w:val="0"/>
          <w:numId w:val="0"/>
        </w:numPr>
        <w:tabs>
          <w:tab w:val="clear" w:pos="1440"/>
        </w:tabs>
        <w:ind w:firstLine="720"/>
        <w:jc w:val="left"/>
      </w:pPr>
      <w:r>
        <w:t xml:space="preserve">Accordingly, IT IS ORDERED that, pursuant to section 4(i) of the Communications Act, as amended, 47 U.S.C. § 154(i), and </w:t>
      </w:r>
      <w:r w:rsidR="00814D9B">
        <w:t>section</w:t>
      </w:r>
      <w:r w:rsidR="00832A67">
        <w:t xml:space="preserve"> </w:t>
      </w:r>
      <w:r>
        <w:t>1.925 of the Commission’s rules, 47 CFR § 1.925, each of the requests by the parties listed in Appendix A, attached hereto, to waive the requirements of sections 90.375, 90.377, 90.379, 95.3163, 95.3167, and 95.3189 of the Commission’s rules, 47 CFR §§ 90.375, 90.377, 90.379, 95.3163, 95.3167, and 95.3189, are HEREBY GRANTED subject to the conditions outlined above, and ARE OTHERWISE DENIED.</w:t>
      </w:r>
    </w:p>
    <w:p w:rsidR="002A2E9D" w:rsidP="00C13874" w14:paraId="4E8BA7FE" w14:textId="11E7F9ED">
      <w:pPr>
        <w:pStyle w:val="ParaNum"/>
        <w:numPr>
          <w:ilvl w:val="0"/>
          <w:numId w:val="0"/>
        </w:numPr>
        <w:tabs>
          <w:tab w:val="clear" w:pos="1440"/>
        </w:tabs>
        <w:ind w:firstLine="720"/>
        <w:jc w:val="left"/>
      </w:pPr>
      <w:r w:rsidRPr="000B0C56">
        <w:t xml:space="preserve">IT IS FURTHER ORDERED that </w:t>
      </w:r>
      <w:r>
        <w:t xml:space="preserve">each of </w:t>
      </w:r>
      <w:r w:rsidRPr="000B0C56">
        <w:t>the request</w:t>
      </w:r>
      <w:r>
        <w:t>s</w:t>
      </w:r>
      <w:r w:rsidRPr="000B0C56">
        <w:t xml:space="preserve"> to waive the requirements of 47 CFR </w:t>
      </w:r>
      <w:r w:rsidR="00281C6A">
        <w:t>§ 2.106(d)(160)</w:t>
      </w:r>
      <w:r>
        <w:t xml:space="preserve"> and 47 CFR § 95.3159 are</w:t>
      </w:r>
      <w:r w:rsidRPr="000B0C56">
        <w:t xml:space="preserve"> HEREBY DISMISSED as moot</w:t>
      </w:r>
      <w:r>
        <w:t>.</w:t>
      </w:r>
    </w:p>
    <w:p w:rsidR="002A2E9D" w:rsidP="004678E2" w14:paraId="5EB88B4C" w14:textId="1807702C">
      <w:pPr>
        <w:pStyle w:val="ParaNum"/>
        <w:keepNext/>
        <w:keepLines/>
        <w:numPr>
          <w:ilvl w:val="0"/>
          <w:numId w:val="0"/>
        </w:numPr>
        <w:tabs>
          <w:tab w:val="clear" w:pos="1440"/>
        </w:tabs>
        <w:ind w:firstLine="720"/>
        <w:jc w:val="left"/>
      </w:pPr>
      <w:r w:rsidRPr="00F56EB8">
        <w:t xml:space="preserve">These actions are taken under delegated authority pursuant to sections </w:t>
      </w:r>
      <w:bookmarkStart w:id="1" w:name="_Hlk123701309"/>
      <w:r>
        <w:t xml:space="preserve">0.31, </w:t>
      </w:r>
      <w:r w:rsidRPr="00F56EB8">
        <w:t>0.131</w:t>
      </w:r>
      <w:r>
        <w:t>, 0.191, 0.241, 0.331</w:t>
      </w:r>
      <w:r w:rsidR="25C23F75">
        <w:t xml:space="preserve">, </w:t>
      </w:r>
      <w:r w:rsidRPr="00F56EB8">
        <w:t xml:space="preserve"> 0.3</w:t>
      </w:r>
      <w:r>
        <w:t>92</w:t>
      </w:r>
      <w:r w:rsidR="0E53D597">
        <w:t>, and 1.3</w:t>
      </w:r>
      <w:bookmarkEnd w:id="1"/>
      <w:r w:rsidRPr="00F56EB8">
        <w:t xml:space="preserve"> of the Commission’s rules, 47 CFR §§ </w:t>
      </w:r>
      <w:r>
        <w:t xml:space="preserve">0.31, </w:t>
      </w:r>
      <w:r w:rsidRPr="00F56EB8">
        <w:t>0.131</w:t>
      </w:r>
      <w:r>
        <w:t>, 0.191, 0.241, 0.33</w:t>
      </w:r>
      <w:r w:rsidR="15D342AD">
        <w:t xml:space="preserve">1, </w:t>
      </w:r>
      <w:r w:rsidRPr="00F56EB8">
        <w:t xml:space="preserve"> 0.3</w:t>
      </w:r>
      <w:r>
        <w:t>92</w:t>
      </w:r>
      <w:r w:rsidR="6F266116">
        <w:t>, and 1.3,</w:t>
      </w:r>
      <w:r>
        <w:t xml:space="preserve"> and the </w:t>
      </w:r>
      <w:r w:rsidRPr="131EC1CC">
        <w:rPr>
          <w:i/>
          <w:iCs/>
        </w:rPr>
        <w:t>5.9 GHz First R&amp;O</w:t>
      </w:r>
      <w:r>
        <w:t>.</w:t>
      </w:r>
      <w:r>
        <w:rPr>
          <w:rStyle w:val="FootnoteReference"/>
        </w:rPr>
        <w:footnoteReference w:id="41"/>
      </w:r>
    </w:p>
    <w:p w:rsidR="002A2E9D" w:rsidRPr="002A0940" w:rsidP="002A2E9D" w14:paraId="5E72D9F7" w14:textId="77777777">
      <w:pPr>
        <w:keepNext/>
        <w:keepLines/>
        <w:spacing w:after="160"/>
        <w:ind w:left="3600" w:firstLine="720"/>
        <w:rPr>
          <w:sz w:val="22"/>
          <w:szCs w:val="22"/>
        </w:rPr>
      </w:pPr>
      <w:r w:rsidRPr="002A0940">
        <w:rPr>
          <w:sz w:val="22"/>
          <w:szCs w:val="22"/>
        </w:rPr>
        <w:t>FEDERAL COMMUNICATIONS COMMISSION</w:t>
      </w:r>
    </w:p>
    <w:p w:rsidR="002A2E9D" w:rsidRPr="002A0940" w:rsidP="002A2E9D" w14:paraId="7720C29A" w14:textId="77777777">
      <w:pPr>
        <w:keepNext/>
        <w:keepLines/>
        <w:rPr>
          <w:sz w:val="22"/>
          <w:szCs w:val="22"/>
        </w:rPr>
      </w:pPr>
    </w:p>
    <w:p w:rsidR="002A2E9D" w:rsidRPr="002A0940" w:rsidP="002A2E9D" w14:paraId="3ED68109" w14:textId="77777777">
      <w:pPr>
        <w:keepNext/>
        <w:keepLines/>
        <w:rPr>
          <w:sz w:val="22"/>
          <w:szCs w:val="22"/>
        </w:rPr>
      </w:pPr>
    </w:p>
    <w:p w:rsidR="002A2E9D" w:rsidRPr="002A0940" w:rsidP="002A2E9D" w14:paraId="4621101C" w14:textId="77777777">
      <w:pPr>
        <w:keepNext/>
        <w:keepLines/>
        <w:rPr>
          <w:sz w:val="22"/>
          <w:szCs w:val="22"/>
        </w:rPr>
      </w:pPr>
    </w:p>
    <w:p w:rsidR="002A2E9D" w:rsidRPr="002A0940" w:rsidP="002A2E9D" w14:paraId="7D73D3D7" w14:textId="77777777">
      <w:pPr>
        <w:keepNext/>
        <w:keepLines/>
        <w:rPr>
          <w:sz w:val="22"/>
          <w:szCs w:val="22"/>
        </w:rPr>
      </w:pPr>
    </w:p>
    <w:p w:rsidR="002A2E9D" w:rsidRPr="002A0940" w:rsidP="002A2E9D" w14:paraId="5F92DEDB" w14:textId="77777777">
      <w:pPr>
        <w:keepNext/>
        <w:keepLines/>
        <w:rPr>
          <w:sz w:val="22"/>
          <w:szCs w:val="22"/>
        </w:rPr>
      </w:pP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t>Debra Jordan</w:t>
      </w:r>
    </w:p>
    <w:p w:rsidR="002A2E9D" w:rsidRPr="002A0940" w:rsidP="002A2E9D" w14:paraId="207C6C39" w14:textId="77777777">
      <w:pPr>
        <w:keepNext/>
        <w:keepLines/>
        <w:rPr>
          <w:sz w:val="22"/>
          <w:szCs w:val="22"/>
        </w:rPr>
      </w:pP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t xml:space="preserve">Chief, Public Safety and Homeland Security Bureau </w:t>
      </w:r>
    </w:p>
    <w:p w:rsidR="002A2E9D" w:rsidRPr="002A0940" w:rsidP="002A2E9D" w14:paraId="6050996D" w14:textId="77777777">
      <w:pPr>
        <w:keepNext/>
        <w:keepLines/>
        <w:rPr>
          <w:sz w:val="22"/>
          <w:szCs w:val="22"/>
        </w:rPr>
      </w:pPr>
    </w:p>
    <w:p w:rsidR="002A2E9D" w:rsidRPr="002A0940" w:rsidP="002A2E9D" w14:paraId="0F1AD8D2" w14:textId="77777777">
      <w:pPr>
        <w:keepNext/>
        <w:keepLines/>
        <w:rPr>
          <w:sz w:val="22"/>
          <w:szCs w:val="22"/>
        </w:rPr>
      </w:pPr>
    </w:p>
    <w:p w:rsidR="002A2E9D" w:rsidRPr="002A0940" w:rsidP="002A2E9D" w14:paraId="13FCAB30" w14:textId="77777777">
      <w:pPr>
        <w:keepNext/>
        <w:keepLines/>
        <w:rPr>
          <w:sz w:val="22"/>
          <w:szCs w:val="22"/>
        </w:rPr>
      </w:pPr>
    </w:p>
    <w:p w:rsidR="002A2E9D" w:rsidRPr="002A0940" w:rsidP="002A2E9D" w14:paraId="5F3FFB12" w14:textId="77777777">
      <w:pPr>
        <w:keepNext/>
        <w:keepLines/>
        <w:rPr>
          <w:sz w:val="22"/>
          <w:szCs w:val="22"/>
        </w:rPr>
      </w:pPr>
    </w:p>
    <w:p w:rsidR="002A2E9D" w:rsidRPr="002A0940" w:rsidP="002A2E9D" w14:paraId="348FC8F1" w14:textId="77777777">
      <w:pPr>
        <w:keepNext/>
        <w:keepLines/>
        <w:rPr>
          <w:sz w:val="22"/>
          <w:szCs w:val="22"/>
        </w:rPr>
      </w:pP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t>Ronald Repasi</w:t>
      </w:r>
    </w:p>
    <w:p w:rsidR="002A2E9D" w:rsidRPr="002A0940" w:rsidP="002A2E9D" w14:paraId="0B1C9281" w14:textId="77777777">
      <w:pPr>
        <w:keepNext/>
        <w:keepLines/>
        <w:rPr>
          <w:sz w:val="22"/>
          <w:szCs w:val="22"/>
        </w:rPr>
      </w:pP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t>Chief, Office of Engineering and Technology</w:t>
      </w:r>
    </w:p>
    <w:p w:rsidR="002A2E9D" w:rsidRPr="002A0940" w:rsidP="002A2E9D" w14:paraId="622D273E" w14:textId="77777777">
      <w:pPr>
        <w:keepNext/>
        <w:keepLines/>
        <w:rPr>
          <w:sz w:val="22"/>
          <w:szCs w:val="22"/>
        </w:rPr>
      </w:pPr>
    </w:p>
    <w:p w:rsidR="002A2E9D" w:rsidRPr="002A0940" w:rsidP="002A2E9D" w14:paraId="79476131" w14:textId="77777777">
      <w:pPr>
        <w:keepNext/>
        <w:keepLines/>
        <w:rPr>
          <w:sz w:val="22"/>
          <w:szCs w:val="22"/>
        </w:rPr>
      </w:pPr>
    </w:p>
    <w:p w:rsidR="002A2E9D" w:rsidRPr="002A0940" w:rsidP="002A2E9D" w14:paraId="426895AD" w14:textId="77777777">
      <w:pPr>
        <w:keepNext/>
        <w:keepLines/>
        <w:rPr>
          <w:sz w:val="22"/>
          <w:szCs w:val="22"/>
        </w:rPr>
      </w:pPr>
    </w:p>
    <w:p w:rsidR="002A2E9D" w:rsidRPr="002A0940" w:rsidP="002A2E9D" w14:paraId="4142F7DF" w14:textId="77777777">
      <w:pPr>
        <w:keepNext/>
        <w:keepLines/>
        <w:rPr>
          <w:sz w:val="22"/>
          <w:szCs w:val="22"/>
        </w:rPr>
      </w:pPr>
    </w:p>
    <w:p w:rsidR="002A2E9D" w:rsidRPr="002A0940" w:rsidP="002A2E9D" w14:paraId="412C00AD" w14:textId="77777777">
      <w:pPr>
        <w:keepNext/>
        <w:keepLines/>
        <w:rPr>
          <w:sz w:val="22"/>
          <w:szCs w:val="22"/>
        </w:rPr>
      </w:pP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t>Joel Taubenblatt</w:t>
      </w:r>
    </w:p>
    <w:p w:rsidR="002A2E9D" w:rsidRPr="002A0940" w:rsidP="002A2E9D" w14:paraId="5022BE72" w14:textId="77777777">
      <w:pPr>
        <w:keepNext/>
        <w:keepLines/>
        <w:rPr>
          <w:sz w:val="22"/>
          <w:szCs w:val="22"/>
        </w:rPr>
      </w:pP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t>Chief, Wireless Telecommunications Bureau</w:t>
      </w:r>
    </w:p>
    <w:p w:rsidR="002A2E9D" w:rsidRPr="002A0940" w:rsidP="002A0940" w14:paraId="38E0FD17" w14:textId="53AAD4A7">
      <w:pPr>
        <w:jc w:val="center"/>
        <w:rPr>
          <w:b/>
          <w:bCs/>
          <w:sz w:val="22"/>
          <w:szCs w:val="22"/>
        </w:rPr>
      </w:pPr>
      <w:r>
        <w:br w:type="page"/>
      </w:r>
      <w:r w:rsidRPr="002A0940">
        <w:rPr>
          <w:b/>
          <w:bCs/>
          <w:sz w:val="22"/>
          <w:szCs w:val="22"/>
        </w:rPr>
        <w:t>APPENDIX A</w:t>
      </w:r>
    </w:p>
    <w:p w:rsidR="002A2E9D" w:rsidRPr="002A0940" w:rsidP="002A2E9D" w14:paraId="2A5A26BC" w14:textId="77777777">
      <w:pPr>
        <w:keepNext/>
        <w:keepLines/>
        <w:jc w:val="center"/>
        <w:rPr>
          <w:b/>
          <w:bCs/>
          <w:sz w:val="22"/>
          <w:szCs w:val="22"/>
        </w:rPr>
      </w:pPr>
      <w:r w:rsidRPr="002A0940">
        <w:rPr>
          <w:b/>
          <w:bCs/>
          <w:sz w:val="22"/>
          <w:szCs w:val="22"/>
        </w:rPr>
        <w:t>WAIVER PETITIONS/APPLICANTS</w:t>
      </w:r>
    </w:p>
    <w:p w:rsidR="002A2E9D" w:rsidP="002A2E9D" w14:paraId="5F8CC9CB" w14:textId="77777777">
      <w:pPr>
        <w:keepNext/>
        <w:keepLines/>
        <w:jc w:val="center"/>
        <w:rPr>
          <w:szCs w:val="22"/>
        </w:rPr>
      </w:pPr>
    </w:p>
    <w:p w:rsidR="002A2E9D" w:rsidRPr="00F46E2C" w:rsidP="005F509C" w14:paraId="3726663C" w14:textId="59F3AE73">
      <w:pPr>
        <w:pStyle w:val="ParaNum"/>
        <w:numPr>
          <w:ilvl w:val="0"/>
          <w:numId w:val="0"/>
        </w:numPr>
        <w:jc w:val="left"/>
      </w:pPr>
      <w:r>
        <w:t xml:space="preserve">1.  </w:t>
      </w:r>
      <w:r w:rsidRPr="003B15C2">
        <w:rPr>
          <w:u w:val="single"/>
        </w:rPr>
        <w:t>Colorado Department of Transportation</w:t>
      </w:r>
      <w:r>
        <w:t xml:space="preserve">.  </w:t>
      </w:r>
      <w:r w:rsidRPr="008C3BDD">
        <w:rPr>
          <w:i/>
          <w:iCs/>
        </w:rPr>
        <w:t>See</w:t>
      </w:r>
      <w:r>
        <w:t xml:space="preserve"> </w:t>
      </w:r>
      <w:r w:rsidRPr="00F46E2C">
        <w:t>Request for Waiver of 5.9 GHz Band Rules to Permit Deployments of Cellular Vehicle-to</w:t>
      </w:r>
      <w:r w:rsidR="2F8EAF2D">
        <w:t>-</w:t>
      </w:r>
      <w:r w:rsidRPr="00F46E2C">
        <w:t>Everything Technology, Colorado Department of Transportation, ET Docket No. 19-138 (filed Aug. 29, 2022)</w:t>
      </w:r>
      <w:r>
        <w:t xml:space="preserve"> (</w:t>
      </w:r>
      <w:r w:rsidRPr="00876A80">
        <w:rPr>
          <w:i/>
          <w:iCs/>
        </w:rPr>
        <w:t xml:space="preserve">CDOT </w:t>
      </w:r>
      <w:r>
        <w:rPr>
          <w:i/>
          <w:iCs/>
        </w:rPr>
        <w:t xml:space="preserve">Waiver </w:t>
      </w:r>
      <w:r w:rsidRPr="00876A80">
        <w:rPr>
          <w:i/>
          <w:iCs/>
        </w:rPr>
        <w:t>Request</w:t>
      </w:r>
      <w:r>
        <w:t>)</w:t>
      </w:r>
      <w:r w:rsidRPr="00F46E2C">
        <w:t>,</w:t>
      </w:r>
      <w:r>
        <w:t xml:space="preserve"> </w:t>
      </w:r>
      <w:hyperlink r:id="rId5">
        <w:r w:rsidRPr="7973910A" w:rsidR="7D431D13">
          <w:rPr>
            <w:rStyle w:val="Hyperlink"/>
          </w:rPr>
          <w:t>https://www.fcc.gov/ecfs/document/1082991850401/1</w:t>
        </w:r>
      </w:hyperlink>
      <w:r>
        <w:t xml:space="preserve">; </w:t>
      </w:r>
      <w:r w:rsidRPr="00F46E2C">
        <w:rPr>
          <w:i/>
          <w:iCs/>
        </w:rPr>
        <w:t>see also</w:t>
      </w:r>
      <w:r w:rsidRPr="00F46E2C">
        <w:t xml:space="preserve"> Letter from Heather Pickering-Hilgers, Office of Innovative Mobility, Colorado Department of Transportation, to Marlene H. Dortch, Secretary, FCC, ET Docket No. 19-138 (filed Jun. 21, 2023)</w:t>
      </w:r>
      <w:r>
        <w:t xml:space="preserve"> (</w:t>
      </w:r>
      <w:r w:rsidRPr="00876A80">
        <w:rPr>
          <w:i/>
          <w:iCs/>
        </w:rPr>
        <w:t>CDOT Waiver Supplement</w:t>
      </w:r>
      <w:r>
        <w:t>)</w:t>
      </w:r>
      <w:r w:rsidRPr="00F46E2C">
        <w:t xml:space="preserve">, </w:t>
      </w:r>
      <w:hyperlink r:id="rId6" w:history="1">
        <w:r w:rsidRPr="00A36B6B" w:rsidR="00917264">
          <w:rPr>
            <w:rStyle w:val="Hyperlink"/>
          </w:rPr>
          <w:t>https://appsint.fcc.gov/UlsEntry/attachments/attachmentViewRD.jsp?applType=search&amp;fileKey=807040696&amp;attachmentKey=21812488&amp;attachmentInd=licAttach</w:t>
        </w:r>
      </w:hyperlink>
      <w:r w:rsidR="00A5248D">
        <w:t>.</w:t>
      </w:r>
      <w:r w:rsidR="00917264">
        <w:t xml:space="preserve"> </w:t>
      </w:r>
    </w:p>
    <w:p w:rsidR="002A2E9D" w:rsidP="002A2E9D" w14:paraId="572CDE71" w14:textId="3D1C8942">
      <w:pPr>
        <w:pStyle w:val="ParaNum"/>
        <w:numPr>
          <w:ilvl w:val="0"/>
          <w:numId w:val="0"/>
        </w:numPr>
        <w:jc w:val="left"/>
      </w:pPr>
      <w:r w:rsidRPr="003A4B09">
        <w:t xml:space="preserve">2.  </w:t>
      </w:r>
      <w:bookmarkStart w:id="2" w:name="_Hlk140689718"/>
      <w:r w:rsidRPr="003B15C2">
        <w:rPr>
          <w:u w:val="single"/>
        </w:rPr>
        <w:t>Florida Department of Transportation</w:t>
      </w:r>
      <w:r w:rsidRPr="003A4B09">
        <w:t>.</w:t>
      </w:r>
      <w:r>
        <w:t xml:space="preserve">  </w:t>
      </w:r>
      <w:r w:rsidRPr="008C3BDD">
        <w:rPr>
          <w:i/>
          <w:iCs/>
        </w:rPr>
        <w:t>See</w:t>
      </w:r>
      <w:r>
        <w:t xml:space="preserve"> Letter from Jeremy Dilmore, P.E., TSM&amp;O Program Engineer, Florida Department of Transportation District 5 – Traffic Operations Office, to</w:t>
      </w:r>
      <w:r w:rsidRPr="002B473D">
        <w:t xml:space="preserve"> </w:t>
      </w:r>
      <w:r>
        <w:t xml:space="preserve">Marlene H. Dortch, Secretary, FCC, ET Docket No. 19-138 (filed </w:t>
      </w:r>
      <w:r w:rsidR="6B806548">
        <w:t>Mar</w:t>
      </w:r>
      <w:r>
        <w:t xml:space="preserve">. </w:t>
      </w:r>
      <w:r w:rsidR="1E302023">
        <w:t>18</w:t>
      </w:r>
      <w:r>
        <w:t>, 2022)</w:t>
      </w:r>
      <w:bookmarkEnd w:id="2"/>
      <w:r>
        <w:t xml:space="preserve"> </w:t>
      </w:r>
      <w:r w:rsidRPr="00063BB5">
        <w:rPr>
          <w:bCs/>
        </w:rPr>
        <w:t>(</w:t>
      </w:r>
      <w:r w:rsidRPr="00063BB5">
        <w:rPr>
          <w:bCs/>
          <w:i/>
          <w:iCs/>
        </w:rPr>
        <w:t>FDOT Waiver Request</w:t>
      </w:r>
      <w:r w:rsidRPr="00063BB5">
        <w:rPr>
          <w:bCs/>
        </w:rPr>
        <w:t>)</w:t>
      </w:r>
      <w:r>
        <w:t xml:space="preserve">, </w:t>
      </w:r>
      <w:hyperlink r:id="rId7" w:anchor="attachments">
        <w:r w:rsidRPr="195061BF" w:rsidR="0033442C">
          <w:rPr>
            <w:rStyle w:val="Hyperlink"/>
          </w:rPr>
          <w:t>https://appsint.fcc.gov/UlsApp/ApplicationSearch/applAdmin.jsp?applID=13292042#attachments</w:t>
        </w:r>
      </w:hyperlink>
      <w:r w:rsidR="0033442C">
        <w:t>;</w:t>
      </w:r>
      <w:r>
        <w:t xml:space="preserve"> </w:t>
      </w:r>
      <w:r w:rsidRPr="00564DED">
        <w:rPr>
          <w:i/>
          <w:iCs/>
        </w:rPr>
        <w:t>see also</w:t>
      </w:r>
      <w:r>
        <w:rPr>
          <w:i/>
          <w:iCs/>
        </w:rPr>
        <w:t xml:space="preserve"> </w:t>
      </w:r>
      <w:r>
        <w:t>Letter from Rudy Powell, Director, Traffic Engineering &amp; Operations Office, Florida Department of Transportation, to</w:t>
      </w:r>
      <w:r w:rsidRPr="002B473D">
        <w:t xml:space="preserve"> </w:t>
      </w:r>
      <w:r>
        <w:t xml:space="preserve">FCC, ET Docket No. 19-138 (filed Jul. 25, 2023) </w:t>
      </w:r>
      <w:r w:rsidRPr="00063BB5">
        <w:rPr>
          <w:bCs/>
        </w:rPr>
        <w:t>(</w:t>
      </w:r>
      <w:r w:rsidRPr="00063BB5">
        <w:rPr>
          <w:bCs/>
          <w:i/>
          <w:iCs/>
        </w:rPr>
        <w:t>FDOT Waiver Supplement</w:t>
      </w:r>
      <w:r w:rsidRPr="00063BB5">
        <w:rPr>
          <w:bCs/>
        </w:rPr>
        <w:t>)</w:t>
      </w:r>
      <w:r>
        <w:rPr>
          <w:bCs/>
        </w:rPr>
        <w:t xml:space="preserve">, </w:t>
      </w:r>
      <w:hyperlink r:id="rId8">
        <w:r w:rsidRPr="195061BF">
          <w:rPr>
            <w:rStyle w:val="Hyperlink"/>
          </w:rPr>
          <w:t>https://www.fcc.gov/ecfs/document/107251951813037/1</w:t>
        </w:r>
      </w:hyperlink>
      <w:r>
        <w:t xml:space="preserve">.  </w:t>
      </w:r>
    </w:p>
    <w:p w:rsidR="002A2E9D" w:rsidP="002A2E9D" w14:paraId="6F5E7C4D" w14:textId="2C197CCB">
      <w:pPr>
        <w:pStyle w:val="ParaNum"/>
        <w:numPr>
          <w:ilvl w:val="0"/>
          <w:numId w:val="0"/>
        </w:numPr>
        <w:jc w:val="left"/>
      </w:pPr>
      <w:r>
        <w:t xml:space="preserve">3.  </w:t>
      </w:r>
      <w:r w:rsidRPr="00C36A7C">
        <w:rPr>
          <w:u w:val="single"/>
        </w:rPr>
        <w:t>Georgia Department of Transportation</w:t>
      </w:r>
      <w:r>
        <w:t xml:space="preserve">.  </w:t>
      </w:r>
      <w:r w:rsidRPr="000C549E">
        <w:rPr>
          <w:i/>
          <w:iCs/>
        </w:rPr>
        <w:t>See</w:t>
      </w:r>
      <w:r>
        <w:t xml:space="preserve"> Letter from Alan S. Davis, PE, PTOE, Assistant State Traffic Engineer, Georgia Department of Transportation to</w:t>
      </w:r>
      <w:r w:rsidRPr="002B473D">
        <w:t xml:space="preserve"> </w:t>
      </w:r>
      <w:r>
        <w:t>Marlene H. Dortch, Secretary, FCC, ET Docket No. 19-138 (filed Sep. 1</w:t>
      </w:r>
      <w:r w:rsidR="610C109D">
        <w:t>6</w:t>
      </w:r>
      <w:r>
        <w:t xml:space="preserve">, 2021) </w:t>
      </w:r>
      <w:r w:rsidRPr="00063BB5">
        <w:rPr>
          <w:bCs/>
        </w:rPr>
        <w:t>(</w:t>
      </w:r>
      <w:r w:rsidRPr="00063BB5">
        <w:rPr>
          <w:bCs/>
          <w:i/>
          <w:iCs/>
        </w:rPr>
        <w:t>GDOT Waiver Request</w:t>
      </w:r>
      <w:r w:rsidRPr="00063BB5">
        <w:rPr>
          <w:bCs/>
        </w:rPr>
        <w:t>)</w:t>
      </w:r>
      <w:r>
        <w:t xml:space="preserve">, </w:t>
      </w:r>
      <w:hyperlink r:id="rId9" w:history="1">
        <w:r w:rsidRPr="00A36B6B" w:rsidR="00917264">
          <w:rPr>
            <w:rStyle w:val="Hyperlink"/>
          </w:rPr>
          <w:t>https://appsint.fcc.gov/UlsEntry/attachments/attachmentViewRD.jsp?applType=search&amp;fileKey=1222633222&amp;attachmentKey=21298307&amp;attachmentInd=applAttach</w:t>
        </w:r>
      </w:hyperlink>
      <w:r>
        <w:t>;</w:t>
      </w:r>
      <w:r w:rsidR="00917264">
        <w:t xml:space="preserve"> </w:t>
      </w:r>
      <w:r w:rsidRPr="00387755">
        <w:rPr>
          <w:i/>
          <w:iCs/>
        </w:rPr>
        <w:t>see also</w:t>
      </w:r>
      <w:r>
        <w:t xml:space="preserve"> Letter from Alan Davis, PE, PTOE, State Traffic Engineer, Georgia Department of Transportation to</w:t>
      </w:r>
      <w:r w:rsidRPr="002B473D">
        <w:t xml:space="preserve"> </w:t>
      </w:r>
      <w:r>
        <w:t xml:space="preserve">Marlene H. Dortch, Secretary, FCC, ET Docket No. 19-138 (filed Jun. 21, 2023) </w:t>
      </w:r>
      <w:r w:rsidRPr="00063BB5">
        <w:rPr>
          <w:bCs/>
        </w:rPr>
        <w:t>(</w:t>
      </w:r>
      <w:r w:rsidRPr="00063BB5">
        <w:rPr>
          <w:bCs/>
          <w:i/>
          <w:iCs/>
        </w:rPr>
        <w:t>GDOT Waiver Supplement</w:t>
      </w:r>
      <w:r w:rsidRPr="00063BB5">
        <w:rPr>
          <w:bCs/>
        </w:rPr>
        <w:t>)</w:t>
      </w:r>
      <w:r>
        <w:t xml:space="preserve">, </w:t>
      </w:r>
      <w:hyperlink r:id="rId10">
        <w:r w:rsidRPr="195061BF">
          <w:rPr>
            <w:rStyle w:val="Hyperlink"/>
          </w:rPr>
          <w:t>https://www.fcc.gov/ecfs/document/1062103966980/1</w:t>
        </w:r>
      </w:hyperlink>
      <w:r>
        <w:t>.</w:t>
      </w:r>
    </w:p>
    <w:p w:rsidR="002A2E9D" w:rsidP="002A2E9D" w14:paraId="16D37B5A" w14:textId="0FC74E04">
      <w:pPr>
        <w:pStyle w:val="ParaNum"/>
        <w:numPr>
          <w:ilvl w:val="0"/>
          <w:numId w:val="0"/>
        </w:numPr>
        <w:jc w:val="left"/>
      </w:pPr>
      <w:r>
        <w:t xml:space="preserve">4.  </w:t>
      </w:r>
      <w:r w:rsidRPr="009C7F16">
        <w:rPr>
          <w:u w:val="single"/>
        </w:rPr>
        <w:t>Hawaii Department of Transportation</w:t>
      </w:r>
      <w:r>
        <w:t xml:space="preserve">.  </w:t>
      </w:r>
      <w:r w:rsidRPr="00827910">
        <w:rPr>
          <w:i/>
          <w:iCs/>
        </w:rPr>
        <w:t>See</w:t>
      </w:r>
      <w:r>
        <w:t xml:space="preserve"> Request for Waiver of 5.9 GHz Band Rules to Permit Deployments of Cellular Vehicle-to</w:t>
      </w:r>
      <w:r w:rsidR="19281EB2">
        <w:t>-</w:t>
      </w:r>
      <w:r>
        <w:t xml:space="preserve">Everything Technology, Hawaii Department of Transportation, ET Docket No. 19-138 (filed Aug. 11, 2022) </w:t>
      </w:r>
      <w:r w:rsidRPr="00063BB5">
        <w:rPr>
          <w:bCs/>
        </w:rPr>
        <w:t>(</w:t>
      </w:r>
      <w:r w:rsidRPr="00063BB5">
        <w:rPr>
          <w:bCs/>
          <w:i/>
          <w:iCs/>
        </w:rPr>
        <w:t>HDOT Waiver Request</w:t>
      </w:r>
      <w:r w:rsidRPr="00063BB5">
        <w:rPr>
          <w:bCs/>
        </w:rPr>
        <w:t>)</w:t>
      </w:r>
      <w:r>
        <w:t xml:space="preserve">, </w:t>
      </w:r>
      <w:hyperlink r:id="rId11">
        <w:r w:rsidRPr="7973910A" w:rsidR="7D431D13">
          <w:rPr>
            <w:rStyle w:val="Hyperlink"/>
          </w:rPr>
          <w:t>https://www.fcc.gov/ecfs/document/108110953106667/1</w:t>
        </w:r>
      </w:hyperlink>
      <w:r w:rsidR="7D431D13">
        <w:t xml:space="preserve">; </w:t>
      </w:r>
      <w:r w:rsidRPr="7973910A" w:rsidR="7D431D13">
        <w:rPr>
          <w:i/>
          <w:iCs/>
        </w:rPr>
        <w:t>see also</w:t>
      </w:r>
      <w:r w:rsidR="7D431D13">
        <w:t xml:space="preserve"> Letter from Sergio George G. </w:t>
      </w:r>
      <w:r>
        <w:t xml:space="preserve">Abcede, Highways Administrator, Hawaii Department of Transportation, to Marlene H. Dortch, Secretary, FCC, ET Docket No. 19-138 (filed May 26, 2023) </w:t>
      </w:r>
      <w:r w:rsidRPr="00063BB5">
        <w:rPr>
          <w:bCs/>
        </w:rPr>
        <w:t>(</w:t>
      </w:r>
      <w:r w:rsidRPr="00063BB5">
        <w:rPr>
          <w:bCs/>
          <w:i/>
          <w:iCs/>
        </w:rPr>
        <w:t>HDOT Waiver Supplement</w:t>
      </w:r>
      <w:r w:rsidRPr="00063BB5">
        <w:rPr>
          <w:bCs/>
        </w:rPr>
        <w:t>)</w:t>
      </w:r>
      <w:r>
        <w:t xml:space="preserve">, </w:t>
      </w:r>
      <w:hyperlink r:id="rId12">
        <w:r w:rsidRPr="7973910A" w:rsidR="7D431D13">
          <w:rPr>
            <w:rStyle w:val="Hyperlink"/>
          </w:rPr>
          <w:t>https://www.fcc.gov/ecfs/document/105262299604945/1</w:t>
        </w:r>
      </w:hyperlink>
      <w:r w:rsidR="7D431D13">
        <w:t>.</w:t>
      </w:r>
    </w:p>
    <w:p w:rsidR="000F3B56" w:rsidP="002A2E9D" w14:paraId="2E6822D1" w14:textId="300E7CC3">
      <w:pPr>
        <w:pStyle w:val="ParaNum"/>
        <w:numPr>
          <w:ilvl w:val="0"/>
          <w:numId w:val="0"/>
        </w:numPr>
        <w:jc w:val="left"/>
      </w:pPr>
      <w:r>
        <w:t xml:space="preserve">5.  </w:t>
      </w:r>
      <w:r w:rsidRPr="003B15C2" w:rsidR="007A27CE">
        <w:rPr>
          <w:u w:val="single"/>
        </w:rPr>
        <w:t>Maryland Department of Transportation</w:t>
      </w:r>
      <w:r w:rsidR="0060181B">
        <w:t xml:space="preserve">.  </w:t>
      </w:r>
      <w:r w:rsidRPr="00022144" w:rsidR="0060181B">
        <w:rPr>
          <w:i/>
          <w:iCs/>
        </w:rPr>
        <w:t>See</w:t>
      </w:r>
      <w:r w:rsidR="0060181B">
        <w:t xml:space="preserve"> </w:t>
      </w:r>
      <w:r w:rsidR="00894A61">
        <w:t xml:space="preserve">Waiver </w:t>
      </w:r>
      <w:r w:rsidR="00090FC8">
        <w:t>Request to File for Use of C-V2X RSU on Allocated Part 90 ITS Channels for 5.895</w:t>
      </w:r>
      <w:r w:rsidR="00405632">
        <w:t>–</w:t>
      </w:r>
      <w:r w:rsidR="0020664A">
        <w:t>5,925 GHz Band, WRKJ514</w:t>
      </w:r>
      <w:r w:rsidR="00E8208E">
        <w:t xml:space="preserve"> </w:t>
      </w:r>
      <w:r w:rsidR="00B632D0">
        <w:t>(filed Mar</w:t>
      </w:r>
      <w:r w:rsidR="00D603CC">
        <w:t>. 16, 2022</w:t>
      </w:r>
      <w:r w:rsidR="00E8208E">
        <w:t>(</w:t>
      </w:r>
      <w:r w:rsidRPr="00A84ED6" w:rsidR="00E8208E">
        <w:rPr>
          <w:i/>
          <w:iCs/>
        </w:rPr>
        <w:t>SHA Waiver Request</w:t>
      </w:r>
      <w:r w:rsidR="00E8208E">
        <w:t>),</w:t>
      </w:r>
      <w:r w:rsidR="00C47FA1">
        <w:t xml:space="preserve"> </w:t>
      </w:r>
      <w:hyperlink r:id="rId13" w:history="1">
        <w:r w:rsidRPr="00A36B6B" w:rsidR="00973879">
          <w:rPr>
            <w:rStyle w:val="Hyperlink"/>
          </w:rPr>
          <w:t>https://appsint.fcc.gov/UlsEntry/attachments/attachmentViewRD.jsp?applType=search&amp;fileKey=714169856&amp;attachmentKey=21435297&amp;attachmentInd=applAttach</w:t>
        </w:r>
      </w:hyperlink>
      <w:r w:rsidR="0060181B">
        <w:t>;</w:t>
      </w:r>
      <w:r w:rsidR="00973879">
        <w:t xml:space="preserve"> </w:t>
      </w:r>
      <w:r w:rsidRPr="00022144" w:rsidR="0060181B">
        <w:rPr>
          <w:i/>
          <w:iCs/>
        </w:rPr>
        <w:t>see also</w:t>
      </w:r>
      <w:r w:rsidR="0060181B">
        <w:t xml:space="preserve"> </w:t>
      </w:r>
      <w:r w:rsidR="00022144">
        <w:t xml:space="preserve">Letter from </w:t>
      </w:r>
      <w:r w:rsidR="0060181B">
        <w:t xml:space="preserve">Jason </w:t>
      </w:r>
      <w:r w:rsidR="0060181B">
        <w:t>Dicembre</w:t>
      </w:r>
      <w:r w:rsidR="00D94BA7">
        <w:t xml:space="preserve">, </w:t>
      </w:r>
      <w:r w:rsidR="0060181B">
        <w:t>Director, Michigan Department of Transportation</w:t>
      </w:r>
      <w:r w:rsidR="00D94BA7">
        <w:t>, State Highway Administration</w:t>
      </w:r>
      <w:r w:rsidR="0060181B">
        <w:t>, to Marlene H. Dortch, Secretary, FCC, ET Docket No. 19-138 (filed Ju</w:t>
      </w:r>
      <w:r w:rsidR="00D94BA7">
        <w:t>l</w:t>
      </w:r>
      <w:r w:rsidR="0060181B">
        <w:t xml:space="preserve">. </w:t>
      </w:r>
      <w:r w:rsidR="00022144">
        <w:t>2</w:t>
      </w:r>
      <w:r w:rsidR="003F5168">
        <w:t>5</w:t>
      </w:r>
      <w:r w:rsidR="0060181B">
        <w:t xml:space="preserve">, 2023) </w:t>
      </w:r>
      <w:r w:rsidRPr="00063BB5" w:rsidR="0060181B">
        <w:rPr>
          <w:bCs/>
        </w:rPr>
        <w:t>(</w:t>
      </w:r>
      <w:r w:rsidR="00022144">
        <w:rPr>
          <w:bCs/>
          <w:i/>
          <w:iCs/>
        </w:rPr>
        <w:t>SHA</w:t>
      </w:r>
      <w:r w:rsidRPr="00063BB5" w:rsidR="0060181B">
        <w:rPr>
          <w:bCs/>
          <w:i/>
          <w:iCs/>
        </w:rPr>
        <w:t xml:space="preserve"> Waiver Supplement</w:t>
      </w:r>
      <w:r w:rsidRPr="00063BB5" w:rsidR="0060181B">
        <w:rPr>
          <w:bCs/>
        </w:rPr>
        <w:t>)</w:t>
      </w:r>
      <w:r w:rsidR="00CF2D97">
        <w:rPr>
          <w:bCs/>
        </w:rPr>
        <w:t xml:space="preserve">, </w:t>
      </w:r>
      <w:hyperlink r:id="rId14" w:history="1">
        <w:r w:rsidRPr="00A36B6B" w:rsidR="00973879">
          <w:rPr>
            <w:rStyle w:val="Hyperlink"/>
            <w:bCs/>
          </w:rPr>
          <w:t>https://appsint.fcc.gov/UlsEntry/attachments/attachmentViewRD.jsp?applType=search&amp;fileKey=297487047&amp;attachmentKey=21812495&amp;attachmentInd=licAttach</w:t>
        </w:r>
      </w:hyperlink>
      <w:r w:rsidR="009F49D4">
        <w:rPr>
          <w:bCs/>
        </w:rPr>
        <w:t>.</w:t>
      </w:r>
      <w:r w:rsidR="00973879">
        <w:rPr>
          <w:bCs/>
        </w:rPr>
        <w:t xml:space="preserve"> </w:t>
      </w:r>
    </w:p>
    <w:p w:rsidR="002A2E9D" w:rsidP="002A2E9D" w14:paraId="2DF27A38" w14:textId="52CB82FA">
      <w:pPr>
        <w:pStyle w:val="ParaNum"/>
        <w:numPr>
          <w:ilvl w:val="0"/>
          <w:numId w:val="0"/>
        </w:numPr>
        <w:jc w:val="left"/>
      </w:pPr>
      <w:r>
        <w:t>6</w:t>
      </w:r>
      <w:r>
        <w:t xml:space="preserve">.  </w:t>
      </w:r>
      <w:r w:rsidRPr="006F384B">
        <w:rPr>
          <w:u w:val="single"/>
        </w:rPr>
        <w:t>Michigan Department of Transportation</w:t>
      </w:r>
      <w:r>
        <w:t xml:space="preserve">.  </w:t>
      </w:r>
      <w:r w:rsidRPr="00827910">
        <w:rPr>
          <w:i/>
          <w:iCs/>
        </w:rPr>
        <w:t>See</w:t>
      </w:r>
      <w:r>
        <w:t xml:space="preserve"> Letter from Bradley Wieferich, Director, Michigan Department of Transportation, to the Honorable Jessica Rosenworcel, Chairwoman, FCC, ET Docket No. </w:t>
      </w:r>
      <w:r>
        <w:t xml:space="preserve">19-138 (filed May 2, 2023) </w:t>
      </w:r>
      <w:r w:rsidRPr="00063BB5">
        <w:rPr>
          <w:bCs/>
        </w:rPr>
        <w:t>(</w:t>
      </w:r>
      <w:r w:rsidRPr="00063BB5">
        <w:rPr>
          <w:bCs/>
          <w:i/>
          <w:iCs/>
        </w:rPr>
        <w:t>M</w:t>
      </w:r>
      <w:r>
        <w:rPr>
          <w:bCs/>
          <w:i/>
          <w:iCs/>
        </w:rPr>
        <w:t>I</w:t>
      </w:r>
      <w:r w:rsidRPr="00063BB5">
        <w:rPr>
          <w:bCs/>
          <w:i/>
          <w:iCs/>
        </w:rPr>
        <w:t>DOT Waiver Request</w:t>
      </w:r>
      <w:r w:rsidRPr="00063BB5">
        <w:rPr>
          <w:bCs/>
        </w:rPr>
        <w:t>)</w:t>
      </w:r>
      <w:r>
        <w:t xml:space="preserve">, </w:t>
      </w:r>
      <w:hyperlink r:id="rId15" w:history="1">
        <w:r w:rsidRPr="00533CA3">
          <w:rPr>
            <w:rStyle w:val="Hyperlink"/>
          </w:rPr>
          <w:t>https://www.fcc.gov/ecfs/document/10502076210156/1</w:t>
        </w:r>
      </w:hyperlink>
      <w:r>
        <w:t xml:space="preserve">; </w:t>
      </w:r>
      <w:r w:rsidRPr="00E71813">
        <w:rPr>
          <w:i/>
          <w:iCs/>
        </w:rPr>
        <w:t>see also</w:t>
      </w:r>
      <w:r>
        <w:t xml:space="preserve"> Letter from Bradley Wieferich, Director, Michigan Department of Transportation, to Marlene H. Dortch, Secretary, FCC, ET Docket No. 19-138 (filed Ju</w:t>
      </w:r>
      <w:r w:rsidR="00607AAA">
        <w:t>l</w:t>
      </w:r>
      <w:r>
        <w:t xml:space="preserve">. 21, 2023) </w:t>
      </w:r>
      <w:r w:rsidRPr="00063BB5">
        <w:rPr>
          <w:bCs/>
        </w:rPr>
        <w:t>(</w:t>
      </w:r>
      <w:r w:rsidRPr="00063BB5">
        <w:rPr>
          <w:bCs/>
          <w:i/>
          <w:iCs/>
        </w:rPr>
        <w:t>M</w:t>
      </w:r>
      <w:r>
        <w:rPr>
          <w:bCs/>
          <w:i/>
          <w:iCs/>
        </w:rPr>
        <w:t>I</w:t>
      </w:r>
      <w:r w:rsidRPr="00063BB5">
        <w:rPr>
          <w:bCs/>
          <w:i/>
          <w:iCs/>
        </w:rPr>
        <w:t>DOT Waiver Supplement</w:t>
      </w:r>
      <w:r w:rsidRPr="00063BB5">
        <w:rPr>
          <w:bCs/>
        </w:rPr>
        <w:t>)</w:t>
      </w:r>
      <w:r>
        <w:t xml:space="preserve">, </w:t>
      </w:r>
      <w:hyperlink r:id="rId16" w:history="1">
        <w:r w:rsidRPr="000122AE" w:rsidR="00121391">
          <w:rPr>
            <w:rStyle w:val="Hyperlink"/>
          </w:rPr>
          <w:t>https://appsint.fcc.gov/UlsEntry/attachments/attachmentViewRD.jsp?applType=search&amp;fileKey=976238320&amp;attachmentKey=21813201&amp;attachmentInd=licAttach</w:t>
        </w:r>
      </w:hyperlink>
      <w:r>
        <w:t>.</w:t>
      </w:r>
      <w:r w:rsidR="00121391">
        <w:t xml:space="preserve"> </w:t>
      </w:r>
      <w:r w:rsidR="00607313">
        <w:t xml:space="preserve"> </w:t>
      </w:r>
    </w:p>
    <w:p w:rsidR="000D5625" w:rsidP="002A2E9D" w14:paraId="6652A07D" w14:textId="2AD80E91">
      <w:pPr>
        <w:pStyle w:val="ParaNum"/>
        <w:numPr>
          <w:ilvl w:val="0"/>
          <w:numId w:val="0"/>
        </w:numPr>
        <w:jc w:val="left"/>
      </w:pPr>
      <w:r>
        <w:t>7</w:t>
      </w:r>
      <w:r w:rsidR="002A2E9D">
        <w:t>.</w:t>
      </w:r>
      <w:r>
        <w:t xml:space="preserve">  </w:t>
      </w:r>
      <w:r w:rsidRPr="000A2C16">
        <w:rPr>
          <w:u w:val="single"/>
        </w:rPr>
        <w:t>Nebraska Department of Transportation</w:t>
      </w:r>
      <w:r w:rsidR="002E48A5">
        <w:t xml:space="preserve">.  </w:t>
      </w:r>
      <w:r w:rsidRPr="00827910" w:rsidR="002E48A5">
        <w:rPr>
          <w:i/>
          <w:iCs/>
        </w:rPr>
        <w:t>See</w:t>
      </w:r>
      <w:r w:rsidR="002E48A5">
        <w:t xml:space="preserve"> Request for Waiver of 5.9 GHz Band Rules to Permit Deployments of Cellular Vehicle-to-Everything Technology, Nebraska Department of Transportation, ET Docket No. 19-138 (filed Jul. </w:t>
      </w:r>
      <w:r w:rsidR="002A53FA">
        <w:t>24</w:t>
      </w:r>
      <w:r w:rsidR="002E48A5">
        <w:t xml:space="preserve">, 2023) </w:t>
      </w:r>
      <w:r w:rsidRPr="00063BB5" w:rsidR="002E48A5">
        <w:rPr>
          <w:bCs/>
        </w:rPr>
        <w:t>(</w:t>
      </w:r>
      <w:r w:rsidRPr="00063BB5" w:rsidR="002E48A5">
        <w:rPr>
          <w:bCs/>
          <w:i/>
          <w:iCs/>
        </w:rPr>
        <w:t>NDOT Waiver Request</w:t>
      </w:r>
      <w:r w:rsidRPr="00063BB5" w:rsidR="002E48A5">
        <w:rPr>
          <w:bCs/>
        </w:rPr>
        <w:t>)</w:t>
      </w:r>
      <w:r w:rsidR="002E48A5">
        <w:t xml:space="preserve">, </w:t>
      </w:r>
      <w:hyperlink r:id="rId17" w:history="1">
        <w:r w:rsidRPr="00D144AA" w:rsidR="00071709">
          <w:rPr>
            <w:rStyle w:val="Hyperlink"/>
          </w:rPr>
          <w:t>https://www.fcc.gov/ecfs/document/1072434251874/1</w:t>
        </w:r>
      </w:hyperlink>
      <w:r w:rsidR="00071709">
        <w:t xml:space="preserve">; </w:t>
      </w:r>
      <w:r w:rsidRPr="000A2C16" w:rsidR="00644D2E">
        <w:rPr>
          <w:i/>
          <w:iCs/>
        </w:rPr>
        <w:t>see also</w:t>
      </w:r>
      <w:r w:rsidR="00644D2E">
        <w:t xml:space="preserve"> Letter from </w:t>
      </w:r>
      <w:r w:rsidR="003715AF">
        <w:t>Vicki Kramer</w:t>
      </w:r>
      <w:r w:rsidR="00644D2E">
        <w:t xml:space="preserve">, Director, NDOT, to Marlene H. Dortch, Secretary, FCC, ET Docket No. 19-138 (filed </w:t>
      </w:r>
      <w:r w:rsidR="003715AF">
        <w:t>Aug</w:t>
      </w:r>
      <w:r w:rsidR="00644D2E">
        <w:t xml:space="preserve">. </w:t>
      </w:r>
      <w:r w:rsidRPr="00A66DA1" w:rsidR="00A401B0">
        <w:t>9</w:t>
      </w:r>
      <w:r w:rsidR="00644D2E">
        <w:t xml:space="preserve">, 2023) </w:t>
      </w:r>
      <w:r w:rsidRPr="00063BB5" w:rsidR="00644D2E">
        <w:rPr>
          <w:bCs/>
        </w:rPr>
        <w:t>(</w:t>
      </w:r>
      <w:r w:rsidRPr="00063BB5" w:rsidR="00644D2E">
        <w:rPr>
          <w:bCs/>
          <w:i/>
          <w:iCs/>
        </w:rPr>
        <w:t>NDOT Waiver Supplement</w:t>
      </w:r>
      <w:r w:rsidRPr="00063BB5" w:rsidR="00644D2E">
        <w:rPr>
          <w:bCs/>
        </w:rPr>
        <w:t>)</w:t>
      </w:r>
      <w:r w:rsidR="00644D2E">
        <w:t xml:space="preserve">, </w:t>
      </w:r>
      <w:hyperlink r:id="rId18" w:history="1">
        <w:r w:rsidRPr="00B715B2" w:rsidR="00190884">
          <w:rPr>
            <w:rStyle w:val="Hyperlink"/>
          </w:rPr>
          <w:t>https://www.fcc.gov/ecfs/document/10809303491650/1</w:t>
        </w:r>
      </w:hyperlink>
      <w:r w:rsidR="00190884">
        <w:t xml:space="preserve">. </w:t>
      </w:r>
      <w:r w:rsidR="0017180F">
        <w:t xml:space="preserve"> </w:t>
      </w:r>
      <w:r w:rsidR="002E48A5">
        <w:t xml:space="preserve"> </w:t>
      </w:r>
      <w:r w:rsidR="002A2E9D">
        <w:t xml:space="preserve">  </w:t>
      </w:r>
    </w:p>
    <w:p w:rsidR="002A2E9D" w:rsidP="002A2E9D" w14:paraId="4A4793C7" w14:textId="03CA0337">
      <w:pPr>
        <w:pStyle w:val="ParaNum"/>
        <w:numPr>
          <w:ilvl w:val="0"/>
          <w:numId w:val="0"/>
        </w:numPr>
        <w:jc w:val="left"/>
      </w:pPr>
      <w:r>
        <w:t xml:space="preserve">8.  </w:t>
      </w:r>
      <w:r w:rsidRPr="00E16E38">
        <w:rPr>
          <w:u w:val="single"/>
        </w:rPr>
        <w:t>New Jersey Department of Transportation</w:t>
      </w:r>
      <w:r>
        <w:t xml:space="preserve">.  </w:t>
      </w:r>
      <w:r w:rsidRPr="00827910">
        <w:rPr>
          <w:i/>
          <w:iCs/>
        </w:rPr>
        <w:t>See</w:t>
      </w:r>
      <w:r>
        <w:t xml:space="preserve"> Request for Waiver of 5.9 GHz Band Rules to Permit Deployments of Cellular Vehicle-to</w:t>
      </w:r>
      <w:r w:rsidR="05762FDB">
        <w:t>-</w:t>
      </w:r>
      <w:r>
        <w:t xml:space="preserve">Everything Technology, New Jersey Department of Transportation, ET Docket No. 19-138 (filed Nov. 17, 2022) </w:t>
      </w:r>
      <w:r w:rsidRPr="00063BB5">
        <w:rPr>
          <w:bCs/>
        </w:rPr>
        <w:t>(</w:t>
      </w:r>
      <w:r w:rsidRPr="00063BB5">
        <w:rPr>
          <w:bCs/>
          <w:i/>
          <w:iCs/>
        </w:rPr>
        <w:t>NJDOT Waiver Request</w:t>
      </w:r>
      <w:r w:rsidRPr="00063BB5">
        <w:rPr>
          <w:bCs/>
        </w:rPr>
        <w:t>)</w:t>
      </w:r>
      <w:r>
        <w:t xml:space="preserve">, </w:t>
      </w:r>
      <w:hyperlink r:id="rId19">
        <w:r w:rsidRPr="7973910A" w:rsidR="7D431D13">
          <w:rPr>
            <w:rStyle w:val="Hyperlink"/>
          </w:rPr>
          <w:t>https://www.fcc.gov/ecfs/document/1117245967388/1</w:t>
        </w:r>
      </w:hyperlink>
      <w:r>
        <w:t xml:space="preserve">; </w:t>
      </w:r>
      <w:r w:rsidRPr="00E71813">
        <w:rPr>
          <w:i/>
          <w:iCs/>
        </w:rPr>
        <w:t>see also</w:t>
      </w:r>
      <w:r>
        <w:t xml:space="preserve"> Letter from Salvatore Cowan, Senior Director, Transportation Mobility, NJDOT, to Marlene H. Dortch, Secretary, FCC, ET Docket No. 19-138 (filed Jun. </w:t>
      </w:r>
      <w:r w:rsidR="009A340B">
        <w:t>5</w:t>
      </w:r>
      <w:r>
        <w:t xml:space="preserve">, 2023) </w:t>
      </w:r>
      <w:r w:rsidRPr="00063BB5">
        <w:rPr>
          <w:bCs/>
        </w:rPr>
        <w:t>(</w:t>
      </w:r>
      <w:r w:rsidRPr="00063BB5">
        <w:rPr>
          <w:bCs/>
          <w:i/>
          <w:iCs/>
        </w:rPr>
        <w:t>NJDOT Waiver Supplement</w:t>
      </w:r>
      <w:r w:rsidRPr="00063BB5">
        <w:rPr>
          <w:bCs/>
        </w:rPr>
        <w:t>)</w:t>
      </w:r>
      <w:r>
        <w:t xml:space="preserve">, </w:t>
      </w:r>
      <w:hyperlink r:id="rId20" w:history="1">
        <w:r w:rsidRPr="000122AE" w:rsidR="00121391">
          <w:rPr>
            <w:rStyle w:val="Hyperlink"/>
          </w:rPr>
          <w:t>https://appsint.fcc.gov/UlsEntry/attachments/attachmentViewRD.jsp?applType=search&amp;fileKey=1211423084&amp;attachmentKey=21771245&amp;attachmentInd=applAttach</w:t>
        </w:r>
      </w:hyperlink>
      <w:r>
        <w:t>.</w:t>
      </w:r>
      <w:r w:rsidR="00121391">
        <w:t xml:space="preserve"> </w:t>
      </w:r>
      <w:r>
        <w:t xml:space="preserve"> </w:t>
      </w:r>
    </w:p>
    <w:p w:rsidR="002A2E9D" w:rsidP="002A2E9D" w14:paraId="36FD268A" w14:textId="6286F425">
      <w:pPr>
        <w:pStyle w:val="ParaNum"/>
        <w:numPr>
          <w:ilvl w:val="0"/>
          <w:numId w:val="0"/>
        </w:numPr>
        <w:jc w:val="left"/>
      </w:pPr>
      <w:r>
        <w:t>9</w:t>
      </w:r>
      <w:r>
        <w:t xml:space="preserve">.  </w:t>
      </w:r>
      <w:r w:rsidRPr="005E7CE6">
        <w:rPr>
          <w:u w:val="single"/>
        </w:rPr>
        <w:t>Ohio Department of Transportation/</w:t>
      </w:r>
      <w:r w:rsidRPr="005E7CE6">
        <w:rPr>
          <w:u w:val="single"/>
        </w:rPr>
        <w:t>DriveOhio</w:t>
      </w:r>
      <w:r>
        <w:t xml:space="preserve">.  </w:t>
      </w:r>
      <w:r w:rsidRPr="00B80F90">
        <w:rPr>
          <w:i/>
          <w:iCs/>
        </w:rPr>
        <w:t>See</w:t>
      </w:r>
      <w:r>
        <w:t xml:space="preserve"> Request for Waiver of 5.9 GHz Band Rules to Permit Deployments of Cellular Vehicle-to</w:t>
      </w:r>
      <w:r w:rsidR="7638C78F">
        <w:t>-</w:t>
      </w:r>
      <w:r>
        <w:t>Everything Technology, Ohio Department of Transportation/</w:t>
      </w:r>
      <w:r>
        <w:t>DriveOhio</w:t>
      </w:r>
      <w:r>
        <w:t xml:space="preserve">, ET Docket No. 19-138 (filed Jun. 10, 2022) </w:t>
      </w:r>
      <w:r w:rsidRPr="00063BB5">
        <w:rPr>
          <w:bCs/>
        </w:rPr>
        <w:t>(</w:t>
      </w:r>
      <w:r w:rsidRPr="00063BB5">
        <w:rPr>
          <w:bCs/>
          <w:i/>
          <w:iCs/>
        </w:rPr>
        <w:t>DriveOhio</w:t>
      </w:r>
      <w:r w:rsidRPr="00063BB5">
        <w:rPr>
          <w:bCs/>
          <w:i/>
          <w:iCs/>
        </w:rPr>
        <w:t xml:space="preserve"> Waiver Request</w:t>
      </w:r>
      <w:r w:rsidRPr="00063BB5">
        <w:rPr>
          <w:bCs/>
        </w:rPr>
        <w:t>)</w:t>
      </w:r>
      <w:r>
        <w:t xml:space="preserve">, </w:t>
      </w:r>
      <w:hyperlink r:id="rId21">
        <w:r w:rsidRPr="7973910A" w:rsidR="7D431D13">
          <w:rPr>
            <w:rStyle w:val="Hyperlink"/>
          </w:rPr>
          <w:t>https://www.fcc.gov/ecfs/document/10610079723182/1</w:t>
        </w:r>
      </w:hyperlink>
      <w:r>
        <w:t xml:space="preserve">; </w:t>
      </w:r>
      <w:r w:rsidRPr="00E71813">
        <w:rPr>
          <w:i/>
          <w:iCs/>
        </w:rPr>
        <w:t>see also</w:t>
      </w:r>
      <w:r>
        <w:t xml:space="preserve"> Letter from Preeti Choudhary, Executive Director, </w:t>
      </w:r>
      <w:r>
        <w:t>DriveOhio</w:t>
      </w:r>
      <w:r>
        <w:t xml:space="preserve">, to Marlene H. Dortch, Secretary, FCC, ET Docket No. 19-138 (filed May 9, 2023) </w:t>
      </w:r>
      <w:r w:rsidRPr="00063BB5">
        <w:rPr>
          <w:bCs/>
        </w:rPr>
        <w:t>(</w:t>
      </w:r>
      <w:r w:rsidRPr="00063BB5">
        <w:rPr>
          <w:bCs/>
          <w:i/>
          <w:iCs/>
        </w:rPr>
        <w:t>DriveOhio</w:t>
      </w:r>
      <w:r w:rsidRPr="00063BB5">
        <w:rPr>
          <w:bCs/>
          <w:i/>
          <w:iCs/>
        </w:rPr>
        <w:t xml:space="preserve"> Waiver Supplement</w:t>
      </w:r>
      <w:r w:rsidRPr="00063BB5">
        <w:rPr>
          <w:bCs/>
        </w:rPr>
        <w:t>)</w:t>
      </w:r>
      <w:r>
        <w:t xml:space="preserve">, </w:t>
      </w:r>
      <w:hyperlink r:id="rId22">
        <w:r w:rsidRPr="7973910A" w:rsidR="7D431D13">
          <w:rPr>
            <w:rStyle w:val="Hyperlink"/>
          </w:rPr>
          <w:t>https://www.fcc.gov/ecfs/document/1050914811190/1</w:t>
        </w:r>
      </w:hyperlink>
      <w:r w:rsidR="7D431D13">
        <w:t>.</w:t>
      </w:r>
    </w:p>
    <w:p w:rsidR="002A2E9D" w:rsidP="002A2E9D" w14:paraId="28BC4F88" w14:textId="27EA3729">
      <w:pPr>
        <w:pStyle w:val="ParaNum"/>
        <w:numPr>
          <w:ilvl w:val="0"/>
          <w:numId w:val="0"/>
        </w:numPr>
        <w:jc w:val="left"/>
      </w:pPr>
      <w:r>
        <w:t>10</w:t>
      </w:r>
      <w:r>
        <w:t xml:space="preserve">.  </w:t>
      </w:r>
      <w:r w:rsidRPr="00E16E38">
        <w:rPr>
          <w:u w:val="single"/>
        </w:rPr>
        <w:t>Oregon Department of Transportation</w:t>
      </w:r>
      <w:r>
        <w:t xml:space="preserve">.  </w:t>
      </w:r>
      <w:r w:rsidRPr="002B5471">
        <w:rPr>
          <w:i/>
          <w:iCs/>
        </w:rPr>
        <w:t>See</w:t>
      </w:r>
      <w:r>
        <w:t xml:space="preserve"> Letter from Letter from Galen McGill, P.E., State Maintenance and Operations Engineer, Oregon Department of Transportation, to the Honorable Jessica Rosenworcel, Chairwoman, FCC, ET Docket No. 19-138 (filed Sep. 19, 2022) </w:t>
      </w:r>
      <w:r w:rsidRPr="00063BB5">
        <w:rPr>
          <w:bCs/>
        </w:rPr>
        <w:t>(</w:t>
      </w:r>
      <w:r w:rsidRPr="00063BB5">
        <w:rPr>
          <w:bCs/>
          <w:i/>
          <w:iCs/>
        </w:rPr>
        <w:t>ODOT Waiver Request</w:t>
      </w:r>
      <w:r w:rsidRPr="00063BB5">
        <w:rPr>
          <w:bCs/>
        </w:rPr>
        <w:t>)</w:t>
      </w:r>
      <w:r>
        <w:t xml:space="preserve">,  </w:t>
      </w:r>
      <w:hyperlink r:id="rId23">
        <w:r w:rsidRPr="39B9145C" w:rsidR="7D431D13">
          <w:rPr>
            <w:rStyle w:val="Hyperlink"/>
          </w:rPr>
          <w:t>https://www.fcc.gov/ecfs/document/10916210582277/1</w:t>
        </w:r>
      </w:hyperlink>
      <w:r>
        <w:t xml:space="preserve">; </w:t>
      </w:r>
      <w:r w:rsidRPr="002A0940">
        <w:rPr>
          <w:i/>
        </w:rPr>
        <w:t>see also</w:t>
      </w:r>
      <w:r>
        <w:t xml:space="preserve"> Letter from Galen McGill, P.E., State Maintenance and Operations Engineer, Oregon Department of Transportation, to</w:t>
      </w:r>
      <w:r w:rsidRPr="00637F3F">
        <w:t xml:space="preserve"> </w:t>
      </w:r>
      <w:r>
        <w:t xml:space="preserve">Marlene H. Dortch, Secretary, FCC, ET Docket No. 19-138 (filed Jul. 20, 2023) </w:t>
      </w:r>
      <w:r w:rsidRPr="00063BB5">
        <w:rPr>
          <w:bCs/>
        </w:rPr>
        <w:t>(</w:t>
      </w:r>
      <w:r w:rsidRPr="00063BB5">
        <w:rPr>
          <w:bCs/>
          <w:i/>
          <w:iCs/>
        </w:rPr>
        <w:t>ODOT Waiver Supplement</w:t>
      </w:r>
      <w:r w:rsidRPr="00063BB5">
        <w:rPr>
          <w:bCs/>
        </w:rPr>
        <w:t>)</w:t>
      </w:r>
      <w:r>
        <w:t>,</w:t>
      </w:r>
      <w:r w:rsidR="003F7753">
        <w:t xml:space="preserve"> </w:t>
      </w:r>
      <w:hyperlink r:id="rId24" w:history="1">
        <w:r w:rsidRPr="00A36B6B" w:rsidR="00973879">
          <w:rPr>
            <w:rStyle w:val="Hyperlink"/>
          </w:rPr>
          <w:t>https://appsint.fcc.gov/UlsEntry/attachments/attachmentViewRD.jsp?applType=search&amp;fileKey=133605612&amp;attachmentKey=21812564&amp;attachmentInd=licAttach</w:t>
        </w:r>
      </w:hyperlink>
      <w:r>
        <w:t>.</w:t>
      </w:r>
      <w:r w:rsidR="00973879">
        <w:t xml:space="preserve"> </w:t>
      </w:r>
    </w:p>
    <w:p w:rsidR="002A2E9D" w:rsidP="002A2E9D" w14:paraId="5B43CE40" w14:textId="6A38D295">
      <w:pPr>
        <w:pStyle w:val="ParaNum"/>
        <w:numPr>
          <w:ilvl w:val="0"/>
          <w:numId w:val="0"/>
        </w:numPr>
        <w:jc w:val="left"/>
      </w:pPr>
      <w:r>
        <w:t>1</w:t>
      </w:r>
      <w:r w:rsidR="002A53FA">
        <w:t>1</w:t>
      </w:r>
      <w:r>
        <w:t xml:space="preserve">.  </w:t>
      </w:r>
      <w:r w:rsidRPr="00292248">
        <w:rPr>
          <w:u w:val="single"/>
        </w:rPr>
        <w:t>Texas Department of Transportation</w:t>
      </w:r>
      <w:r>
        <w:t xml:space="preserve">.  </w:t>
      </w:r>
      <w:r w:rsidRPr="00827910">
        <w:rPr>
          <w:i/>
          <w:iCs/>
        </w:rPr>
        <w:t>See</w:t>
      </w:r>
      <w:r>
        <w:t xml:space="preserve"> Request for Waiver of 5.9 GHz Band Rules to Permit Deployments of Cellular Vehicle-to</w:t>
      </w:r>
      <w:r w:rsidR="6AB28D2A">
        <w:t>-</w:t>
      </w:r>
      <w:r>
        <w:t xml:space="preserve">Everything Technology, Texas Department of Transportation, ET Docket No. 19-138 (filed Jul. 28, 2022) </w:t>
      </w:r>
      <w:r w:rsidRPr="00063BB5">
        <w:rPr>
          <w:bCs/>
        </w:rPr>
        <w:t>(</w:t>
      </w:r>
      <w:r w:rsidRPr="00063BB5">
        <w:rPr>
          <w:bCs/>
          <w:i/>
          <w:iCs/>
        </w:rPr>
        <w:t>T</w:t>
      </w:r>
      <w:r>
        <w:rPr>
          <w:bCs/>
          <w:i/>
          <w:iCs/>
        </w:rPr>
        <w:t>X</w:t>
      </w:r>
      <w:r w:rsidRPr="00063BB5">
        <w:rPr>
          <w:bCs/>
          <w:i/>
          <w:iCs/>
        </w:rPr>
        <w:t>DOT Waiver Request</w:t>
      </w:r>
      <w:r w:rsidRPr="00063BB5">
        <w:rPr>
          <w:bCs/>
        </w:rPr>
        <w:t>)</w:t>
      </w:r>
      <w:r>
        <w:t xml:space="preserve">, </w:t>
      </w:r>
      <w:hyperlink r:id="rId25">
        <w:r w:rsidRPr="7973910A" w:rsidR="7D431D13">
          <w:rPr>
            <w:rStyle w:val="Hyperlink"/>
          </w:rPr>
          <w:t>https://www.fcc.gov/ecfs/document/1072828277753/1</w:t>
        </w:r>
      </w:hyperlink>
      <w:r w:rsidR="7D431D13">
        <w:t xml:space="preserve">; </w:t>
      </w:r>
      <w:r w:rsidRPr="002A0940" w:rsidR="7D431D13">
        <w:rPr>
          <w:i/>
        </w:rPr>
        <w:t>see also</w:t>
      </w:r>
      <w:r w:rsidR="7D431D13">
        <w:t xml:space="preserve"> Letter from Marc D. </w:t>
      </w:r>
      <w:r>
        <w:t xml:space="preserve">Williams, P.E., Executive Director, Texas Department of Transportation, to Marlene H. Dortch, Secretary, FCC, ET Docket No. 19-138 (filed Jul. 10, 2023) </w:t>
      </w:r>
      <w:r w:rsidRPr="00063BB5">
        <w:rPr>
          <w:bCs/>
        </w:rPr>
        <w:t>(</w:t>
      </w:r>
      <w:r w:rsidRPr="00063BB5">
        <w:rPr>
          <w:bCs/>
          <w:i/>
          <w:iCs/>
        </w:rPr>
        <w:t>T</w:t>
      </w:r>
      <w:r>
        <w:rPr>
          <w:bCs/>
          <w:i/>
          <w:iCs/>
        </w:rPr>
        <w:t>X</w:t>
      </w:r>
      <w:r w:rsidRPr="00063BB5">
        <w:rPr>
          <w:bCs/>
          <w:i/>
          <w:iCs/>
        </w:rPr>
        <w:t>DOT Waiver Supplement</w:t>
      </w:r>
      <w:r w:rsidRPr="00063BB5">
        <w:rPr>
          <w:bCs/>
        </w:rPr>
        <w:t>)</w:t>
      </w:r>
      <w:r>
        <w:t xml:space="preserve">, </w:t>
      </w:r>
      <w:hyperlink r:id="rId26">
        <w:r w:rsidRPr="7973910A" w:rsidR="7D431D13">
          <w:rPr>
            <w:rStyle w:val="Hyperlink"/>
          </w:rPr>
          <w:t>https://www.fcc.gov/ecfs/document/10712881930604/1</w:t>
        </w:r>
      </w:hyperlink>
      <w:r w:rsidR="7D431D13">
        <w:t>.</w:t>
      </w:r>
    </w:p>
    <w:p w:rsidR="002A2E9D" w:rsidP="002A2E9D" w14:paraId="534C4FC8" w14:textId="20F38ADA">
      <w:pPr>
        <w:pStyle w:val="ParaNum"/>
        <w:numPr>
          <w:ilvl w:val="0"/>
          <w:numId w:val="0"/>
        </w:numPr>
        <w:jc w:val="left"/>
      </w:pPr>
      <w:r>
        <w:t>1</w:t>
      </w:r>
      <w:r w:rsidR="002A53FA">
        <w:t>2</w:t>
      </w:r>
      <w:r>
        <w:t xml:space="preserve">.  </w:t>
      </w:r>
      <w:r w:rsidRPr="00E16E38">
        <w:rPr>
          <w:u w:val="single"/>
        </w:rPr>
        <w:t>Wyoming Department of Transportation</w:t>
      </w:r>
      <w:r>
        <w:t xml:space="preserve">.  </w:t>
      </w:r>
      <w:r w:rsidRPr="005B5AE1">
        <w:rPr>
          <w:i/>
          <w:iCs/>
        </w:rPr>
        <w:t>See</w:t>
      </w:r>
      <w:r>
        <w:t xml:space="preserve"> Request for Waiver of 5.9 GHz Band Rules to Permit Deployments of Cellular Vehicle-to</w:t>
      </w:r>
      <w:r w:rsidR="293DB0B6">
        <w:t>-</w:t>
      </w:r>
      <w:r>
        <w:t xml:space="preserve">Everything Technology, Wyoming Department of Transportation, </w:t>
      </w:r>
      <w:r>
        <w:t xml:space="preserve">ET Docket No. 19-138 (filed </w:t>
      </w:r>
      <w:r w:rsidR="00A014B5">
        <w:t>Aug</w:t>
      </w:r>
      <w:r>
        <w:t xml:space="preserve">. </w:t>
      </w:r>
      <w:r w:rsidR="00A014B5">
        <w:t>22</w:t>
      </w:r>
      <w:r>
        <w:t>, 202</w:t>
      </w:r>
      <w:r w:rsidR="00A014B5">
        <w:t>2</w:t>
      </w:r>
      <w:r>
        <w:t xml:space="preserve">) </w:t>
      </w:r>
      <w:r w:rsidRPr="00063BB5">
        <w:rPr>
          <w:bCs/>
        </w:rPr>
        <w:t>(</w:t>
      </w:r>
      <w:r w:rsidRPr="00063BB5">
        <w:rPr>
          <w:bCs/>
          <w:i/>
          <w:iCs/>
        </w:rPr>
        <w:t>W</w:t>
      </w:r>
      <w:r>
        <w:rPr>
          <w:bCs/>
          <w:i/>
          <w:iCs/>
        </w:rPr>
        <w:t>Y</w:t>
      </w:r>
      <w:r w:rsidRPr="00063BB5">
        <w:rPr>
          <w:bCs/>
          <w:i/>
          <w:iCs/>
        </w:rPr>
        <w:t>DOT Waiver Request</w:t>
      </w:r>
      <w:r w:rsidRPr="00063BB5">
        <w:rPr>
          <w:bCs/>
        </w:rPr>
        <w:t>)</w:t>
      </w:r>
      <w:r>
        <w:t xml:space="preserve">, </w:t>
      </w:r>
      <w:hyperlink r:id="rId27" w:history="1">
        <w:r w:rsidRPr="000122AE" w:rsidR="00012087">
          <w:rPr>
            <w:rStyle w:val="Hyperlink"/>
          </w:rPr>
          <w:t>https://appsint.fcc.gov/UlsEntry/attachments/attachmentViewRD.jsp?applType=search&amp;fileKey=845830779&amp;attachmentKey=21560863&amp;attachmentInd=applAttach</w:t>
        </w:r>
      </w:hyperlink>
      <w:r w:rsidRPr="003B32AA">
        <w:t>;</w:t>
      </w:r>
      <w:r w:rsidR="00012087">
        <w:t xml:space="preserve"> </w:t>
      </w:r>
      <w:r w:rsidR="004D2019">
        <w:t xml:space="preserve"> </w:t>
      </w:r>
      <w:r w:rsidRPr="005B5AE1">
        <w:rPr>
          <w:i/>
          <w:iCs/>
        </w:rPr>
        <w:t>see also</w:t>
      </w:r>
      <w:r>
        <w:t xml:space="preserve"> Letter from R. Vince Garcia, P.E., GIS/ITS/TMC Program Manager, Wyoming Department of Transportation, to Marlene H. Dortch, Secretary, FCC, ET Docket No. 19-138 (filed Jul. 21, 2023) </w:t>
      </w:r>
      <w:r w:rsidRPr="00063BB5">
        <w:rPr>
          <w:bCs/>
        </w:rPr>
        <w:t>(</w:t>
      </w:r>
      <w:r w:rsidRPr="00063BB5">
        <w:rPr>
          <w:bCs/>
          <w:i/>
          <w:iCs/>
        </w:rPr>
        <w:t>W</w:t>
      </w:r>
      <w:r>
        <w:rPr>
          <w:bCs/>
          <w:i/>
          <w:iCs/>
        </w:rPr>
        <w:t>Y</w:t>
      </w:r>
      <w:r w:rsidRPr="00063BB5">
        <w:rPr>
          <w:bCs/>
          <w:i/>
          <w:iCs/>
        </w:rPr>
        <w:t>DOT Waiver Supplement</w:t>
      </w:r>
      <w:r w:rsidRPr="00063BB5">
        <w:rPr>
          <w:bCs/>
        </w:rPr>
        <w:t>)</w:t>
      </w:r>
      <w:r>
        <w:t xml:space="preserve">, </w:t>
      </w:r>
      <w:hyperlink r:id="rId28" w:history="1">
        <w:r w:rsidRPr="00A36B6B" w:rsidR="00973879">
          <w:rPr>
            <w:rStyle w:val="Hyperlink"/>
          </w:rPr>
          <w:t>https://appsint.fcc.gov/UlsEntry/attachments/attachmentViewRD.jsp?applType=search&amp;fileKey=1871643475&amp;attachmentKey=21812552&amp;attachmentInd=licAttach</w:t>
        </w:r>
      </w:hyperlink>
      <w:r w:rsidR="007908A5">
        <w:t>.</w:t>
      </w:r>
      <w:r w:rsidR="00973879">
        <w:t xml:space="preserve"> </w:t>
      </w:r>
    </w:p>
    <w:p w:rsidR="002A2E9D" w:rsidP="002A2E9D" w14:paraId="02455441" w14:textId="685F0F3D">
      <w:pPr>
        <w:pStyle w:val="ParaNum"/>
        <w:numPr>
          <w:ilvl w:val="0"/>
          <w:numId w:val="0"/>
        </w:numPr>
        <w:jc w:val="left"/>
      </w:pPr>
      <w:r>
        <w:t>1</w:t>
      </w:r>
      <w:r w:rsidR="00DC5D01">
        <w:t>3</w:t>
      </w:r>
      <w:r>
        <w:t xml:space="preserve">.  </w:t>
      </w:r>
      <w:r w:rsidRPr="00605451">
        <w:rPr>
          <w:u w:val="single"/>
        </w:rPr>
        <w:t>City and County of Denver</w:t>
      </w:r>
      <w:r>
        <w:t xml:space="preserve">. </w:t>
      </w:r>
      <w:r w:rsidRPr="002A0940">
        <w:rPr>
          <w:i/>
        </w:rPr>
        <w:t>See</w:t>
      </w:r>
      <w:r>
        <w:t xml:space="preserve"> Request for Waiver of 5.9 GHz Band Rules to Permit Deployments of Cellular Vehicle-to</w:t>
      </w:r>
      <w:r w:rsidR="54715409">
        <w:t>-</w:t>
      </w:r>
      <w:r>
        <w:t xml:space="preserve">Everything Technology, City and County of Denver, ET Docket No. 19-138 (filed Dec. 7, 2022) </w:t>
      </w:r>
      <w:r w:rsidRPr="00063BB5">
        <w:rPr>
          <w:bCs/>
        </w:rPr>
        <w:t>(</w:t>
      </w:r>
      <w:r w:rsidRPr="00063BB5">
        <w:rPr>
          <w:bCs/>
          <w:i/>
          <w:iCs/>
        </w:rPr>
        <w:t>CCD Waiver Request</w:t>
      </w:r>
      <w:r w:rsidRPr="00063BB5">
        <w:rPr>
          <w:bCs/>
        </w:rPr>
        <w:t>)</w:t>
      </w:r>
      <w:r>
        <w:t xml:space="preserve">, </w:t>
      </w:r>
      <w:hyperlink r:id="rId29">
        <w:r w:rsidRPr="7973910A" w:rsidR="7D431D13">
          <w:rPr>
            <w:rStyle w:val="Hyperlink"/>
          </w:rPr>
          <w:t>https://www.fcc.gov/ecfs/document/120716430785/1</w:t>
        </w:r>
      </w:hyperlink>
      <w:r>
        <w:t xml:space="preserve">; </w:t>
      </w:r>
      <w:r w:rsidRPr="00514773">
        <w:rPr>
          <w:i/>
          <w:iCs/>
        </w:rPr>
        <w:t>see also</w:t>
      </w:r>
      <w:r>
        <w:t xml:space="preserve"> </w:t>
      </w:r>
      <w:bookmarkStart w:id="3" w:name="_Hlk141085626"/>
      <w:r>
        <w:t xml:space="preserve">Letter from John Yu, PE, ATCMTD Program Manager, Senor Engineer, City and County of Denver, to Marlene H. Dortch, Secretary, FCC, ET Docket No. 19-138 (filed Jul. 21, 2023) </w:t>
      </w:r>
      <w:r w:rsidRPr="00063BB5">
        <w:rPr>
          <w:bCs/>
        </w:rPr>
        <w:t>(</w:t>
      </w:r>
      <w:r w:rsidRPr="00063BB5">
        <w:rPr>
          <w:bCs/>
          <w:i/>
          <w:iCs/>
        </w:rPr>
        <w:t>CCD Waiver Supplement</w:t>
      </w:r>
      <w:r w:rsidRPr="00063BB5">
        <w:rPr>
          <w:bCs/>
        </w:rPr>
        <w:t>)</w:t>
      </w:r>
      <w:r>
        <w:t xml:space="preserve">, </w:t>
      </w:r>
      <w:bookmarkEnd w:id="3"/>
      <w:hyperlink r:id="rId30" w:history="1">
        <w:r w:rsidRPr="00533CA3">
          <w:rPr>
            <w:rStyle w:val="Hyperlink"/>
          </w:rPr>
          <w:t>https://www.fcc.gov/ecfs/document/1072170179938/1</w:t>
        </w:r>
      </w:hyperlink>
      <w:r>
        <w:t xml:space="preserve">. </w:t>
      </w:r>
    </w:p>
    <w:p w:rsidR="002A2E9D" w:rsidP="002A2E9D" w14:paraId="38BDEE92" w14:textId="21D88BD3">
      <w:pPr>
        <w:pStyle w:val="ParaNum"/>
        <w:numPr>
          <w:ilvl w:val="0"/>
          <w:numId w:val="0"/>
        </w:numPr>
        <w:jc w:val="left"/>
      </w:pPr>
      <w:r>
        <w:t>1</w:t>
      </w:r>
      <w:r w:rsidR="00DC5D01">
        <w:t>4</w:t>
      </w:r>
      <w:r>
        <w:t xml:space="preserve">.  </w:t>
      </w:r>
      <w:r w:rsidRPr="00843B95">
        <w:rPr>
          <w:u w:val="single"/>
        </w:rPr>
        <w:t>Macomb County Department of Roads</w:t>
      </w:r>
      <w:r>
        <w:t xml:space="preserve">.  </w:t>
      </w:r>
      <w:r w:rsidRPr="00827910">
        <w:rPr>
          <w:i/>
          <w:iCs/>
        </w:rPr>
        <w:t>See</w:t>
      </w:r>
      <w:r>
        <w:t xml:space="preserve"> Request for Waiver of 5.9 GHz Band Rules to Permit Deployments of Cellular Vehicle-to</w:t>
      </w:r>
      <w:r w:rsidR="623A6796">
        <w:t>-</w:t>
      </w:r>
      <w:r>
        <w:t xml:space="preserve">Everything Technology, Macomb County Department of Roads, ET Docket No. 19-138 (filed Jul. 11, 2023) </w:t>
      </w:r>
      <w:r w:rsidRPr="00063BB5">
        <w:rPr>
          <w:bCs/>
        </w:rPr>
        <w:t>(</w:t>
      </w:r>
      <w:r w:rsidRPr="00063BB5">
        <w:rPr>
          <w:bCs/>
          <w:i/>
          <w:iCs/>
        </w:rPr>
        <w:t>MCDOR Waiver Request</w:t>
      </w:r>
      <w:r w:rsidRPr="00063BB5">
        <w:rPr>
          <w:bCs/>
        </w:rPr>
        <w:t>)</w:t>
      </w:r>
      <w:r>
        <w:t xml:space="preserve">, </w:t>
      </w:r>
      <w:hyperlink r:id="rId31">
        <w:r w:rsidRPr="7973910A" w:rsidR="7D431D13">
          <w:rPr>
            <w:rStyle w:val="Hyperlink"/>
          </w:rPr>
          <w:t>https://www.fcc.gov/ecfs/document/10711003238745/1</w:t>
        </w:r>
      </w:hyperlink>
      <w:r w:rsidR="7D431D13">
        <w:t>.</w:t>
      </w:r>
    </w:p>
    <w:p w:rsidR="002A2E9D" w:rsidP="002A2E9D" w14:paraId="76271172" w14:textId="6DD65C16">
      <w:pPr>
        <w:pStyle w:val="ParaNum"/>
        <w:numPr>
          <w:ilvl w:val="0"/>
          <w:numId w:val="0"/>
        </w:numPr>
        <w:jc w:val="left"/>
      </w:pPr>
      <w:r>
        <w:t>1</w:t>
      </w:r>
      <w:r w:rsidR="00DC5D01">
        <w:t>5</w:t>
      </w:r>
      <w:r>
        <w:t xml:space="preserve">.  </w:t>
      </w:r>
      <w:r w:rsidRPr="00843B95">
        <w:rPr>
          <w:u w:val="single"/>
        </w:rPr>
        <w:t>The Regents of the University of Michigan</w:t>
      </w:r>
      <w:r>
        <w:t xml:space="preserve">.  </w:t>
      </w:r>
      <w:r w:rsidRPr="00827910">
        <w:rPr>
          <w:i/>
          <w:iCs/>
        </w:rPr>
        <w:t>See</w:t>
      </w:r>
      <w:r>
        <w:t xml:space="preserve"> Request for Waiver of 5.9 GHz Band Rules to Permit Deployments of Cellular Vehicle-to</w:t>
      </w:r>
      <w:r w:rsidR="6008BA32">
        <w:t>-</w:t>
      </w:r>
      <w:r>
        <w:t xml:space="preserve">Everything Technology, The Regents of the University of Michigan, ET Docket No. 19-138 (filed Aug. 11, 2022) </w:t>
      </w:r>
      <w:r w:rsidRPr="00063BB5">
        <w:rPr>
          <w:bCs/>
        </w:rPr>
        <w:t>(</w:t>
      </w:r>
      <w:r w:rsidRPr="00063BB5">
        <w:rPr>
          <w:bCs/>
          <w:i/>
          <w:iCs/>
        </w:rPr>
        <w:t>Regents</w:t>
      </w:r>
      <w:r>
        <w:rPr>
          <w:bCs/>
          <w:i/>
          <w:iCs/>
        </w:rPr>
        <w:t xml:space="preserve"> UofM</w:t>
      </w:r>
      <w:r w:rsidRPr="00063BB5">
        <w:rPr>
          <w:bCs/>
          <w:i/>
          <w:iCs/>
        </w:rPr>
        <w:t xml:space="preserve"> Waiver Request</w:t>
      </w:r>
      <w:r w:rsidRPr="00063BB5">
        <w:rPr>
          <w:bCs/>
        </w:rPr>
        <w:t>)</w:t>
      </w:r>
      <w:r>
        <w:t xml:space="preserve">, </w:t>
      </w:r>
      <w:hyperlink r:id="rId32">
        <w:r w:rsidRPr="7973910A" w:rsidR="7D431D13">
          <w:rPr>
            <w:rStyle w:val="Hyperlink"/>
          </w:rPr>
          <w:t>https://www.fcc.gov/ecfs/document/10811671504488/1</w:t>
        </w:r>
      </w:hyperlink>
      <w:r w:rsidR="7D431D13">
        <w:t xml:space="preserve">; </w:t>
      </w:r>
      <w:r w:rsidRPr="7973910A" w:rsidR="7D431D13">
        <w:rPr>
          <w:i/>
          <w:iCs/>
        </w:rPr>
        <w:t>see also</w:t>
      </w:r>
      <w:r w:rsidR="7D431D13">
        <w:t xml:space="preserve"> Letter from James R. </w:t>
      </w:r>
      <w:r>
        <w:t xml:space="preserve">Sayer, Ph.D., Director, UMTRI, The Regents of the University of Michigan, to Marlene H. Dortch, Secretary, FCC, ET Docket No. 19-138 (filed May 8, 2023) </w:t>
      </w:r>
      <w:r w:rsidRPr="00063BB5">
        <w:rPr>
          <w:bCs/>
        </w:rPr>
        <w:t>(</w:t>
      </w:r>
      <w:r w:rsidRPr="00063BB5">
        <w:rPr>
          <w:bCs/>
          <w:i/>
          <w:iCs/>
        </w:rPr>
        <w:t>Regents UofM Waiver Supplement</w:t>
      </w:r>
      <w:r w:rsidRPr="00063BB5">
        <w:rPr>
          <w:bCs/>
        </w:rPr>
        <w:t>)</w:t>
      </w:r>
      <w:r>
        <w:t xml:space="preserve">, </w:t>
      </w:r>
      <w:hyperlink r:id="rId33">
        <w:r w:rsidRPr="7973910A" w:rsidR="7D431D13">
          <w:rPr>
            <w:rStyle w:val="Hyperlink"/>
          </w:rPr>
          <w:t>https://www.fcc.gov/ecfs/document/10508192020309/1</w:t>
        </w:r>
      </w:hyperlink>
      <w:r w:rsidR="7D431D13">
        <w:t>.</w:t>
      </w:r>
    </w:p>
    <w:p w:rsidR="002A2E9D" w:rsidP="002A2E9D" w14:paraId="53D533B4" w14:textId="7A0A1B61">
      <w:pPr>
        <w:pStyle w:val="ParaNum"/>
        <w:numPr>
          <w:ilvl w:val="0"/>
          <w:numId w:val="0"/>
        </w:numPr>
        <w:jc w:val="left"/>
      </w:pPr>
      <w:r>
        <w:t>16</w:t>
      </w:r>
      <w:r>
        <w:t xml:space="preserve">.  </w:t>
      </w:r>
      <w:r w:rsidRPr="005F3A42">
        <w:rPr>
          <w:u w:val="single"/>
        </w:rPr>
        <w:t>Sonamore</w:t>
      </w:r>
      <w:r w:rsidRPr="005F3A42">
        <w:rPr>
          <w:u w:val="single"/>
        </w:rPr>
        <w:t>, Inc. d/b/a P3Mobility</w:t>
      </w:r>
      <w:r>
        <w:t xml:space="preserve">.  </w:t>
      </w:r>
      <w:r w:rsidRPr="006C77E7">
        <w:rPr>
          <w:i/>
          <w:iCs/>
        </w:rPr>
        <w:t>See</w:t>
      </w:r>
      <w:r>
        <w:t xml:space="preserve"> Request for Waiver of 5.9 GHz Band Rules to Permit Deployments of Cellular Vehicle-to</w:t>
      </w:r>
      <w:r w:rsidR="004F73DF">
        <w:t>-</w:t>
      </w:r>
      <w:r>
        <w:t xml:space="preserve">Everything Technology, </w:t>
      </w:r>
      <w:r>
        <w:t>Sonamore</w:t>
      </w:r>
      <w:r>
        <w:t xml:space="preserve">, Inc. d/b/a P3Mobility, ET Docket No. 19-138 (filed Mar. 3, 2023) </w:t>
      </w:r>
      <w:r w:rsidRPr="00063BB5">
        <w:rPr>
          <w:bCs/>
        </w:rPr>
        <w:t>(</w:t>
      </w:r>
      <w:r w:rsidRPr="00063BB5">
        <w:rPr>
          <w:bCs/>
          <w:i/>
          <w:iCs/>
        </w:rPr>
        <w:t>P3Mobility Waiver Request</w:t>
      </w:r>
      <w:r w:rsidRPr="00063BB5">
        <w:rPr>
          <w:bCs/>
        </w:rPr>
        <w:t>)</w:t>
      </w:r>
      <w:r>
        <w:t xml:space="preserve">, </w:t>
      </w:r>
      <w:hyperlink r:id="rId34">
        <w:r w:rsidRPr="7973910A" w:rsidR="7D431D13">
          <w:rPr>
            <w:rStyle w:val="Hyperlink"/>
          </w:rPr>
          <w:t>https://www.fcc.gov/ecfs/document/10303120813893/1</w:t>
        </w:r>
      </w:hyperlink>
      <w:r>
        <w:t xml:space="preserve">; </w:t>
      </w:r>
      <w:r w:rsidRPr="00EB6CB3">
        <w:rPr>
          <w:i/>
          <w:iCs/>
        </w:rPr>
        <w:t>see also</w:t>
      </w:r>
      <w:r>
        <w:t xml:space="preserve"> Letter from Erin Milligan, </w:t>
      </w:r>
      <w:r>
        <w:t>Sonamore</w:t>
      </w:r>
      <w:r>
        <w:t xml:space="preserve">, Inc. d/b/a P3Mobility, to Marlene H. Dortch, Secretary, FCC, ET Docket No. 19-138 (filed Jul. 6, 2023) </w:t>
      </w:r>
      <w:r w:rsidRPr="00063BB5">
        <w:rPr>
          <w:bCs/>
        </w:rPr>
        <w:t>(</w:t>
      </w:r>
      <w:r w:rsidRPr="00063BB5">
        <w:rPr>
          <w:bCs/>
          <w:i/>
          <w:iCs/>
        </w:rPr>
        <w:t>P3Mobility Waiver Supplement</w:t>
      </w:r>
      <w:r w:rsidRPr="00063BB5">
        <w:rPr>
          <w:bCs/>
        </w:rPr>
        <w:t>)</w:t>
      </w:r>
      <w:r>
        <w:t xml:space="preserve">, </w:t>
      </w:r>
      <w:hyperlink r:id="rId35">
        <w:r w:rsidRPr="7973910A" w:rsidR="7D431D13">
          <w:rPr>
            <w:rStyle w:val="Hyperlink"/>
          </w:rPr>
          <w:t>https://www.fcc.gov/ecfs/document/10706146789200/1</w:t>
        </w:r>
      </w:hyperlink>
      <w:r w:rsidR="7D431D13">
        <w:t>.</w:t>
      </w:r>
    </w:p>
    <w:p w:rsidR="002A2E9D" w:rsidRPr="00F46E2C" w:rsidP="002A2E9D" w14:paraId="352D72CF" w14:textId="76E29DC3">
      <w:pPr>
        <w:pStyle w:val="ParaNum"/>
        <w:numPr>
          <w:ilvl w:val="0"/>
          <w:numId w:val="0"/>
        </w:numPr>
        <w:jc w:val="left"/>
      </w:pPr>
      <w:r>
        <w:t>17</w:t>
      </w:r>
      <w:r>
        <w:t xml:space="preserve">.  </w:t>
      </w:r>
      <w:r w:rsidRPr="00D1656A">
        <w:rPr>
          <w:u w:val="single"/>
        </w:rPr>
        <w:t>Connex2X, LLC</w:t>
      </w:r>
      <w:r>
        <w:t xml:space="preserve">.  </w:t>
      </w:r>
      <w:r w:rsidRPr="006C77E7">
        <w:rPr>
          <w:i/>
          <w:iCs/>
        </w:rPr>
        <w:t>See</w:t>
      </w:r>
      <w:r>
        <w:t xml:space="preserve"> Letter from Paul T. Porrini, Co-Founder and COO, Connex2X, LLC to Marlene H. Dortch, Secretary, FCC, ET Docket No. 19-138 (filed May 19, 2023) </w:t>
      </w:r>
      <w:r w:rsidRPr="00063BB5">
        <w:rPr>
          <w:bCs/>
        </w:rPr>
        <w:t>(</w:t>
      </w:r>
      <w:r w:rsidRPr="00063BB5">
        <w:rPr>
          <w:bCs/>
          <w:i/>
          <w:iCs/>
        </w:rPr>
        <w:t>Connex2X Waiver Request</w:t>
      </w:r>
      <w:r w:rsidRPr="00063BB5">
        <w:rPr>
          <w:bCs/>
        </w:rPr>
        <w:t>)</w:t>
      </w:r>
      <w:r>
        <w:t xml:space="preserve">, </w:t>
      </w:r>
      <w:hyperlink r:id="rId36" w:history="1">
        <w:r w:rsidRPr="008A341B">
          <w:rPr>
            <w:rStyle w:val="Hyperlink"/>
          </w:rPr>
          <w:t>https://www.fcc.gov/ecfs/document/105191820505104/1</w:t>
        </w:r>
      </w:hyperlink>
      <w:r>
        <w:t xml:space="preserve">; </w:t>
      </w:r>
      <w:r w:rsidRPr="006428F2">
        <w:rPr>
          <w:i/>
          <w:iCs/>
        </w:rPr>
        <w:t>see</w:t>
      </w:r>
      <w:r>
        <w:t xml:space="preserve"> </w:t>
      </w:r>
      <w:r w:rsidRPr="006428F2">
        <w:rPr>
          <w:i/>
          <w:iCs/>
        </w:rPr>
        <w:t>also</w:t>
      </w:r>
      <w:r>
        <w:t xml:space="preserve"> Letter from Paul T. Porrini, Co-Founder and COO, Connex2X, LLC to Marlene H. Dortch, Secretary, FCC, ET Docket No. 19-138 (filed May 31, 2023) </w:t>
      </w:r>
      <w:r w:rsidRPr="00063BB5">
        <w:rPr>
          <w:bCs/>
        </w:rPr>
        <w:t>(</w:t>
      </w:r>
      <w:r w:rsidRPr="00063BB5">
        <w:rPr>
          <w:bCs/>
          <w:i/>
          <w:iCs/>
        </w:rPr>
        <w:t>Connex2X Waiver Supplement</w:t>
      </w:r>
      <w:r w:rsidRPr="00063BB5">
        <w:rPr>
          <w:bCs/>
        </w:rPr>
        <w:t>)</w:t>
      </w:r>
      <w:r>
        <w:t xml:space="preserve">,  </w:t>
      </w:r>
      <w:hyperlink r:id="rId37" w:history="1">
        <w:r w:rsidRPr="008A341B">
          <w:rPr>
            <w:rStyle w:val="Hyperlink"/>
          </w:rPr>
          <w:t>https://www.fcc.gov/ecfs/document/10531172879674/1</w:t>
        </w:r>
      </w:hyperlink>
      <w:r>
        <w:t>.</w:t>
      </w:r>
    </w:p>
    <w:p w:rsidR="002A2E9D" w:rsidP="002A2E9D" w14:paraId="2B9A30B0" w14:textId="77777777">
      <w:pPr>
        <w:rPr>
          <w:sz w:val="24"/>
          <w:szCs w:val="24"/>
        </w:rPr>
      </w:pPr>
    </w:p>
    <w:p w:rsidR="00204CE3" w:rsidRPr="00204CE3" w:rsidP="00095F97" w14:paraId="78BB8AEF" w14:textId="77777777">
      <w:pPr>
        <w:rPr>
          <w:sz w:val="22"/>
          <w:szCs w:val="22"/>
        </w:rPr>
      </w:pPr>
    </w:p>
    <w:sectPr>
      <w:headerReference w:type="default" r:id="rId38"/>
      <w:headerReference w:type="first" r:id="rId39"/>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0E7D" w14:paraId="3020E7AC" w14:textId="77777777">
      <w:r>
        <w:separator/>
      </w:r>
    </w:p>
  </w:footnote>
  <w:footnote w:type="continuationSeparator" w:id="1">
    <w:p w:rsidR="00AD0E7D" w14:paraId="2150202E" w14:textId="77777777">
      <w:r>
        <w:continuationSeparator/>
      </w:r>
    </w:p>
  </w:footnote>
  <w:footnote w:type="continuationNotice" w:id="2">
    <w:p w:rsidR="00AD0E7D" w14:paraId="0BE63D1C" w14:textId="77777777"/>
  </w:footnote>
  <w:footnote w:id="3">
    <w:p w:rsidR="002A2E9D" w:rsidRPr="00F54948" w:rsidP="002A2E9D" w14:paraId="60B529EF" w14:textId="77777777">
      <w:pPr>
        <w:pStyle w:val="FootnoteText"/>
        <w:rPr>
          <w:i/>
          <w:iCs/>
        </w:rPr>
      </w:pPr>
      <w:r>
        <w:rPr>
          <w:rStyle w:val="FootnoteReference"/>
        </w:rPr>
        <w:footnoteRef/>
      </w:r>
      <w:r>
        <w:t xml:space="preserve"> </w:t>
      </w:r>
      <w:r w:rsidRPr="00F15521">
        <w:rPr>
          <w:i/>
          <w:iCs/>
        </w:rPr>
        <w:t>See</w:t>
      </w:r>
      <w:r>
        <w:t xml:space="preserve"> Appendix A: List of Waiver Petitions/Applicants, attached hereto.  </w:t>
      </w:r>
    </w:p>
  </w:footnote>
  <w:footnote w:id="4">
    <w:p w:rsidR="002A2E9D" w:rsidP="002A2E9D" w14:paraId="2A7E7EDD" w14:textId="3FFD4710">
      <w:pPr>
        <w:pStyle w:val="FootnoteText"/>
      </w:pPr>
      <w:r>
        <w:rPr>
          <w:rStyle w:val="FootnoteReference"/>
        </w:rPr>
        <w:footnoteRef/>
      </w:r>
      <w:r>
        <w:t xml:space="preserve"> </w:t>
      </w:r>
      <w:r>
        <w:t>Hereafter, individual waiver requests and supplemental requests, as referenced in Appendix A, will be referred to as follows: (1) state</w:t>
      </w:r>
      <w:r w:rsidR="0043742D">
        <w:t>, local, and municipal transportation authorities</w:t>
      </w:r>
      <w:r>
        <w:t xml:space="preserve"> </w:t>
      </w:r>
      <w:r w:rsidR="00DD506C">
        <w:t>for</w:t>
      </w:r>
      <w:r>
        <w:t xml:space="preserve"> </w:t>
      </w:r>
      <w:r>
        <w:t>Colorado (</w:t>
      </w:r>
      <w:r w:rsidRPr="00887C64">
        <w:rPr>
          <w:i/>
          <w:iCs/>
        </w:rPr>
        <w:t xml:space="preserve">CDOT </w:t>
      </w:r>
      <w:r w:rsidRPr="00A43866">
        <w:rPr>
          <w:bCs/>
          <w:i/>
          <w:iCs/>
        </w:rPr>
        <w:t xml:space="preserve">Waiver </w:t>
      </w:r>
      <w:r w:rsidRPr="00887C64">
        <w:rPr>
          <w:i/>
          <w:iCs/>
        </w:rPr>
        <w:t>Request</w:t>
      </w:r>
      <w:r>
        <w:rPr>
          <w:i/>
          <w:iCs/>
        </w:rPr>
        <w:t xml:space="preserve"> </w:t>
      </w:r>
      <w:r w:rsidRPr="006F4858">
        <w:t>or</w:t>
      </w:r>
      <w:r>
        <w:rPr>
          <w:i/>
          <w:iCs/>
        </w:rPr>
        <w:t xml:space="preserve"> CDOT </w:t>
      </w:r>
      <w:r w:rsidRPr="00A43866">
        <w:rPr>
          <w:bCs/>
          <w:i/>
          <w:iCs/>
        </w:rPr>
        <w:t xml:space="preserve">Waiver </w:t>
      </w:r>
      <w:r>
        <w:rPr>
          <w:i/>
          <w:iCs/>
        </w:rPr>
        <w:t>Supplement</w:t>
      </w:r>
      <w:r>
        <w:t>), Florida (</w:t>
      </w:r>
      <w:r w:rsidRPr="00887C64">
        <w:rPr>
          <w:i/>
          <w:iCs/>
        </w:rPr>
        <w:t xml:space="preserve">FDOT </w:t>
      </w:r>
      <w:r w:rsidRPr="00A43866">
        <w:rPr>
          <w:bCs/>
          <w:i/>
          <w:iCs/>
        </w:rPr>
        <w:t xml:space="preserve">Waiver </w:t>
      </w:r>
      <w:r w:rsidRPr="00887C64">
        <w:rPr>
          <w:i/>
          <w:iCs/>
        </w:rPr>
        <w:t>Request</w:t>
      </w:r>
      <w:r w:rsidR="00661533">
        <w:rPr>
          <w:i/>
          <w:iCs/>
        </w:rPr>
        <w:t xml:space="preserve"> </w:t>
      </w:r>
      <w:r w:rsidRPr="006F4858" w:rsidR="00661533">
        <w:t>or</w:t>
      </w:r>
      <w:r w:rsidRPr="00FF0F2E">
        <w:rPr>
          <w:i/>
          <w:iCs/>
        </w:rPr>
        <w:t xml:space="preserve"> </w:t>
      </w:r>
      <w:r w:rsidRPr="00887C64">
        <w:rPr>
          <w:i/>
          <w:iCs/>
        </w:rPr>
        <w:t xml:space="preserve">FDOT </w:t>
      </w:r>
      <w:r w:rsidRPr="00A43866">
        <w:rPr>
          <w:bCs/>
          <w:i/>
          <w:iCs/>
        </w:rPr>
        <w:t xml:space="preserve">Waiver </w:t>
      </w:r>
      <w:r>
        <w:rPr>
          <w:i/>
          <w:iCs/>
        </w:rPr>
        <w:t>Supplement</w:t>
      </w:r>
      <w:r>
        <w:t>), Georgia (</w:t>
      </w:r>
      <w:r w:rsidRPr="00887C64">
        <w:rPr>
          <w:i/>
          <w:iCs/>
        </w:rPr>
        <w:t xml:space="preserve">GDOT </w:t>
      </w:r>
      <w:r w:rsidRPr="00A43866">
        <w:rPr>
          <w:bCs/>
          <w:i/>
          <w:iCs/>
        </w:rPr>
        <w:t xml:space="preserve">Waiver </w:t>
      </w:r>
      <w:r w:rsidRPr="00887C64">
        <w:rPr>
          <w:i/>
          <w:iCs/>
        </w:rPr>
        <w:t>Request</w:t>
      </w:r>
      <w:r w:rsidR="00136826">
        <w:rPr>
          <w:i/>
          <w:iCs/>
        </w:rPr>
        <w:t xml:space="preserve"> </w:t>
      </w:r>
      <w:r w:rsidR="00136826">
        <w:t>or</w:t>
      </w:r>
      <w:r w:rsidRPr="00FF0F2E">
        <w:rPr>
          <w:i/>
          <w:iCs/>
        </w:rPr>
        <w:t xml:space="preserve"> </w:t>
      </w:r>
      <w:r w:rsidRPr="00887C64">
        <w:rPr>
          <w:i/>
          <w:iCs/>
        </w:rPr>
        <w:t xml:space="preserve">GDOT </w:t>
      </w:r>
      <w:r w:rsidRPr="00A43866">
        <w:rPr>
          <w:bCs/>
          <w:i/>
          <w:iCs/>
        </w:rPr>
        <w:t xml:space="preserve">Waiver </w:t>
      </w:r>
      <w:r>
        <w:rPr>
          <w:i/>
          <w:iCs/>
        </w:rPr>
        <w:t>Supplement</w:t>
      </w:r>
      <w:r>
        <w:t>), Hawaii (</w:t>
      </w:r>
      <w:r w:rsidRPr="00887C64">
        <w:rPr>
          <w:i/>
          <w:iCs/>
        </w:rPr>
        <w:t xml:space="preserve">HDOT </w:t>
      </w:r>
      <w:r w:rsidRPr="00A43866">
        <w:rPr>
          <w:bCs/>
          <w:i/>
          <w:iCs/>
        </w:rPr>
        <w:t xml:space="preserve">Waiver </w:t>
      </w:r>
      <w:r w:rsidRPr="00887C64">
        <w:rPr>
          <w:i/>
          <w:iCs/>
        </w:rPr>
        <w:t>Request</w:t>
      </w:r>
      <w:r w:rsidR="00A532EA">
        <w:rPr>
          <w:i/>
          <w:iCs/>
        </w:rPr>
        <w:t xml:space="preserve"> </w:t>
      </w:r>
      <w:r w:rsidRPr="006F4858" w:rsidR="00A532EA">
        <w:t>or</w:t>
      </w:r>
      <w:r w:rsidRPr="00FF0F2E">
        <w:rPr>
          <w:i/>
          <w:iCs/>
        </w:rPr>
        <w:t xml:space="preserve"> </w:t>
      </w:r>
      <w:r w:rsidRPr="00887C64">
        <w:rPr>
          <w:i/>
          <w:iCs/>
        </w:rPr>
        <w:t xml:space="preserve">HDOT </w:t>
      </w:r>
      <w:r w:rsidRPr="00A43866">
        <w:rPr>
          <w:bCs/>
          <w:i/>
          <w:iCs/>
        </w:rPr>
        <w:t xml:space="preserve">Waiver </w:t>
      </w:r>
      <w:r>
        <w:rPr>
          <w:i/>
          <w:iCs/>
        </w:rPr>
        <w:t>Supplement</w:t>
      </w:r>
      <w:r>
        <w:t xml:space="preserve">), </w:t>
      </w:r>
      <w:r w:rsidR="0052123B">
        <w:t xml:space="preserve">Maryland </w:t>
      </w:r>
      <w:r w:rsidR="001F0F15">
        <w:t xml:space="preserve">State Highway </w:t>
      </w:r>
      <w:r w:rsidR="00AA06D1">
        <w:t xml:space="preserve">Administration </w:t>
      </w:r>
      <w:r w:rsidR="0052123B">
        <w:t>(</w:t>
      </w:r>
      <w:r w:rsidR="001F0F15">
        <w:rPr>
          <w:i/>
          <w:iCs/>
        </w:rPr>
        <w:t>SHA</w:t>
      </w:r>
      <w:r w:rsidRPr="006F4858" w:rsidR="0052123B">
        <w:rPr>
          <w:i/>
          <w:iCs/>
        </w:rPr>
        <w:t xml:space="preserve"> Waiver Request</w:t>
      </w:r>
      <w:r w:rsidR="0052123B">
        <w:t xml:space="preserve"> or </w:t>
      </w:r>
      <w:r w:rsidR="00AA06D1">
        <w:rPr>
          <w:i/>
          <w:iCs/>
        </w:rPr>
        <w:t>SHA</w:t>
      </w:r>
      <w:r w:rsidRPr="006F4858" w:rsidR="0052123B">
        <w:rPr>
          <w:i/>
          <w:iCs/>
        </w:rPr>
        <w:t xml:space="preserve"> </w:t>
      </w:r>
      <w:r w:rsidRPr="006F4858" w:rsidR="00661533">
        <w:rPr>
          <w:i/>
          <w:iCs/>
        </w:rPr>
        <w:t>Waiver Supplement</w:t>
      </w:r>
      <w:r w:rsidR="00661533">
        <w:t xml:space="preserve">), </w:t>
      </w:r>
      <w:r>
        <w:t>Michigan (</w:t>
      </w:r>
      <w:r w:rsidRPr="00724710">
        <w:rPr>
          <w:i/>
          <w:iCs/>
        </w:rPr>
        <w:t>M</w:t>
      </w:r>
      <w:r>
        <w:rPr>
          <w:i/>
          <w:iCs/>
        </w:rPr>
        <w:t>I</w:t>
      </w:r>
      <w:r w:rsidRPr="00724710">
        <w:rPr>
          <w:i/>
          <w:iCs/>
        </w:rPr>
        <w:t>DOT</w:t>
      </w:r>
      <w:r>
        <w:rPr>
          <w:i/>
          <w:iCs/>
        </w:rPr>
        <w:t xml:space="preserve"> </w:t>
      </w:r>
      <w:r w:rsidRPr="00A43866">
        <w:rPr>
          <w:bCs/>
          <w:i/>
          <w:iCs/>
        </w:rPr>
        <w:t xml:space="preserve">Waiver </w:t>
      </w:r>
      <w:r w:rsidRPr="00887C64">
        <w:rPr>
          <w:i/>
          <w:iCs/>
        </w:rPr>
        <w:t>Request</w:t>
      </w:r>
      <w:r w:rsidR="00A532EA">
        <w:rPr>
          <w:i/>
          <w:iCs/>
        </w:rPr>
        <w:t xml:space="preserve"> </w:t>
      </w:r>
      <w:r w:rsidRPr="006F4858" w:rsidR="00A532EA">
        <w:t>or</w:t>
      </w:r>
      <w:r w:rsidRPr="00FF0F2E">
        <w:rPr>
          <w:i/>
          <w:iCs/>
        </w:rPr>
        <w:t xml:space="preserve"> </w:t>
      </w:r>
      <w:r w:rsidRPr="00724710">
        <w:rPr>
          <w:i/>
          <w:iCs/>
        </w:rPr>
        <w:t>M</w:t>
      </w:r>
      <w:r>
        <w:rPr>
          <w:i/>
          <w:iCs/>
        </w:rPr>
        <w:t>I</w:t>
      </w:r>
      <w:r w:rsidRPr="00724710">
        <w:rPr>
          <w:i/>
          <w:iCs/>
        </w:rPr>
        <w:t>DOT</w:t>
      </w:r>
      <w:r>
        <w:rPr>
          <w:i/>
          <w:iCs/>
        </w:rPr>
        <w:t xml:space="preserve"> </w:t>
      </w:r>
      <w:r w:rsidRPr="00A43866">
        <w:rPr>
          <w:bCs/>
          <w:i/>
          <w:iCs/>
        </w:rPr>
        <w:t xml:space="preserve">Waiver </w:t>
      </w:r>
      <w:r>
        <w:rPr>
          <w:i/>
          <w:iCs/>
        </w:rPr>
        <w:t>Supplement</w:t>
      </w:r>
      <w:r>
        <w:t xml:space="preserve">), </w:t>
      </w:r>
      <w:r w:rsidR="00AD1919">
        <w:t>Nebraska (</w:t>
      </w:r>
      <w:r w:rsidRPr="00887C64" w:rsidR="00AD1919">
        <w:rPr>
          <w:i/>
          <w:iCs/>
        </w:rPr>
        <w:t xml:space="preserve">NDOT </w:t>
      </w:r>
      <w:r w:rsidRPr="00A43866" w:rsidR="00AD1919">
        <w:rPr>
          <w:bCs/>
          <w:i/>
          <w:iCs/>
        </w:rPr>
        <w:t xml:space="preserve">Waiver </w:t>
      </w:r>
      <w:r w:rsidRPr="00887C64" w:rsidR="00AD1919">
        <w:rPr>
          <w:i/>
          <w:iCs/>
        </w:rPr>
        <w:t>Request</w:t>
      </w:r>
      <w:r w:rsidRPr="00B87DC1" w:rsidR="00AD1919">
        <w:t xml:space="preserve"> </w:t>
      </w:r>
      <w:r w:rsidR="00AD1919">
        <w:t>or</w:t>
      </w:r>
      <w:r w:rsidRPr="00FF0F2E" w:rsidR="00AD1919">
        <w:rPr>
          <w:i/>
          <w:iCs/>
        </w:rPr>
        <w:t xml:space="preserve"> </w:t>
      </w:r>
      <w:r w:rsidRPr="00887C64" w:rsidR="00AD1919">
        <w:rPr>
          <w:i/>
          <w:iCs/>
        </w:rPr>
        <w:t xml:space="preserve">NDOT </w:t>
      </w:r>
      <w:r w:rsidRPr="00A43866" w:rsidR="00AD1919">
        <w:rPr>
          <w:bCs/>
          <w:i/>
          <w:iCs/>
        </w:rPr>
        <w:t xml:space="preserve">Waiver </w:t>
      </w:r>
      <w:r w:rsidR="00AD1919">
        <w:rPr>
          <w:i/>
          <w:iCs/>
        </w:rPr>
        <w:t>Supplement</w:t>
      </w:r>
      <w:r w:rsidR="00AD1919">
        <w:t xml:space="preserve">), </w:t>
      </w:r>
      <w:r>
        <w:t>New Jersey (</w:t>
      </w:r>
      <w:r w:rsidRPr="00887C64">
        <w:rPr>
          <w:i/>
          <w:iCs/>
        </w:rPr>
        <w:t xml:space="preserve">NJDOT </w:t>
      </w:r>
      <w:r w:rsidRPr="00A43866">
        <w:rPr>
          <w:bCs/>
          <w:i/>
          <w:iCs/>
        </w:rPr>
        <w:t xml:space="preserve">Waiver </w:t>
      </w:r>
      <w:r w:rsidRPr="00887C64">
        <w:rPr>
          <w:i/>
          <w:iCs/>
        </w:rPr>
        <w:t>Request</w:t>
      </w:r>
      <w:r w:rsidRPr="00B87DC1" w:rsidR="00B87DC1">
        <w:t xml:space="preserve"> </w:t>
      </w:r>
      <w:r w:rsidR="00B87DC1">
        <w:t>or</w:t>
      </w:r>
      <w:r w:rsidRPr="00FF0F2E">
        <w:rPr>
          <w:i/>
          <w:iCs/>
        </w:rPr>
        <w:t xml:space="preserve"> </w:t>
      </w:r>
      <w:r w:rsidRPr="00887C64">
        <w:rPr>
          <w:i/>
          <w:iCs/>
        </w:rPr>
        <w:t xml:space="preserve">NJDOT </w:t>
      </w:r>
      <w:r w:rsidRPr="00A43866">
        <w:rPr>
          <w:bCs/>
          <w:i/>
          <w:iCs/>
        </w:rPr>
        <w:t xml:space="preserve">Waiver </w:t>
      </w:r>
      <w:r>
        <w:rPr>
          <w:i/>
          <w:iCs/>
        </w:rPr>
        <w:t>Supplement</w:t>
      </w:r>
      <w:r>
        <w:t>), Ohio (</w:t>
      </w:r>
      <w:r w:rsidRPr="00A22380">
        <w:rPr>
          <w:i/>
          <w:iCs/>
        </w:rPr>
        <w:t>DriveOhio</w:t>
      </w:r>
      <w:r w:rsidRPr="00A22380">
        <w:rPr>
          <w:i/>
          <w:iCs/>
        </w:rPr>
        <w:t xml:space="preserve"> </w:t>
      </w:r>
      <w:r w:rsidRPr="00A43866">
        <w:rPr>
          <w:bCs/>
          <w:i/>
          <w:iCs/>
        </w:rPr>
        <w:t xml:space="preserve">Waiver </w:t>
      </w:r>
      <w:r w:rsidRPr="00887C64">
        <w:rPr>
          <w:i/>
          <w:iCs/>
        </w:rPr>
        <w:t>Request</w:t>
      </w:r>
      <w:r w:rsidRPr="00B87DC1" w:rsidR="00B87DC1">
        <w:t xml:space="preserve"> </w:t>
      </w:r>
      <w:r w:rsidR="00B87DC1">
        <w:t>or</w:t>
      </w:r>
      <w:r w:rsidRPr="00FF0F2E">
        <w:rPr>
          <w:i/>
          <w:iCs/>
        </w:rPr>
        <w:t xml:space="preserve"> </w:t>
      </w:r>
      <w:r w:rsidRPr="00A22380">
        <w:rPr>
          <w:i/>
          <w:iCs/>
        </w:rPr>
        <w:t>DriveOhio</w:t>
      </w:r>
      <w:r w:rsidRPr="00A22380">
        <w:rPr>
          <w:i/>
          <w:iCs/>
        </w:rPr>
        <w:t xml:space="preserve"> </w:t>
      </w:r>
      <w:r w:rsidRPr="00A43866">
        <w:rPr>
          <w:bCs/>
          <w:i/>
          <w:iCs/>
        </w:rPr>
        <w:t xml:space="preserve">Waiver </w:t>
      </w:r>
      <w:r>
        <w:rPr>
          <w:i/>
          <w:iCs/>
        </w:rPr>
        <w:t>Supplement</w:t>
      </w:r>
      <w:r>
        <w:t>), Oregon (</w:t>
      </w:r>
      <w:r w:rsidRPr="002B5471">
        <w:rPr>
          <w:i/>
          <w:iCs/>
        </w:rPr>
        <w:t xml:space="preserve">ODOT </w:t>
      </w:r>
      <w:r w:rsidRPr="00A43866">
        <w:rPr>
          <w:bCs/>
          <w:i/>
          <w:iCs/>
        </w:rPr>
        <w:t xml:space="preserve">Waiver </w:t>
      </w:r>
      <w:r w:rsidRPr="002B5471">
        <w:rPr>
          <w:i/>
          <w:iCs/>
        </w:rPr>
        <w:t>Request</w:t>
      </w:r>
      <w:r w:rsidRPr="00D129FF" w:rsidR="00D129FF">
        <w:t xml:space="preserve"> </w:t>
      </w:r>
      <w:r w:rsidR="00D129FF">
        <w:t>or</w:t>
      </w:r>
      <w:r w:rsidRPr="00FF0F2E">
        <w:rPr>
          <w:i/>
          <w:iCs/>
        </w:rPr>
        <w:t xml:space="preserve"> </w:t>
      </w:r>
      <w:r w:rsidRPr="002B5471">
        <w:rPr>
          <w:i/>
          <w:iCs/>
        </w:rPr>
        <w:t xml:space="preserve">ODOT </w:t>
      </w:r>
      <w:r w:rsidRPr="00A43866">
        <w:rPr>
          <w:bCs/>
          <w:i/>
          <w:iCs/>
        </w:rPr>
        <w:t xml:space="preserve">Waiver </w:t>
      </w:r>
      <w:r w:rsidRPr="002B5471">
        <w:rPr>
          <w:i/>
          <w:iCs/>
        </w:rPr>
        <w:t>Supplement</w:t>
      </w:r>
      <w:r>
        <w:t>), Texas (</w:t>
      </w:r>
      <w:r w:rsidRPr="00A22380">
        <w:rPr>
          <w:i/>
          <w:iCs/>
        </w:rPr>
        <w:t>T</w:t>
      </w:r>
      <w:r>
        <w:rPr>
          <w:i/>
          <w:iCs/>
        </w:rPr>
        <w:t>X</w:t>
      </w:r>
      <w:r w:rsidRPr="00A22380">
        <w:rPr>
          <w:i/>
          <w:iCs/>
        </w:rPr>
        <w:t xml:space="preserve">DOT </w:t>
      </w:r>
      <w:r w:rsidRPr="00A43866">
        <w:rPr>
          <w:bCs/>
          <w:i/>
          <w:iCs/>
        </w:rPr>
        <w:t xml:space="preserve">Waiver </w:t>
      </w:r>
      <w:r w:rsidRPr="00887C64">
        <w:rPr>
          <w:i/>
          <w:iCs/>
        </w:rPr>
        <w:t>Request</w:t>
      </w:r>
      <w:r w:rsidRPr="00D129FF" w:rsidR="00D129FF">
        <w:t xml:space="preserve"> </w:t>
      </w:r>
      <w:r w:rsidR="00D129FF">
        <w:t>or</w:t>
      </w:r>
      <w:r w:rsidRPr="00FF0F2E">
        <w:rPr>
          <w:i/>
          <w:iCs/>
        </w:rPr>
        <w:t xml:space="preserve"> </w:t>
      </w:r>
      <w:r w:rsidRPr="00A22380">
        <w:rPr>
          <w:i/>
          <w:iCs/>
        </w:rPr>
        <w:t>T</w:t>
      </w:r>
      <w:r>
        <w:rPr>
          <w:i/>
          <w:iCs/>
        </w:rPr>
        <w:t>X</w:t>
      </w:r>
      <w:r w:rsidRPr="00A22380">
        <w:rPr>
          <w:i/>
          <w:iCs/>
        </w:rPr>
        <w:t xml:space="preserve">DOT </w:t>
      </w:r>
      <w:r w:rsidRPr="00A43866">
        <w:rPr>
          <w:bCs/>
          <w:i/>
          <w:iCs/>
        </w:rPr>
        <w:t xml:space="preserve">Waiver </w:t>
      </w:r>
      <w:r>
        <w:rPr>
          <w:i/>
          <w:iCs/>
        </w:rPr>
        <w:t>Supplement</w:t>
      </w:r>
      <w:r>
        <w:t>), and Wyoming (</w:t>
      </w:r>
      <w:r w:rsidRPr="00A22380">
        <w:rPr>
          <w:i/>
          <w:iCs/>
        </w:rPr>
        <w:t>W</w:t>
      </w:r>
      <w:r>
        <w:rPr>
          <w:i/>
          <w:iCs/>
        </w:rPr>
        <w:t>Y</w:t>
      </w:r>
      <w:r w:rsidRPr="00A22380">
        <w:rPr>
          <w:i/>
          <w:iCs/>
        </w:rPr>
        <w:t>DOT</w:t>
      </w:r>
      <w:r>
        <w:t xml:space="preserve"> </w:t>
      </w:r>
      <w:r w:rsidRPr="00A43866">
        <w:rPr>
          <w:bCs/>
          <w:i/>
          <w:iCs/>
        </w:rPr>
        <w:t xml:space="preserve">Waiver </w:t>
      </w:r>
      <w:r w:rsidRPr="00887C64">
        <w:rPr>
          <w:i/>
          <w:iCs/>
        </w:rPr>
        <w:t>Request</w:t>
      </w:r>
      <w:r w:rsidRPr="00D129FF" w:rsidR="00D129FF">
        <w:t xml:space="preserve"> </w:t>
      </w:r>
      <w:r w:rsidR="00D129FF">
        <w:t>or</w:t>
      </w:r>
      <w:r w:rsidRPr="00FF0F2E">
        <w:rPr>
          <w:i/>
          <w:iCs/>
        </w:rPr>
        <w:t xml:space="preserve"> </w:t>
      </w:r>
      <w:r w:rsidRPr="00A22380">
        <w:rPr>
          <w:i/>
          <w:iCs/>
        </w:rPr>
        <w:t>W</w:t>
      </w:r>
      <w:r>
        <w:rPr>
          <w:i/>
          <w:iCs/>
        </w:rPr>
        <w:t>Y</w:t>
      </w:r>
      <w:r w:rsidRPr="00A22380">
        <w:rPr>
          <w:i/>
          <w:iCs/>
        </w:rPr>
        <w:t>DOT</w:t>
      </w:r>
      <w:r>
        <w:t xml:space="preserve"> </w:t>
      </w:r>
      <w:r w:rsidRPr="00A43866">
        <w:rPr>
          <w:bCs/>
          <w:i/>
          <w:iCs/>
        </w:rPr>
        <w:t xml:space="preserve">Waiver </w:t>
      </w:r>
      <w:r>
        <w:rPr>
          <w:i/>
          <w:iCs/>
        </w:rPr>
        <w:t>Supplement</w:t>
      </w:r>
      <w:r>
        <w:t>)</w:t>
      </w:r>
      <w:r w:rsidR="00DD506C">
        <w:t xml:space="preserve">, </w:t>
      </w:r>
      <w:r>
        <w:t xml:space="preserve"> </w:t>
      </w:r>
      <w:r w:rsidR="008A4B58">
        <w:t xml:space="preserve">the </w:t>
      </w:r>
      <w:r>
        <w:t>City and County of Denver (</w:t>
      </w:r>
      <w:r w:rsidRPr="00FD4E6D">
        <w:rPr>
          <w:i/>
          <w:iCs/>
        </w:rPr>
        <w:t>CCD</w:t>
      </w:r>
      <w:r>
        <w:t xml:space="preserve"> </w:t>
      </w:r>
      <w:r w:rsidRPr="00A43866">
        <w:rPr>
          <w:bCs/>
          <w:i/>
          <w:iCs/>
        </w:rPr>
        <w:t xml:space="preserve">Waiver </w:t>
      </w:r>
      <w:r w:rsidRPr="00887C64">
        <w:rPr>
          <w:i/>
          <w:iCs/>
        </w:rPr>
        <w:t>Request</w:t>
      </w:r>
      <w:r w:rsidRPr="00D129FF" w:rsidR="00D129FF">
        <w:t xml:space="preserve"> </w:t>
      </w:r>
      <w:r w:rsidR="00D129FF">
        <w:t>or</w:t>
      </w:r>
      <w:r w:rsidRPr="00FF0F2E">
        <w:rPr>
          <w:i/>
          <w:iCs/>
        </w:rPr>
        <w:t xml:space="preserve"> </w:t>
      </w:r>
      <w:r w:rsidRPr="00FD4E6D">
        <w:rPr>
          <w:i/>
          <w:iCs/>
        </w:rPr>
        <w:t>CCD</w:t>
      </w:r>
      <w:r>
        <w:t xml:space="preserve"> </w:t>
      </w:r>
      <w:r w:rsidRPr="00A43866">
        <w:rPr>
          <w:bCs/>
          <w:i/>
          <w:iCs/>
        </w:rPr>
        <w:t xml:space="preserve">Waiver </w:t>
      </w:r>
      <w:r>
        <w:rPr>
          <w:i/>
          <w:iCs/>
        </w:rPr>
        <w:t>Supplement</w:t>
      </w:r>
      <w:r>
        <w:t>), Macomb County (</w:t>
      </w:r>
      <w:r w:rsidRPr="00A22380">
        <w:rPr>
          <w:i/>
          <w:iCs/>
        </w:rPr>
        <w:t xml:space="preserve">MCDOR </w:t>
      </w:r>
      <w:r w:rsidRPr="00A43866">
        <w:rPr>
          <w:bCs/>
          <w:i/>
          <w:iCs/>
        </w:rPr>
        <w:t xml:space="preserve">Waiver </w:t>
      </w:r>
      <w:r w:rsidRPr="00887C64">
        <w:rPr>
          <w:i/>
          <w:iCs/>
        </w:rPr>
        <w:t>Request</w:t>
      </w:r>
      <w:r>
        <w:t>), and the Regents of the University of Michigan (</w:t>
      </w:r>
      <w:r w:rsidRPr="00095468">
        <w:rPr>
          <w:i/>
          <w:iCs/>
        </w:rPr>
        <w:t xml:space="preserve">Regents </w:t>
      </w:r>
      <w:r>
        <w:rPr>
          <w:i/>
          <w:iCs/>
        </w:rPr>
        <w:t xml:space="preserve">UofM </w:t>
      </w:r>
      <w:r w:rsidRPr="00A43866">
        <w:rPr>
          <w:bCs/>
          <w:i/>
          <w:iCs/>
        </w:rPr>
        <w:t xml:space="preserve">Waiver </w:t>
      </w:r>
      <w:r w:rsidRPr="00095468">
        <w:rPr>
          <w:i/>
          <w:iCs/>
        </w:rPr>
        <w:t>Request</w:t>
      </w:r>
      <w:r w:rsidRPr="00D129FF" w:rsidR="00D129FF">
        <w:t xml:space="preserve"> </w:t>
      </w:r>
      <w:r w:rsidR="00D129FF">
        <w:t>or</w:t>
      </w:r>
      <w:r w:rsidRPr="00FF0F2E">
        <w:rPr>
          <w:i/>
          <w:iCs/>
        </w:rPr>
        <w:t xml:space="preserve"> </w:t>
      </w:r>
      <w:r w:rsidRPr="00095468">
        <w:rPr>
          <w:i/>
          <w:iCs/>
        </w:rPr>
        <w:t xml:space="preserve">Regents </w:t>
      </w:r>
      <w:r>
        <w:rPr>
          <w:i/>
          <w:iCs/>
        </w:rPr>
        <w:t xml:space="preserve">UofM </w:t>
      </w:r>
      <w:r w:rsidRPr="00A43866">
        <w:rPr>
          <w:bCs/>
          <w:i/>
          <w:iCs/>
        </w:rPr>
        <w:t xml:space="preserve">Waiver </w:t>
      </w:r>
      <w:r>
        <w:rPr>
          <w:i/>
          <w:iCs/>
        </w:rPr>
        <w:t>Supplement</w:t>
      </w:r>
      <w:r>
        <w:t>); and (</w:t>
      </w:r>
      <w:r w:rsidR="008A4B58">
        <w:t>2</w:t>
      </w:r>
      <w:r>
        <w:t xml:space="preserve">) equipment manufacturers, </w:t>
      </w:r>
      <w:r>
        <w:t>Sonamore</w:t>
      </w:r>
      <w:r>
        <w:t>, Inc. d/b/a P3Mobility (</w:t>
      </w:r>
      <w:r w:rsidRPr="00A22380">
        <w:rPr>
          <w:i/>
          <w:iCs/>
        </w:rPr>
        <w:t xml:space="preserve">P3Mobility </w:t>
      </w:r>
      <w:r w:rsidRPr="00A43866">
        <w:rPr>
          <w:bCs/>
          <w:i/>
          <w:iCs/>
        </w:rPr>
        <w:t xml:space="preserve">Waiver </w:t>
      </w:r>
      <w:r w:rsidRPr="00887C64">
        <w:rPr>
          <w:i/>
          <w:iCs/>
        </w:rPr>
        <w:t>Request</w:t>
      </w:r>
      <w:r w:rsidRPr="00D129FF" w:rsidR="00D129FF">
        <w:t xml:space="preserve"> </w:t>
      </w:r>
      <w:r w:rsidR="00D129FF">
        <w:t>or</w:t>
      </w:r>
      <w:r w:rsidRPr="00FF0F2E">
        <w:rPr>
          <w:i/>
          <w:iCs/>
        </w:rPr>
        <w:t xml:space="preserve"> </w:t>
      </w:r>
      <w:r w:rsidRPr="00A22380">
        <w:rPr>
          <w:i/>
          <w:iCs/>
        </w:rPr>
        <w:t xml:space="preserve">P3Mobility </w:t>
      </w:r>
      <w:r w:rsidRPr="00A43866">
        <w:rPr>
          <w:bCs/>
          <w:i/>
          <w:iCs/>
        </w:rPr>
        <w:t xml:space="preserve">Waiver </w:t>
      </w:r>
      <w:r>
        <w:rPr>
          <w:i/>
          <w:iCs/>
        </w:rPr>
        <w:t>Supplement</w:t>
      </w:r>
      <w:r>
        <w:t>), and Connex2X, LLC (</w:t>
      </w:r>
      <w:r w:rsidRPr="00A22380">
        <w:rPr>
          <w:i/>
          <w:iCs/>
        </w:rPr>
        <w:t xml:space="preserve">Connex2X </w:t>
      </w:r>
      <w:r w:rsidRPr="00A43866">
        <w:rPr>
          <w:bCs/>
          <w:i/>
          <w:iCs/>
        </w:rPr>
        <w:t xml:space="preserve">Waiver </w:t>
      </w:r>
      <w:r w:rsidRPr="00887C64">
        <w:rPr>
          <w:i/>
          <w:iCs/>
        </w:rPr>
        <w:t>Request</w:t>
      </w:r>
      <w:r w:rsidRPr="0027099C" w:rsidR="0027099C">
        <w:t xml:space="preserve"> </w:t>
      </w:r>
      <w:r w:rsidR="0027099C">
        <w:t>or</w:t>
      </w:r>
      <w:r w:rsidRPr="00FF0F2E">
        <w:rPr>
          <w:i/>
          <w:iCs/>
        </w:rPr>
        <w:t xml:space="preserve"> </w:t>
      </w:r>
      <w:r w:rsidRPr="00A22380">
        <w:rPr>
          <w:i/>
          <w:iCs/>
        </w:rPr>
        <w:t xml:space="preserve">Connex2X </w:t>
      </w:r>
      <w:r w:rsidRPr="00A43866">
        <w:rPr>
          <w:bCs/>
          <w:i/>
          <w:iCs/>
        </w:rPr>
        <w:t xml:space="preserve">Waiver </w:t>
      </w:r>
      <w:r>
        <w:rPr>
          <w:i/>
          <w:iCs/>
        </w:rPr>
        <w:t>Supplement</w:t>
      </w:r>
      <w:r>
        <w:t>).</w:t>
      </w:r>
    </w:p>
  </w:footnote>
  <w:footnote w:id="5">
    <w:p w:rsidR="002A2E9D" w:rsidRPr="00197C25" w:rsidP="002A2E9D" w14:paraId="51D5A3AC" w14:textId="4C22EFFD">
      <w:pPr>
        <w:pStyle w:val="FootnoteText"/>
        <w:rPr>
          <w:i/>
          <w:iCs/>
        </w:rPr>
      </w:pPr>
      <w:r>
        <w:rPr>
          <w:rStyle w:val="FootnoteReference"/>
        </w:rPr>
        <w:footnoteRef/>
      </w:r>
      <w:r>
        <w:t xml:space="preserve"> </w:t>
      </w:r>
      <w:r w:rsidRPr="00E40F05">
        <w:rPr>
          <w:i/>
          <w:iCs/>
        </w:rPr>
        <w:t>See</w:t>
      </w:r>
      <w:r w:rsidR="00B160DE">
        <w:rPr>
          <w:i/>
          <w:iCs/>
        </w:rPr>
        <w:t>, e.g.,</w:t>
      </w:r>
      <w:r w:rsidRPr="00E40F05">
        <w:t xml:space="preserve"> </w:t>
      </w:r>
      <w:r w:rsidRPr="00E40F05">
        <w:rPr>
          <w:i/>
          <w:iCs/>
        </w:rPr>
        <w:t xml:space="preserve">CDOT </w:t>
      </w:r>
      <w:r w:rsidRPr="00E40F05">
        <w:rPr>
          <w:bCs/>
          <w:i/>
          <w:iCs/>
        </w:rPr>
        <w:t xml:space="preserve">Waiver </w:t>
      </w:r>
      <w:r w:rsidRPr="00E40F05">
        <w:rPr>
          <w:i/>
          <w:iCs/>
        </w:rPr>
        <w:t>Request</w:t>
      </w:r>
      <w:r w:rsidRPr="00E40F05">
        <w:t xml:space="preserve"> at 1</w:t>
      </w:r>
      <w:r w:rsidRPr="00BA3676">
        <w:t xml:space="preserve">; </w:t>
      </w:r>
      <w:r w:rsidRPr="00BA3676">
        <w:rPr>
          <w:i/>
          <w:iCs/>
        </w:rPr>
        <w:t xml:space="preserve">FDOT </w:t>
      </w:r>
      <w:r w:rsidRPr="00BA3676">
        <w:rPr>
          <w:bCs/>
          <w:i/>
          <w:iCs/>
        </w:rPr>
        <w:t xml:space="preserve">Waiver </w:t>
      </w:r>
      <w:r w:rsidRPr="00BA3676">
        <w:rPr>
          <w:i/>
          <w:iCs/>
        </w:rPr>
        <w:t>Request</w:t>
      </w:r>
      <w:r w:rsidRPr="00BA3676">
        <w:t xml:space="preserve"> at 1; </w:t>
      </w:r>
      <w:r w:rsidRPr="00026DF7">
        <w:rPr>
          <w:i/>
          <w:iCs/>
        </w:rPr>
        <w:t xml:space="preserve">GDOT </w:t>
      </w:r>
      <w:r w:rsidRPr="00026DF7">
        <w:rPr>
          <w:bCs/>
          <w:i/>
          <w:iCs/>
        </w:rPr>
        <w:t xml:space="preserve">Waiver </w:t>
      </w:r>
      <w:r w:rsidRPr="00026DF7">
        <w:rPr>
          <w:i/>
          <w:iCs/>
        </w:rPr>
        <w:t xml:space="preserve">Request </w:t>
      </w:r>
      <w:r w:rsidRPr="00026DF7">
        <w:t xml:space="preserve">at 2; </w:t>
      </w:r>
      <w:r w:rsidRPr="00827D0C">
        <w:rPr>
          <w:i/>
          <w:iCs/>
        </w:rPr>
        <w:t xml:space="preserve">HDOT </w:t>
      </w:r>
      <w:r w:rsidRPr="00827D0C">
        <w:rPr>
          <w:bCs/>
          <w:i/>
          <w:iCs/>
        </w:rPr>
        <w:t xml:space="preserve">Waiver </w:t>
      </w:r>
      <w:r w:rsidRPr="00827D0C">
        <w:rPr>
          <w:i/>
          <w:iCs/>
        </w:rPr>
        <w:t xml:space="preserve">Request </w:t>
      </w:r>
      <w:r w:rsidRPr="00827D0C">
        <w:t>at 1</w:t>
      </w:r>
      <w:r w:rsidRPr="002B6908">
        <w:t xml:space="preserve">; </w:t>
      </w:r>
      <w:r w:rsidR="00B160DE">
        <w:rPr>
          <w:i/>
          <w:iCs/>
        </w:rPr>
        <w:t>SHA</w:t>
      </w:r>
      <w:r w:rsidRPr="006F4858" w:rsidR="003F7841">
        <w:rPr>
          <w:i/>
          <w:iCs/>
        </w:rPr>
        <w:t xml:space="preserve"> Waiver Request</w:t>
      </w:r>
      <w:r w:rsidR="003F7841">
        <w:t xml:space="preserve"> at </w:t>
      </w:r>
      <w:r w:rsidR="1DADADB9">
        <w:t>1</w:t>
      </w:r>
      <w:r w:rsidR="003F7841">
        <w:t xml:space="preserve">; </w:t>
      </w:r>
      <w:r w:rsidRPr="00026DF7">
        <w:rPr>
          <w:i/>
          <w:iCs/>
        </w:rPr>
        <w:t>M</w:t>
      </w:r>
      <w:r>
        <w:rPr>
          <w:i/>
          <w:iCs/>
        </w:rPr>
        <w:t>I</w:t>
      </w:r>
      <w:r w:rsidRPr="00026DF7">
        <w:rPr>
          <w:i/>
          <w:iCs/>
        </w:rPr>
        <w:t xml:space="preserve">DOT </w:t>
      </w:r>
      <w:r w:rsidRPr="00026DF7">
        <w:rPr>
          <w:bCs/>
          <w:i/>
          <w:iCs/>
        </w:rPr>
        <w:t xml:space="preserve">Waiver </w:t>
      </w:r>
      <w:r w:rsidRPr="00026DF7">
        <w:rPr>
          <w:i/>
          <w:iCs/>
        </w:rPr>
        <w:t xml:space="preserve">Request </w:t>
      </w:r>
      <w:r w:rsidRPr="00026DF7">
        <w:t xml:space="preserve">at 1; </w:t>
      </w:r>
      <w:r w:rsidRPr="000A2C16" w:rsidR="000B1272">
        <w:rPr>
          <w:i/>
          <w:iCs/>
        </w:rPr>
        <w:t xml:space="preserve">NDOT Waiver </w:t>
      </w:r>
      <w:r w:rsidR="000B1272">
        <w:rPr>
          <w:i/>
          <w:iCs/>
        </w:rPr>
        <w:t>R</w:t>
      </w:r>
      <w:r w:rsidRPr="000A2C16" w:rsidR="000B1272">
        <w:rPr>
          <w:i/>
          <w:iCs/>
        </w:rPr>
        <w:t>equest</w:t>
      </w:r>
      <w:r w:rsidR="000B1272">
        <w:t xml:space="preserve"> at </w:t>
      </w:r>
      <w:r w:rsidR="00362379">
        <w:t>1</w:t>
      </w:r>
      <w:r w:rsidR="000B1272">
        <w:t xml:space="preserve">; </w:t>
      </w:r>
      <w:r w:rsidRPr="00026DF7">
        <w:rPr>
          <w:i/>
          <w:iCs/>
        </w:rPr>
        <w:t xml:space="preserve">NJDOT </w:t>
      </w:r>
      <w:r w:rsidRPr="00026DF7">
        <w:rPr>
          <w:bCs/>
          <w:i/>
          <w:iCs/>
        </w:rPr>
        <w:t xml:space="preserve">Waiver </w:t>
      </w:r>
      <w:r w:rsidRPr="00026DF7">
        <w:rPr>
          <w:i/>
          <w:iCs/>
        </w:rPr>
        <w:t xml:space="preserve">Request </w:t>
      </w:r>
      <w:r w:rsidRPr="00026DF7">
        <w:t>at 1</w:t>
      </w:r>
      <w:r w:rsidRPr="00BA3676">
        <w:t xml:space="preserve">; </w:t>
      </w:r>
      <w:r w:rsidRPr="00BA3676">
        <w:rPr>
          <w:i/>
          <w:iCs/>
        </w:rPr>
        <w:t>DriveOhio</w:t>
      </w:r>
      <w:r w:rsidRPr="00BA3676">
        <w:rPr>
          <w:i/>
          <w:iCs/>
        </w:rPr>
        <w:t xml:space="preserve"> </w:t>
      </w:r>
      <w:r w:rsidRPr="00BA3676">
        <w:rPr>
          <w:bCs/>
          <w:i/>
          <w:iCs/>
        </w:rPr>
        <w:t xml:space="preserve">Waiver </w:t>
      </w:r>
      <w:r w:rsidRPr="00BA3676">
        <w:rPr>
          <w:i/>
          <w:iCs/>
        </w:rPr>
        <w:t xml:space="preserve">Request </w:t>
      </w:r>
      <w:r w:rsidRPr="00BA3676">
        <w:t xml:space="preserve">at 1; </w:t>
      </w:r>
      <w:r w:rsidRPr="00450094">
        <w:rPr>
          <w:i/>
          <w:iCs/>
        </w:rPr>
        <w:t xml:space="preserve">ODOT </w:t>
      </w:r>
      <w:r w:rsidRPr="00450094">
        <w:rPr>
          <w:bCs/>
          <w:i/>
          <w:iCs/>
        </w:rPr>
        <w:t xml:space="preserve">Waiver </w:t>
      </w:r>
      <w:r w:rsidRPr="00450094">
        <w:rPr>
          <w:i/>
          <w:iCs/>
        </w:rPr>
        <w:t xml:space="preserve">Request </w:t>
      </w:r>
      <w:r w:rsidRPr="002B6908">
        <w:t xml:space="preserve">at 2; </w:t>
      </w:r>
      <w:r w:rsidRPr="002B6908">
        <w:rPr>
          <w:i/>
          <w:iCs/>
        </w:rPr>
        <w:t>T</w:t>
      </w:r>
      <w:r>
        <w:rPr>
          <w:i/>
          <w:iCs/>
        </w:rPr>
        <w:t>X</w:t>
      </w:r>
      <w:r w:rsidRPr="002B6908">
        <w:rPr>
          <w:i/>
          <w:iCs/>
        </w:rPr>
        <w:t>DOT</w:t>
      </w:r>
      <w:r w:rsidRPr="00E40F05">
        <w:rPr>
          <w:i/>
          <w:iCs/>
        </w:rPr>
        <w:t xml:space="preserve"> </w:t>
      </w:r>
      <w:r w:rsidRPr="00E40F05">
        <w:rPr>
          <w:bCs/>
          <w:i/>
          <w:iCs/>
        </w:rPr>
        <w:t xml:space="preserve">Waiver </w:t>
      </w:r>
      <w:r w:rsidRPr="00E40F05">
        <w:rPr>
          <w:i/>
          <w:iCs/>
        </w:rPr>
        <w:t xml:space="preserve">Request </w:t>
      </w:r>
      <w:r w:rsidRPr="00E40F05">
        <w:t xml:space="preserve">at </w:t>
      </w:r>
      <w:r w:rsidRPr="002B6908">
        <w:t xml:space="preserve">1; </w:t>
      </w:r>
      <w:r w:rsidRPr="003B15C2">
        <w:rPr>
          <w:i/>
        </w:rPr>
        <w:t>WDYOT</w:t>
      </w:r>
      <w:r w:rsidRPr="003B15C2">
        <w:t xml:space="preserve"> </w:t>
      </w:r>
      <w:r w:rsidRPr="003B15C2">
        <w:rPr>
          <w:i/>
        </w:rPr>
        <w:t xml:space="preserve">Waiver Request </w:t>
      </w:r>
      <w:r w:rsidRPr="003B15C2">
        <w:t xml:space="preserve">at </w:t>
      </w:r>
      <w:r w:rsidRPr="003B15C2" w:rsidR="1DADADB9">
        <w:t>1</w:t>
      </w:r>
      <w:r w:rsidRPr="00F63CB2">
        <w:t xml:space="preserve">; </w:t>
      </w:r>
      <w:r w:rsidRPr="002B6908">
        <w:rPr>
          <w:i/>
          <w:iCs/>
        </w:rPr>
        <w:t>CCD</w:t>
      </w:r>
      <w:r w:rsidRPr="002B6908">
        <w:t xml:space="preserve"> </w:t>
      </w:r>
      <w:r w:rsidRPr="002B6908">
        <w:rPr>
          <w:bCs/>
          <w:i/>
          <w:iCs/>
        </w:rPr>
        <w:t xml:space="preserve">Waiver </w:t>
      </w:r>
      <w:r w:rsidRPr="002B6908">
        <w:rPr>
          <w:i/>
          <w:iCs/>
        </w:rPr>
        <w:t xml:space="preserve">Request </w:t>
      </w:r>
      <w:r w:rsidRPr="002B6908">
        <w:t xml:space="preserve">at 1; </w:t>
      </w:r>
      <w:r w:rsidRPr="00F54948">
        <w:rPr>
          <w:i/>
          <w:iCs/>
        </w:rPr>
        <w:t xml:space="preserve">MCDOR </w:t>
      </w:r>
      <w:r w:rsidRPr="00F54948">
        <w:rPr>
          <w:bCs/>
          <w:i/>
          <w:iCs/>
        </w:rPr>
        <w:t xml:space="preserve">Waiver </w:t>
      </w:r>
      <w:r w:rsidRPr="00F54948">
        <w:rPr>
          <w:i/>
          <w:iCs/>
        </w:rPr>
        <w:t xml:space="preserve">Request </w:t>
      </w:r>
      <w:r w:rsidRPr="00F54948">
        <w:t xml:space="preserve">at 1; </w:t>
      </w:r>
      <w:r w:rsidRPr="00842DA1">
        <w:rPr>
          <w:i/>
          <w:iCs/>
        </w:rPr>
        <w:t xml:space="preserve">Regents UofM </w:t>
      </w:r>
      <w:r w:rsidRPr="00842DA1">
        <w:rPr>
          <w:bCs/>
          <w:i/>
          <w:iCs/>
        </w:rPr>
        <w:t xml:space="preserve">Waiver </w:t>
      </w:r>
      <w:r w:rsidRPr="00842DA1">
        <w:rPr>
          <w:i/>
          <w:iCs/>
        </w:rPr>
        <w:t xml:space="preserve">Request </w:t>
      </w:r>
      <w:r w:rsidRPr="00842DA1">
        <w:t xml:space="preserve">at 1; </w:t>
      </w:r>
      <w:r w:rsidRPr="00C21A0C">
        <w:rPr>
          <w:i/>
          <w:iCs/>
        </w:rPr>
        <w:t>P3Mobility</w:t>
      </w:r>
      <w:r w:rsidRPr="00C21A0C">
        <w:rPr>
          <w:bCs/>
          <w:i/>
          <w:iCs/>
        </w:rPr>
        <w:t xml:space="preserve"> Waiver</w:t>
      </w:r>
      <w:r w:rsidRPr="00C21A0C">
        <w:rPr>
          <w:i/>
          <w:iCs/>
        </w:rPr>
        <w:t xml:space="preserve"> Request </w:t>
      </w:r>
      <w:r w:rsidRPr="00C21A0C">
        <w:t xml:space="preserve">at 1; and </w:t>
      </w:r>
      <w:r w:rsidRPr="00C21A0C">
        <w:rPr>
          <w:i/>
          <w:iCs/>
        </w:rPr>
        <w:t xml:space="preserve">Connex2X </w:t>
      </w:r>
      <w:r w:rsidRPr="00C21A0C">
        <w:rPr>
          <w:bCs/>
          <w:i/>
          <w:iCs/>
        </w:rPr>
        <w:t xml:space="preserve">Waiver </w:t>
      </w:r>
      <w:r w:rsidRPr="00C21A0C">
        <w:rPr>
          <w:i/>
          <w:iCs/>
        </w:rPr>
        <w:t xml:space="preserve">Request </w:t>
      </w:r>
      <w:r w:rsidRPr="00C21A0C">
        <w:t>at 1.</w:t>
      </w:r>
    </w:p>
  </w:footnote>
  <w:footnote w:id="6">
    <w:p w:rsidR="002A2E9D" w:rsidP="002A2E9D" w14:paraId="0BF4F0F4" w14:textId="1D38B7EA">
      <w:pPr>
        <w:pStyle w:val="FootnoteText"/>
      </w:pPr>
      <w:r>
        <w:rPr>
          <w:rStyle w:val="FootnoteReference"/>
        </w:rPr>
        <w:footnoteRef/>
      </w:r>
      <w:r>
        <w:t xml:space="preserve"> </w:t>
      </w:r>
      <w:r>
        <w:t>“In the band 5895</w:t>
      </w:r>
      <w:r w:rsidR="00405632">
        <w:t>–</w:t>
      </w:r>
      <w:r>
        <w:t>5925 MHz, the use of the non-federal mobile service is limited to operations in the Intelligent Transportation Systems radio service.”  47 CFR § 2.106</w:t>
      </w:r>
      <w:r w:rsidR="003728FF">
        <w:t>(d)(</w:t>
      </w:r>
      <w:r>
        <w:t>160</w:t>
      </w:r>
      <w:r w:rsidR="003728FF">
        <w:t>)</w:t>
      </w:r>
      <w:r>
        <w:t>.  As the Bureaus previously noted in the Joint Waiver Order, s</w:t>
      </w:r>
      <w:r w:rsidRPr="00095468">
        <w:t>ection 2.106 merely limits operations in the upper 30 megahertz of the 5.9 GHz band to ITS services</w:t>
      </w:r>
      <w:r>
        <w:t>, so such a waiver is unnecessary</w:t>
      </w:r>
      <w:r w:rsidRPr="00095468">
        <w:t>.</w:t>
      </w:r>
      <w:r>
        <w:t xml:space="preserve">  </w:t>
      </w:r>
      <w:r w:rsidRPr="00C31CCF">
        <w:rPr>
          <w:i/>
          <w:iCs/>
        </w:rPr>
        <w:t>See</w:t>
      </w:r>
      <w:r>
        <w:t xml:space="preserve"> Joint Waiver Order at 5.</w:t>
      </w:r>
      <w:r w:rsidRPr="00095468">
        <w:t xml:space="preserve">  </w:t>
      </w:r>
      <w:r>
        <w:t xml:space="preserve">None of the Waiver Applicants </w:t>
      </w:r>
      <w:r w:rsidRPr="00095468">
        <w:t>contemplate</w:t>
      </w:r>
      <w:r>
        <w:t>s</w:t>
      </w:r>
      <w:r w:rsidRPr="00095468">
        <w:t xml:space="preserve"> deploying non-ITS operations in the upper 30 megahertz of the 5.9 GHz band.  Therefore, the request</w:t>
      </w:r>
      <w:r>
        <w:t>s</w:t>
      </w:r>
      <w:r w:rsidRPr="00095468">
        <w:t xml:space="preserve"> for a waiver of this provision </w:t>
      </w:r>
      <w:r>
        <w:t>are</w:t>
      </w:r>
      <w:r w:rsidRPr="00095468">
        <w:t xml:space="preserve"> dismissed as moot.</w:t>
      </w:r>
    </w:p>
  </w:footnote>
  <w:footnote w:id="7">
    <w:p w:rsidR="002A2E9D" w:rsidP="002A2E9D" w14:paraId="4ECC7098" w14:textId="015B3A42">
      <w:pPr>
        <w:pStyle w:val="FootnoteText"/>
      </w:pPr>
      <w:r>
        <w:rPr>
          <w:rStyle w:val="FootnoteReference"/>
        </w:rPr>
        <w:footnoteRef/>
      </w:r>
      <w:r>
        <w:t xml:space="preserve"> </w:t>
      </w:r>
      <w:r w:rsidRPr="00E40F05">
        <w:rPr>
          <w:i/>
          <w:iCs/>
        </w:rPr>
        <w:t>See</w:t>
      </w:r>
      <w:r w:rsidR="0077159D">
        <w:rPr>
          <w:i/>
          <w:iCs/>
        </w:rPr>
        <w:t>, e.g.,</w:t>
      </w:r>
      <w:r w:rsidRPr="00E40F05">
        <w:t xml:space="preserve"> </w:t>
      </w:r>
      <w:r w:rsidRPr="00E40F05">
        <w:rPr>
          <w:i/>
          <w:iCs/>
        </w:rPr>
        <w:t xml:space="preserve">CDOT </w:t>
      </w:r>
      <w:r w:rsidRPr="00E40F05">
        <w:rPr>
          <w:bCs/>
          <w:i/>
          <w:iCs/>
        </w:rPr>
        <w:t xml:space="preserve">Waiver </w:t>
      </w:r>
      <w:r w:rsidRPr="00E40F05">
        <w:rPr>
          <w:i/>
          <w:iCs/>
        </w:rPr>
        <w:t>Request</w:t>
      </w:r>
      <w:r w:rsidRPr="00E40F05">
        <w:t xml:space="preserve"> at 1</w:t>
      </w:r>
      <w:r w:rsidR="00405632">
        <w:t>–</w:t>
      </w:r>
      <w:r w:rsidRPr="00E40F05">
        <w:t>2</w:t>
      </w:r>
      <w:r w:rsidRPr="005D2F14">
        <w:t xml:space="preserve">; </w:t>
      </w:r>
      <w:r w:rsidRPr="00C55CC6">
        <w:rPr>
          <w:i/>
          <w:iCs/>
        </w:rPr>
        <w:t xml:space="preserve">GDOT </w:t>
      </w:r>
      <w:r w:rsidRPr="00C55CC6">
        <w:rPr>
          <w:bCs/>
          <w:i/>
          <w:iCs/>
        </w:rPr>
        <w:t xml:space="preserve">Waiver </w:t>
      </w:r>
      <w:r w:rsidRPr="00C55CC6">
        <w:rPr>
          <w:i/>
          <w:iCs/>
        </w:rPr>
        <w:t xml:space="preserve">Request </w:t>
      </w:r>
      <w:r w:rsidRPr="00C55CC6">
        <w:t xml:space="preserve">at </w:t>
      </w:r>
      <w:r w:rsidRPr="00026DF7">
        <w:t xml:space="preserve">2; </w:t>
      </w:r>
      <w:r w:rsidRPr="00026DF7">
        <w:rPr>
          <w:i/>
          <w:iCs/>
        </w:rPr>
        <w:t>HDOT</w:t>
      </w:r>
      <w:r w:rsidRPr="00827D0C">
        <w:rPr>
          <w:i/>
          <w:iCs/>
        </w:rPr>
        <w:t xml:space="preserve"> </w:t>
      </w:r>
      <w:r w:rsidRPr="00827D0C">
        <w:rPr>
          <w:bCs/>
          <w:i/>
          <w:iCs/>
        </w:rPr>
        <w:t xml:space="preserve">Waiver </w:t>
      </w:r>
      <w:r w:rsidRPr="00827D0C">
        <w:rPr>
          <w:i/>
          <w:iCs/>
        </w:rPr>
        <w:t xml:space="preserve">Request </w:t>
      </w:r>
      <w:r w:rsidRPr="00827D0C">
        <w:t>at 1</w:t>
      </w:r>
      <w:r w:rsidR="00405632">
        <w:t>–</w:t>
      </w:r>
      <w:r w:rsidRPr="00827D0C">
        <w:t xml:space="preserve">2; </w:t>
      </w:r>
      <w:r w:rsidRPr="00026DF7">
        <w:rPr>
          <w:i/>
          <w:iCs/>
        </w:rPr>
        <w:t>M</w:t>
      </w:r>
      <w:r>
        <w:rPr>
          <w:i/>
          <w:iCs/>
        </w:rPr>
        <w:t>I</w:t>
      </w:r>
      <w:r w:rsidRPr="00026DF7">
        <w:rPr>
          <w:i/>
          <w:iCs/>
        </w:rPr>
        <w:t xml:space="preserve">DOT </w:t>
      </w:r>
      <w:r w:rsidRPr="00026DF7">
        <w:rPr>
          <w:bCs/>
          <w:i/>
          <w:iCs/>
        </w:rPr>
        <w:t xml:space="preserve">Waiver </w:t>
      </w:r>
      <w:r w:rsidRPr="00026DF7">
        <w:rPr>
          <w:i/>
          <w:iCs/>
        </w:rPr>
        <w:t xml:space="preserve">Request </w:t>
      </w:r>
      <w:r w:rsidRPr="00026DF7">
        <w:t xml:space="preserve">at 1; </w:t>
      </w:r>
      <w:r w:rsidRPr="00123D00" w:rsidR="000B1272">
        <w:rPr>
          <w:i/>
          <w:iCs/>
        </w:rPr>
        <w:t xml:space="preserve">NDOT Waiver </w:t>
      </w:r>
      <w:r w:rsidR="000B1272">
        <w:rPr>
          <w:i/>
          <w:iCs/>
        </w:rPr>
        <w:t>R</w:t>
      </w:r>
      <w:r w:rsidRPr="00123D00" w:rsidR="000B1272">
        <w:rPr>
          <w:i/>
          <w:iCs/>
        </w:rPr>
        <w:t>equest</w:t>
      </w:r>
      <w:r w:rsidR="000B1272">
        <w:t xml:space="preserve"> at </w:t>
      </w:r>
      <w:r w:rsidR="00D27FEB">
        <w:t>1</w:t>
      </w:r>
      <w:r w:rsidR="000B1272">
        <w:t xml:space="preserve">; </w:t>
      </w:r>
      <w:r w:rsidRPr="00026DF7">
        <w:rPr>
          <w:i/>
          <w:iCs/>
        </w:rPr>
        <w:t xml:space="preserve">NJDOT </w:t>
      </w:r>
      <w:r w:rsidRPr="00026DF7">
        <w:rPr>
          <w:bCs/>
          <w:i/>
          <w:iCs/>
        </w:rPr>
        <w:t xml:space="preserve">Waiver </w:t>
      </w:r>
      <w:r w:rsidRPr="00026DF7">
        <w:rPr>
          <w:i/>
          <w:iCs/>
        </w:rPr>
        <w:t xml:space="preserve">Request </w:t>
      </w:r>
      <w:r w:rsidRPr="00026DF7">
        <w:t>at 1</w:t>
      </w:r>
      <w:r w:rsidR="00405632">
        <w:t>–</w:t>
      </w:r>
      <w:r>
        <w:t>2</w:t>
      </w:r>
      <w:r w:rsidRPr="00026DF7">
        <w:t xml:space="preserve">; </w:t>
      </w:r>
      <w:r w:rsidRPr="00BA3676">
        <w:rPr>
          <w:i/>
          <w:iCs/>
        </w:rPr>
        <w:t>DriveOhio</w:t>
      </w:r>
      <w:r w:rsidRPr="00BA3676">
        <w:rPr>
          <w:i/>
          <w:iCs/>
        </w:rPr>
        <w:t xml:space="preserve"> </w:t>
      </w:r>
      <w:r w:rsidRPr="00BA3676">
        <w:rPr>
          <w:bCs/>
          <w:i/>
          <w:iCs/>
        </w:rPr>
        <w:t xml:space="preserve">Waiver </w:t>
      </w:r>
      <w:r w:rsidRPr="00BA3676">
        <w:rPr>
          <w:i/>
          <w:iCs/>
        </w:rPr>
        <w:t xml:space="preserve">Request </w:t>
      </w:r>
      <w:r w:rsidRPr="00BA3676">
        <w:t xml:space="preserve">at 2; </w:t>
      </w:r>
      <w:r w:rsidRPr="00AB27E2">
        <w:rPr>
          <w:i/>
          <w:iCs/>
        </w:rPr>
        <w:t xml:space="preserve">ODOT </w:t>
      </w:r>
      <w:r w:rsidRPr="00AB27E2">
        <w:rPr>
          <w:bCs/>
          <w:i/>
          <w:iCs/>
        </w:rPr>
        <w:t xml:space="preserve">Waiver </w:t>
      </w:r>
      <w:r w:rsidRPr="00AB27E2">
        <w:rPr>
          <w:i/>
          <w:iCs/>
        </w:rPr>
        <w:t xml:space="preserve">Request </w:t>
      </w:r>
      <w:r w:rsidRPr="00AB27E2">
        <w:t xml:space="preserve">at 2 </w:t>
      </w:r>
      <w:r w:rsidRPr="00BA3676">
        <w:t xml:space="preserve">; </w:t>
      </w:r>
      <w:r w:rsidRPr="00E40F05">
        <w:rPr>
          <w:i/>
          <w:iCs/>
        </w:rPr>
        <w:t>T</w:t>
      </w:r>
      <w:r>
        <w:rPr>
          <w:i/>
          <w:iCs/>
        </w:rPr>
        <w:t>X</w:t>
      </w:r>
      <w:r w:rsidRPr="00E40F05">
        <w:rPr>
          <w:i/>
          <w:iCs/>
        </w:rPr>
        <w:t xml:space="preserve">DOT </w:t>
      </w:r>
      <w:r w:rsidRPr="00E40F05">
        <w:rPr>
          <w:bCs/>
          <w:i/>
          <w:iCs/>
        </w:rPr>
        <w:t xml:space="preserve">Waiver </w:t>
      </w:r>
      <w:r w:rsidRPr="00E40F05">
        <w:rPr>
          <w:i/>
          <w:iCs/>
        </w:rPr>
        <w:t xml:space="preserve">Request </w:t>
      </w:r>
      <w:r w:rsidRPr="00E40F05">
        <w:t>at 1</w:t>
      </w:r>
      <w:r w:rsidR="00405632">
        <w:t>–</w:t>
      </w:r>
      <w:r>
        <w:t>2</w:t>
      </w:r>
      <w:r w:rsidRPr="009C346E">
        <w:t xml:space="preserve">; </w:t>
      </w:r>
      <w:r w:rsidRPr="003B15C2">
        <w:rPr>
          <w:i/>
        </w:rPr>
        <w:t>WYDOT</w:t>
      </w:r>
      <w:r w:rsidRPr="003B15C2">
        <w:t xml:space="preserve"> </w:t>
      </w:r>
      <w:r w:rsidRPr="003B15C2">
        <w:rPr>
          <w:i/>
        </w:rPr>
        <w:t xml:space="preserve">Waiver Request </w:t>
      </w:r>
      <w:r w:rsidRPr="003B15C2">
        <w:t xml:space="preserve">at </w:t>
      </w:r>
      <w:r w:rsidRPr="003B15C2" w:rsidR="65CF57C7">
        <w:t>1</w:t>
      </w:r>
      <w:r w:rsidRPr="009C346E">
        <w:t xml:space="preserve">; </w:t>
      </w:r>
      <w:r w:rsidRPr="002B6908">
        <w:rPr>
          <w:i/>
          <w:iCs/>
        </w:rPr>
        <w:t>CCD</w:t>
      </w:r>
      <w:r w:rsidRPr="002B6908">
        <w:t xml:space="preserve"> </w:t>
      </w:r>
      <w:r w:rsidRPr="002B6908">
        <w:rPr>
          <w:bCs/>
          <w:i/>
          <w:iCs/>
        </w:rPr>
        <w:t xml:space="preserve">Waiver </w:t>
      </w:r>
      <w:r w:rsidRPr="002B6908">
        <w:rPr>
          <w:i/>
          <w:iCs/>
        </w:rPr>
        <w:t xml:space="preserve">Request </w:t>
      </w:r>
      <w:r w:rsidRPr="002B6908">
        <w:t xml:space="preserve">at 2; </w:t>
      </w:r>
      <w:r w:rsidRPr="00F54948">
        <w:rPr>
          <w:i/>
          <w:iCs/>
        </w:rPr>
        <w:t xml:space="preserve">MCDOR </w:t>
      </w:r>
      <w:r w:rsidRPr="00F54948">
        <w:rPr>
          <w:bCs/>
          <w:i/>
          <w:iCs/>
        </w:rPr>
        <w:t xml:space="preserve">Waiver </w:t>
      </w:r>
      <w:r w:rsidRPr="00F54948">
        <w:rPr>
          <w:i/>
          <w:iCs/>
        </w:rPr>
        <w:t xml:space="preserve">Request </w:t>
      </w:r>
      <w:r w:rsidRPr="00F54948">
        <w:t xml:space="preserve">at 1; </w:t>
      </w:r>
      <w:r w:rsidRPr="00842DA1">
        <w:rPr>
          <w:i/>
          <w:iCs/>
        </w:rPr>
        <w:t xml:space="preserve">Regents UofM </w:t>
      </w:r>
      <w:r w:rsidRPr="00842DA1">
        <w:rPr>
          <w:bCs/>
          <w:i/>
          <w:iCs/>
        </w:rPr>
        <w:t xml:space="preserve">Waiver </w:t>
      </w:r>
      <w:r w:rsidRPr="00842DA1">
        <w:rPr>
          <w:i/>
          <w:iCs/>
        </w:rPr>
        <w:t xml:space="preserve">Request </w:t>
      </w:r>
      <w:r w:rsidRPr="00842DA1">
        <w:t xml:space="preserve">at 2; </w:t>
      </w:r>
      <w:r w:rsidR="0077159D">
        <w:t xml:space="preserve">and </w:t>
      </w:r>
      <w:r w:rsidRPr="00C21A0C">
        <w:rPr>
          <w:i/>
          <w:iCs/>
        </w:rPr>
        <w:t>P3Mobility</w:t>
      </w:r>
      <w:r w:rsidRPr="00C21A0C">
        <w:rPr>
          <w:bCs/>
          <w:i/>
          <w:iCs/>
        </w:rPr>
        <w:t xml:space="preserve"> Waiver</w:t>
      </w:r>
      <w:r w:rsidRPr="00C21A0C">
        <w:rPr>
          <w:i/>
          <w:iCs/>
        </w:rPr>
        <w:t xml:space="preserve"> Request </w:t>
      </w:r>
      <w:r w:rsidRPr="00C21A0C">
        <w:t>at 1</w:t>
      </w:r>
      <w:r w:rsidR="00586727">
        <w:t xml:space="preserve">  </w:t>
      </w:r>
    </w:p>
  </w:footnote>
  <w:footnote w:id="8">
    <w:p w:rsidR="002A2E9D" w:rsidP="002A2E9D" w14:paraId="14085AA7" w14:textId="7CB9BE1D">
      <w:pPr>
        <w:pStyle w:val="FootnoteText"/>
      </w:pPr>
      <w:r>
        <w:rPr>
          <w:rStyle w:val="FootnoteReference"/>
        </w:rPr>
        <w:footnoteRef/>
      </w:r>
      <w:r>
        <w:t xml:space="preserve">  </w:t>
      </w:r>
      <w:r w:rsidRPr="00E40F05">
        <w:rPr>
          <w:i/>
          <w:iCs/>
        </w:rPr>
        <w:t>See</w:t>
      </w:r>
      <w:r w:rsidR="00B160DE">
        <w:rPr>
          <w:i/>
          <w:iCs/>
        </w:rPr>
        <w:t>, e.g.,</w:t>
      </w:r>
      <w:r w:rsidRPr="00E40F05">
        <w:t xml:space="preserve"> </w:t>
      </w:r>
      <w:r w:rsidRPr="00E40F05">
        <w:rPr>
          <w:i/>
          <w:iCs/>
        </w:rPr>
        <w:t xml:space="preserve">CDOT </w:t>
      </w:r>
      <w:r w:rsidRPr="00E40F05">
        <w:rPr>
          <w:bCs/>
          <w:i/>
          <w:iCs/>
        </w:rPr>
        <w:t xml:space="preserve">Waiver </w:t>
      </w:r>
      <w:r w:rsidRPr="00E40F05">
        <w:rPr>
          <w:i/>
          <w:iCs/>
        </w:rPr>
        <w:t>Request</w:t>
      </w:r>
      <w:r w:rsidRPr="00E40F05">
        <w:t xml:space="preserve"> at 1, footnote 2</w:t>
      </w:r>
      <w:r>
        <w:t xml:space="preserve">; </w:t>
      </w:r>
      <w:r w:rsidRPr="00827D0C">
        <w:rPr>
          <w:i/>
          <w:iCs/>
        </w:rPr>
        <w:t xml:space="preserve">HDOT </w:t>
      </w:r>
      <w:r w:rsidRPr="00827D0C">
        <w:rPr>
          <w:bCs/>
          <w:i/>
          <w:iCs/>
        </w:rPr>
        <w:t xml:space="preserve">Waiver </w:t>
      </w:r>
      <w:r w:rsidRPr="00827D0C">
        <w:rPr>
          <w:i/>
          <w:iCs/>
        </w:rPr>
        <w:t xml:space="preserve">Request </w:t>
      </w:r>
      <w:r w:rsidRPr="00827D0C">
        <w:t>at 1, fn.2</w:t>
      </w:r>
      <w:r w:rsidRPr="009C346E">
        <w:t xml:space="preserve">; </w:t>
      </w:r>
      <w:r w:rsidRPr="003B15C2" w:rsidR="001F0F15">
        <w:rPr>
          <w:i/>
        </w:rPr>
        <w:t>SHA</w:t>
      </w:r>
      <w:r w:rsidRPr="003B15C2" w:rsidR="002D6E61">
        <w:rPr>
          <w:i/>
        </w:rPr>
        <w:t xml:space="preserve"> Waiver Request</w:t>
      </w:r>
      <w:r w:rsidRPr="003B15C2" w:rsidR="002D6E61">
        <w:t xml:space="preserve"> at </w:t>
      </w:r>
      <w:r w:rsidRPr="003B15C2" w:rsidR="7B40AF83">
        <w:t>1</w:t>
      </w:r>
      <w:r w:rsidR="002D6E61">
        <w:t xml:space="preserve">; </w:t>
      </w:r>
      <w:r w:rsidRPr="00026DF7">
        <w:rPr>
          <w:i/>
          <w:iCs/>
        </w:rPr>
        <w:t>M</w:t>
      </w:r>
      <w:r>
        <w:rPr>
          <w:i/>
          <w:iCs/>
        </w:rPr>
        <w:t>I</w:t>
      </w:r>
      <w:r w:rsidRPr="00026DF7">
        <w:rPr>
          <w:i/>
          <w:iCs/>
        </w:rPr>
        <w:t xml:space="preserve">DOT </w:t>
      </w:r>
      <w:r w:rsidRPr="00026DF7">
        <w:rPr>
          <w:bCs/>
          <w:i/>
          <w:iCs/>
        </w:rPr>
        <w:t xml:space="preserve">Waiver </w:t>
      </w:r>
      <w:r w:rsidRPr="00026DF7">
        <w:rPr>
          <w:i/>
          <w:iCs/>
        </w:rPr>
        <w:t xml:space="preserve">Request </w:t>
      </w:r>
      <w:r w:rsidRPr="00026DF7">
        <w:t>at 1</w:t>
      </w:r>
      <w:r w:rsidRPr="00BA3676">
        <w:t xml:space="preserve">; </w:t>
      </w:r>
      <w:r w:rsidRPr="00123D00" w:rsidR="000B1272">
        <w:rPr>
          <w:i/>
          <w:iCs/>
        </w:rPr>
        <w:t xml:space="preserve">NDOT Waiver </w:t>
      </w:r>
      <w:r w:rsidR="000B1272">
        <w:rPr>
          <w:i/>
          <w:iCs/>
        </w:rPr>
        <w:t>R</w:t>
      </w:r>
      <w:r w:rsidRPr="00123D00" w:rsidR="000B1272">
        <w:rPr>
          <w:i/>
          <w:iCs/>
        </w:rPr>
        <w:t>equest</w:t>
      </w:r>
      <w:r w:rsidR="000B1272">
        <w:t xml:space="preserve"> at </w:t>
      </w:r>
      <w:r w:rsidR="00E03E85">
        <w:t>1, fn. 2</w:t>
      </w:r>
      <w:r w:rsidR="000B1272">
        <w:t xml:space="preserve">; </w:t>
      </w:r>
      <w:r w:rsidRPr="00BA3676">
        <w:rPr>
          <w:i/>
          <w:iCs/>
        </w:rPr>
        <w:t xml:space="preserve">NJDOT </w:t>
      </w:r>
      <w:r w:rsidRPr="00BA3676">
        <w:rPr>
          <w:bCs/>
          <w:i/>
          <w:iCs/>
        </w:rPr>
        <w:t xml:space="preserve">Waiver </w:t>
      </w:r>
      <w:r w:rsidRPr="00BA3676">
        <w:rPr>
          <w:i/>
          <w:iCs/>
        </w:rPr>
        <w:t xml:space="preserve">Request </w:t>
      </w:r>
      <w:r w:rsidRPr="00BA3676">
        <w:t>at 1, fn. 2</w:t>
      </w:r>
      <w:r w:rsidRPr="009C346E">
        <w:t xml:space="preserve">; </w:t>
      </w:r>
      <w:r w:rsidRPr="00BA3676">
        <w:rPr>
          <w:i/>
          <w:iCs/>
        </w:rPr>
        <w:t>DriveOhio</w:t>
      </w:r>
      <w:r w:rsidRPr="00BA3676">
        <w:rPr>
          <w:i/>
          <w:iCs/>
        </w:rPr>
        <w:t xml:space="preserve"> </w:t>
      </w:r>
      <w:r w:rsidRPr="00BA3676">
        <w:rPr>
          <w:bCs/>
          <w:i/>
          <w:iCs/>
        </w:rPr>
        <w:t xml:space="preserve">Waiver </w:t>
      </w:r>
      <w:r w:rsidRPr="00BA3676">
        <w:rPr>
          <w:i/>
          <w:iCs/>
        </w:rPr>
        <w:t xml:space="preserve">Request </w:t>
      </w:r>
      <w:r w:rsidRPr="00BA3676">
        <w:t xml:space="preserve">at 1, fn. 2; </w:t>
      </w:r>
      <w:r w:rsidRPr="00AB27E2">
        <w:rPr>
          <w:i/>
          <w:iCs/>
        </w:rPr>
        <w:t>T</w:t>
      </w:r>
      <w:r>
        <w:rPr>
          <w:i/>
          <w:iCs/>
        </w:rPr>
        <w:t>X</w:t>
      </w:r>
      <w:r w:rsidRPr="00E40F05">
        <w:rPr>
          <w:i/>
          <w:iCs/>
        </w:rPr>
        <w:t xml:space="preserve">DOT </w:t>
      </w:r>
      <w:r w:rsidRPr="00E40F05">
        <w:rPr>
          <w:bCs/>
          <w:i/>
          <w:iCs/>
        </w:rPr>
        <w:t xml:space="preserve">Waiver </w:t>
      </w:r>
      <w:r w:rsidRPr="00E40F05">
        <w:rPr>
          <w:i/>
          <w:iCs/>
        </w:rPr>
        <w:t xml:space="preserve">Request </w:t>
      </w:r>
      <w:r w:rsidRPr="00E40F05">
        <w:t>at 1, fn. 2</w:t>
      </w:r>
      <w:r w:rsidRPr="009C346E">
        <w:t xml:space="preserve">; </w:t>
      </w:r>
      <w:r w:rsidRPr="003B15C2">
        <w:rPr>
          <w:i/>
        </w:rPr>
        <w:t>WYDOT</w:t>
      </w:r>
      <w:r w:rsidRPr="003B15C2">
        <w:t xml:space="preserve"> </w:t>
      </w:r>
      <w:r w:rsidRPr="003B15C2">
        <w:rPr>
          <w:i/>
        </w:rPr>
        <w:t xml:space="preserve">Waiver Request </w:t>
      </w:r>
      <w:r w:rsidRPr="003B15C2">
        <w:t xml:space="preserve">at </w:t>
      </w:r>
      <w:r w:rsidRPr="003B15C2" w:rsidR="7B40AF83">
        <w:t xml:space="preserve">1, fn. </w:t>
      </w:r>
      <w:r w:rsidRPr="003B15C2">
        <w:t>2</w:t>
      </w:r>
      <w:r w:rsidRPr="007A17E4">
        <w:t xml:space="preserve">; </w:t>
      </w:r>
      <w:r w:rsidRPr="002B6908">
        <w:rPr>
          <w:i/>
          <w:iCs/>
        </w:rPr>
        <w:t>CCD</w:t>
      </w:r>
      <w:r w:rsidRPr="002B6908">
        <w:t xml:space="preserve"> </w:t>
      </w:r>
      <w:r w:rsidRPr="002B6908">
        <w:rPr>
          <w:bCs/>
          <w:i/>
          <w:iCs/>
        </w:rPr>
        <w:t xml:space="preserve">Waiver </w:t>
      </w:r>
      <w:r w:rsidRPr="002B6908">
        <w:rPr>
          <w:i/>
          <w:iCs/>
        </w:rPr>
        <w:t xml:space="preserve">Request </w:t>
      </w:r>
      <w:r w:rsidRPr="002B6908">
        <w:t xml:space="preserve">at 1, fn. 2; </w:t>
      </w:r>
      <w:r w:rsidRPr="00F54948">
        <w:rPr>
          <w:i/>
          <w:iCs/>
        </w:rPr>
        <w:t xml:space="preserve">MCDOR </w:t>
      </w:r>
      <w:r w:rsidRPr="00F54948">
        <w:rPr>
          <w:bCs/>
          <w:i/>
          <w:iCs/>
        </w:rPr>
        <w:t xml:space="preserve">Waiver </w:t>
      </w:r>
      <w:r w:rsidRPr="00F54948">
        <w:rPr>
          <w:i/>
          <w:iCs/>
        </w:rPr>
        <w:t xml:space="preserve">Request </w:t>
      </w:r>
      <w:r w:rsidRPr="00F54948">
        <w:t>at 1</w:t>
      </w:r>
      <w:r w:rsidR="00405632">
        <w:t>–</w:t>
      </w:r>
      <w:r w:rsidRPr="00F54948">
        <w:t xml:space="preserve">2; </w:t>
      </w:r>
      <w:r w:rsidRPr="00842DA1">
        <w:rPr>
          <w:i/>
          <w:iCs/>
        </w:rPr>
        <w:t xml:space="preserve">Regents UofM </w:t>
      </w:r>
      <w:r w:rsidRPr="00842DA1">
        <w:rPr>
          <w:bCs/>
          <w:i/>
          <w:iCs/>
        </w:rPr>
        <w:t xml:space="preserve">Waiver </w:t>
      </w:r>
      <w:r w:rsidRPr="00842DA1">
        <w:rPr>
          <w:i/>
          <w:iCs/>
        </w:rPr>
        <w:t xml:space="preserve">Request </w:t>
      </w:r>
      <w:r w:rsidRPr="00842DA1">
        <w:t xml:space="preserve">at 1, fn. 2; </w:t>
      </w:r>
      <w:r w:rsidR="0077159D">
        <w:t xml:space="preserve">and </w:t>
      </w:r>
      <w:r w:rsidRPr="00C21A0C">
        <w:rPr>
          <w:i/>
          <w:iCs/>
        </w:rPr>
        <w:t>P3Mobility</w:t>
      </w:r>
      <w:r w:rsidRPr="00C21A0C">
        <w:rPr>
          <w:bCs/>
          <w:i/>
          <w:iCs/>
        </w:rPr>
        <w:t xml:space="preserve"> Waiver</w:t>
      </w:r>
      <w:r w:rsidRPr="00C21A0C">
        <w:rPr>
          <w:i/>
          <w:iCs/>
        </w:rPr>
        <w:t xml:space="preserve"> Request </w:t>
      </w:r>
      <w:r w:rsidRPr="00C21A0C">
        <w:t>at 1, fn. 2</w:t>
      </w:r>
      <w:r w:rsidRPr="00FE1BC1">
        <w:t>.</w:t>
      </w:r>
    </w:p>
  </w:footnote>
  <w:footnote w:id="9">
    <w:p w:rsidR="002A2E9D" w:rsidP="002A2E9D" w14:paraId="1F8A6D92" w14:textId="1CA5AE98">
      <w:pPr>
        <w:pStyle w:val="FootnoteText"/>
      </w:pPr>
      <w:r>
        <w:rPr>
          <w:rStyle w:val="FootnoteReference"/>
        </w:rPr>
        <w:footnoteRef/>
      </w:r>
      <w:r>
        <w:t xml:space="preserve"> </w:t>
      </w:r>
      <w:r>
        <w:t>47 CFR § 95.3159 is a reserved section and does not presently contain any regulatory information.  Thus, we dismiss this aspect of each of the waiver requests where it is made as moot.</w:t>
      </w:r>
    </w:p>
  </w:footnote>
  <w:footnote w:id="10">
    <w:p w:rsidR="002A2E9D" w:rsidP="002A2E9D" w14:paraId="1C9A36A9" w14:textId="77777777">
      <w:pPr>
        <w:pStyle w:val="FootnoteText"/>
      </w:pPr>
      <w:r>
        <w:rPr>
          <w:rStyle w:val="FootnoteReference"/>
        </w:rPr>
        <w:footnoteRef/>
      </w:r>
      <w:r>
        <w:t xml:space="preserve"> </w:t>
      </w:r>
      <w:r w:rsidRPr="00027C59">
        <w:rPr>
          <w:i/>
          <w:iCs/>
        </w:rPr>
        <w:t>See</w:t>
      </w:r>
      <w:r>
        <w:t xml:space="preserve"> 47 CFR §§ 90.375, 90.377, 90.379, 95.3163, 95.3167, and 95.3189.  </w:t>
      </w:r>
    </w:p>
  </w:footnote>
  <w:footnote w:id="11">
    <w:p w:rsidR="002A2E9D" w:rsidP="002A2E9D" w14:paraId="632FA2D8" w14:textId="77777777">
      <w:pPr>
        <w:pStyle w:val="FootnoteText"/>
      </w:pPr>
      <w:r>
        <w:rPr>
          <w:rStyle w:val="FootnoteReference"/>
        </w:rPr>
        <w:footnoteRef/>
      </w:r>
      <w:r>
        <w:t xml:space="preserve"> </w:t>
      </w:r>
      <w:r>
        <w:t>47 CFR § 1.925.</w:t>
      </w:r>
    </w:p>
  </w:footnote>
  <w:footnote w:id="12">
    <w:p w:rsidR="002A2E9D" w:rsidP="002A2E9D" w14:paraId="3587342D" w14:textId="167DDF46">
      <w:pPr>
        <w:pStyle w:val="FootnoteText"/>
      </w:pPr>
      <w:r>
        <w:rPr>
          <w:rStyle w:val="FootnoteReference"/>
        </w:rPr>
        <w:footnoteRef/>
      </w:r>
      <w:r>
        <w:t xml:space="preserve"> </w:t>
      </w:r>
      <w:r w:rsidRPr="00E40F05">
        <w:rPr>
          <w:i/>
          <w:iCs/>
        </w:rPr>
        <w:t>See</w:t>
      </w:r>
      <w:r w:rsidR="0077159D">
        <w:rPr>
          <w:i/>
          <w:iCs/>
        </w:rPr>
        <w:t>, e.g.,</w:t>
      </w:r>
      <w:r w:rsidRPr="00E40F05">
        <w:t xml:space="preserve"> </w:t>
      </w:r>
      <w:r w:rsidRPr="00E40F05">
        <w:rPr>
          <w:i/>
          <w:iCs/>
        </w:rPr>
        <w:t>CDOT Waiver Request</w:t>
      </w:r>
      <w:r w:rsidRPr="00E40F05">
        <w:t xml:space="preserve"> at </w:t>
      </w:r>
      <w:r>
        <w:t>2</w:t>
      </w:r>
      <w:r w:rsidR="00405632">
        <w:t>–</w:t>
      </w:r>
      <w:r>
        <w:t>4</w:t>
      </w:r>
      <w:r w:rsidR="258177B1">
        <w:t xml:space="preserve"> </w:t>
      </w:r>
      <w:r w:rsidR="3391915E">
        <w:t>(WRAD253)</w:t>
      </w:r>
      <w:r w:rsidRPr="005D2F14" w:rsidR="3391915E">
        <w:t>;</w:t>
      </w:r>
      <w:r w:rsidRPr="005D2F14">
        <w:rPr>
          <w:i/>
          <w:iCs/>
        </w:rPr>
        <w:t xml:space="preserve"> FDOT </w:t>
      </w:r>
      <w:r w:rsidRPr="005D2F14">
        <w:rPr>
          <w:bCs/>
          <w:i/>
          <w:iCs/>
        </w:rPr>
        <w:t xml:space="preserve">Waiver </w:t>
      </w:r>
      <w:r w:rsidRPr="005D2F14">
        <w:rPr>
          <w:i/>
          <w:iCs/>
        </w:rPr>
        <w:t>Request</w:t>
      </w:r>
      <w:r w:rsidRPr="005D2F14">
        <w:t xml:space="preserve"> at 1</w:t>
      </w:r>
      <w:r>
        <w:t xml:space="preserve"> (WQBS407)</w:t>
      </w:r>
      <w:r w:rsidRPr="005D2F14">
        <w:t xml:space="preserve">; </w:t>
      </w:r>
      <w:r w:rsidRPr="00C55CC6">
        <w:rPr>
          <w:i/>
          <w:iCs/>
        </w:rPr>
        <w:t xml:space="preserve">GDOT Waiver Request </w:t>
      </w:r>
      <w:r w:rsidRPr="00C55CC6">
        <w:t>at 1</w:t>
      </w:r>
      <w:r w:rsidR="00405632">
        <w:t>–</w:t>
      </w:r>
      <w:r w:rsidRPr="00C55CC6">
        <w:t>2</w:t>
      </w:r>
      <w:r>
        <w:t xml:space="preserve"> (WRAT914)</w:t>
      </w:r>
      <w:r w:rsidRPr="00BA3676">
        <w:t xml:space="preserve">; </w:t>
      </w:r>
      <w:r w:rsidRPr="00827D0C">
        <w:rPr>
          <w:i/>
          <w:iCs/>
        </w:rPr>
        <w:t xml:space="preserve">HDOT </w:t>
      </w:r>
      <w:r w:rsidRPr="00827D0C">
        <w:rPr>
          <w:bCs/>
          <w:i/>
          <w:iCs/>
        </w:rPr>
        <w:t xml:space="preserve">Waiver </w:t>
      </w:r>
      <w:r w:rsidRPr="00827D0C">
        <w:rPr>
          <w:i/>
          <w:iCs/>
        </w:rPr>
        <w:t xml:space="preserve">Request </w:t>
      </w:r>
      <w:r w:rsidRPr="00827D0C">
        <w:t>at 2</w:t>
      </w:r>
      <w:r w:rsidR="3391915E">
        <w:t xml:space="preserve"> (WRFF452)</w:t>
      </w:r>
      <w:r w:rsidRPr="00827D0C" w:rsidR="3391915E">
        <w:t>;</w:t>
      </w:r>
      <w:r w:rsidRPr="00827D0C">
        <w:t xml:space="preserve"> </w:t>
      </w:r>
      <w:r w:rsidRPr="003B15C2" w:rsidR="001F0F15">
        <w:rPr>
          <w:i/>
        </w:rPr>
        <w:t>SHA</w:t>
      </w:r>
      <w:r w:rsidRPr="003B15C2" w:rsidR="002D6E61">
        <w:rPr>
          <w:i/>
        </w:rPr>
        <w:t xml:space="preserve"> Waiver Request</w:t>
      </w:r>
      <w:r w:rsidRPr="003B15C2" w:rsidR="002D6E61">
        <w:t xml:space="preserve"> at </w:t>
      </w:r>
      <w:r w:rsidRPr="003B15C2" w:rsidR="3391915E">
        <w:t>1 (WRKJ514)</w:t>
      </w:r>
      <w:r w:rsidR="002D6E61">
        <w:t xml:space="preserve">; </w:t>
      </w:r>
      <w:r w:rsidRPr="00026DF7">
        <w:rPr>
          <w:i/>
          <w:iCs/>
        </w:rPr>
        <w:t>M</w:t>
      </w:r>
      <w:r>
        <w:rPr>
          <w:i/>
          <w:iCs/>
        </w:rPr>
        <w:t>I</w:t>
      </w:r>
      <w:r w:rsidRPr="00026DF7">
        <w:rPr>
          <w:i/>
          <w:iCs/>
        </w:rPr>
        <w:t xml:space="preserve">DOT </w:t>
      </w:r>
      <w:r w:rsidRPr="00026DF7">
        <w:rPr>
          <w:bCs/>
          <w:i/>
          <w:iCs/>
        </w:rPr>
        <w:t xml:space="preserve">Waiver </w:t>
      </w:r>
      <w:r w:rsidRPr="00026DF7">
        <w:rPr>
          <w:i/>
          <w:iCs/>
        </w:rPr>
        <w:t xml:space="preserve">Request </w:t>
      </w:r>
      <w:r w:rsidRPr="00026DF7">
        <w:t>at 2</w:t>
      </w:r>
      <w:r w:rsidR="00405632">
        <w:t>–</w:t>
      </w:r>
      <w:r w:rsidRPr="00BA3676">
        <w:t>4</w:t>
      </w:r>
      <w:r>
        <w:t xml:space="preserve"> (WQXH871)</w:t>
      </w:r>
      <w:r w:rsidRPr="00BA3676">
        <w:t xml:space="preserve">; </w:t>
      </w:r>
      <w:r w:rsidRPr="00123D00" w:rsidR="00255088">
        <w:rPr>
          <w:i/>
          <w:iCs/>
        </w:rPr>
        <w:t xml:space="preserve">NDOT Waiver </w:t>
      </w:r>
      <w:r w:rsidR="00255088">
        <w:rPr>
          <w:i/>
          <w:iCs/>
        </w:rPr>
        <w:t>R</w:t>
      </w:r>
      <w:r w:rsidRPr="00123D00" w:rsidR="00255088">
        <w:rPr>
          <w:i/>
          <w:iCs/>
        </w:rPr>
        <w:t>equest</w:t>
      </w:r>
      <w:r w:rsidR="00255088">
        <w:t xml:space="preserve"> at </w:t>
      </w:r>
      <w:r w:rsidR="007746E3">
        <w:t>2</w:t>
      </w:r>
      <w:r w:rsidR="00255088">
        <w:t xml:space="preserve"> (W</w:t>
      </w:r>
      <w:r w:rsidR="00BD7A7C">
        <w:t>RFE774</w:t>
      </w:r>
      <w:r w:rsidR="002C261B">
        <w:t>)</w:t>
      </w:r>
      <w:r w:rsidR="00255088">
        <w:t xml:space="preserve">; </w:t>
      </w:r>
      <w:r w:rsidRPr="00BA3676">
        <w:rPr>
          <w:i/>
          <w:iCs/>
        </w:rPr>
        <w:t xml:space="preserve">NJDOT </w:t>
      </w:r>
      <w:r w:rsidRPr="00BA3676">
        <w:rPr>
          <w:bCs/>
          <w:i/>
          <w:iCs/>
        </w:rPr>
        <w:t xml:space="preserve">Waiver </w:t>
      </w:r>
      <w:r w:rsidRPr="00BA3676">
        <w:rPr>
          <w:i/>
          <w:iCs/>
        </w:rPr>
        <w:t xml:space="preserve">Request </w:t>
      </w:r>
      <w:r w:rsidRPr="00BA3676">
        <w:t>at 1</w:t>
      </w:r>
      <w:r>
        <w:t xml:space="preserve"> (WRFR820)</w:t>
      </w:r>
      <w:r w:rsidRPr="00BA3676">
        <w:t xml:space="preserve">; </w:t>
      </w:r>
      <w:r w:rsidR="00D27349">
        <w:rPr>
          <w:i/>
          <w:iCs/>
        </w:rPr>
        <w:t>DriveOhio</w:t>
      </w:r>
      <w:r w:rsidRPr="00AB27E2">
        <w:rPr>
          <w:i/>
          <w:iCs/>
        </w:rPr>
        <w:t xml:space="preserve"> </w:t>
      </w:r>
      <w:r w:rsidRPr="00AB27E2">
        <w:rPr>
          <w:bCs/>
          <w:i/>
          <w:iCs/>
        </w:rPr>
        <w:t xml:space="preserve">Waiver </w:t>
      </w:r>
      <w:r w:rsidRPr="00AB27E2">
        <w:rPr>
          <w:i/>
          <w:iCs/>
        </w:rPr>
        <w:t xml:space="preserve">Request </w:t>
      </w:r>
      <w:r w:rsidRPr="00AB27E2">
        <w:t xml:space="preserve">at </w:t>
      </w:r>
      <w:r>
        <w:t>1</w:t>
      </w:r>
      <w:r w:rsidR="3391915E">
        <w:t xml:space="preserve"> (WRAP237 and WRAT821)</w:t>
      </w:r>
      <w:r w:rsidRPr="00AB27E2" w:rsidR="3391915E">
        <w:t>;</w:t>
      </w:r>
      <w:r w:rsidRPr="00AB27E2">
        <w:t xml:space="preserve"> </w:t>
      </w:r>
      <w:r w:rsidRPr="00D03E2D" w:rsidR="00D03E2D">
        <w:rPr>
          <w:i/>
          <w:iCs/>
        </w:rPr>
        <w:t>ODOT Waiver Request</w:t>
      </w:r>
      <w:r w:rsidR="00D03E2D">
        <w:t xml:space="preserve"> at </w:t>
      </w:r>
      <w:r w:rsidR="00063559">
        <w:t>2</w:t>
      </w:r>
      <w:r w:rsidR="006A5050">
        <w:t xml:space="preserve"> </w:t>
      </w:r>
      <w:r w:rsidR="00D03E2D">
        <w:t xml:space="preserve">(WRDH882); </w:t>
      </w:r>
      <w:r w:rsidRPr="00450094">
        <w:rPr>
          <w:i/>
          <w:iCs/>
        </w:rPr>
        <w:t>T</w:t>
      </w:r>
      <w:r>
        <w:rPr>
          <w:i/>
          <w:iCs/>
        </w:rPr>
        <w:t>X</w:t>
      </w:r>
      <w:r w:rsidRPr="00450094">
        <w:rPr>
          <w:i/>
          <w:iCs/>
        </w:rPr>
        <w:t xml:space="preserve">DOT </w:t>
      </w:r>
      <w:r w:rsidRPr="00450094">
        <w:rPr>
          <w:bCs/>
          <w:i/>
          <w:iCs/>
        </w:rPr>
        <w:t xml:space="preserve">Waiver </w:t>
      </w:r>
      <w:r w:rsidRPr="00450094">
        <w:rPr>
          <w:i/>
          <w:iCs/>
        </w:rPr>
        <w:t xml:space="preserve">Request </w:t>
      </w:r>
      <w:r w:rsidRPr="00450094">
        <w:t>at 2</w:t>
      </w:r>
      <w:r w:rsidR="00405632">
        <w:t>–</w:t>
      </w:r>
      <w:r w:rsidRPr="00450094">
        <w:t>3</w:t>
      </w:r>
      <w:r w:rsidR="3391915E">
        <w:t xml:space="preserve"> (WQBT282)</w:t>
      </w:r>
      <w:r w:rsidRPr="009C346E" w:rsidR="3391915E">
        <w:t>;</w:t>
      </w:r>
      <w:r w:rsidRPr="009C346E">
        <w:t xml:space="preserve"> </w:t>
      </w:r>
      <w:r w:rsidRPr="003B15C2">
        <w:rPr>
          <w:i/>
        </w:rPr>
        <w:t>WYDOT</w:t>
      </w:r>
      <w:r w:rsidRPr="003B15C2">
        <w:t xml:space="preserve"> </w:t>
      </w:r>
      <w:r w:rsidRPr="003B15C2">
        <w:rPr>
          <w:i/>
        </w:rPr>
        <w:t xml:space="preserve">Waiver Request </w:t>
      </w:r>
      <w:r w:rsidRPr="003B15C2">
        <w:t xml:space="preserve">at </w:t>
      </w:r>
      <w:r w:rsidRPr="003B15C2" w:rsidR="3391915E">
        <w:t>1</w:t>
      </w:r>
      <w:r w:rsidR="00405632">
        <w:t>–</w:t>
      </w:r>
      <w:r w:rsidRPr="003B15C2" w:rsidR="3391915E">
        <w:t>2</w:t>
      </w:r>
      <w:r>
        <w:t xml:space="preserve"> (WQCU203)</w:t>
      </w:r>
      <w:r w:rsidRPr="009C346E">
        <w:t xml:space="preserve">; </w:t>
      </w:r>
      <w:r w:rsidRPr="009C346E">
        <w:rPr>
          <w:i/>
          <w:iCs/>
        </w:rPr>
        <w:t>CCD</w:t>
      </w:r>
      <w:r w:rsidRPr="009C346E">
        <w:t xml:space="preserve"> </w:t>
      </w:r>
      <w:r w:rsidRPr="009C346E">
        <w:rPr>
          <w:bCs/>
          <w:i/>
          <w:iCs/>
        </w:rPr>
        <w:t xml:space="preserve">Waiver </w:t>
      </w:r>
      <w:r w:rsidRPr="009C346E">
        <w:rPr>
          <w:i/>
          <w:iCs/>
        </w:rPr>
        <w:t>Supple</w:t>
      </w:r>
      <w:r w:rsidRPr="002B6908">
        <w:rPr>
          <w:i/>
          <w:iCs/>
        </w:rPr>
        <w:t xml:space="preserve">ment </w:t>
      </w:r>
      <w:r w:rsidRPr="002B6908">
        <w:t>at 1</w:t>
      </w:r>
      <w:r>
        <w:t xml:space="preserve"> (WQZJ501)</w:t>
      </w:r>
      <w:r w:rsidRPr="002B6908">
        <w:t xml:space="preserve">; </w:t>
      </w:r>
      <w:r w:rsidRPr="00F54948">
        <w:rPr>
          <w:i/>
          <w:iCs/>
        </w:rPr>
        <w:t xml:space="preserve">MCDOR </w:t>
      </w:r>
      <w:r w:rsidRPr="00F54948">
        <w:rPr>
          <w:bCs/>
          <w:i/>
          <w:iCs/>
        </w:rPr>
        <w:t xml:space="preserve">Waiver </w:t>
      </w:r>
      <w:r w:rsidRPr="00F54948">
        <w:rPr>
          <w:i/>
          <w:iCs/>
        </w:rPr>
        <w:t xml:space="preserve">Request </w:t>
      </w:r>
      <w:r w:rsidRPr="00F54948">
        <w:t>at 2</w:t>
      </w:r>
      <w:r w:rsidR="00405632">
        <w:t>–</w:t>
      </w:r>
      <w:r w:rsidRPr="00F54948">
        <w:t>3</w:t>
      </w:r>
      <w:r w:rsidRPr="00F54948" w:rsidR="3391915E">
        <w:t xml:space="preserve"> (WRFI757);</w:t>
      </w:r>
      <w:r w:rsidRPr="00F54948">
        <w:t xml:space="preserve"> </w:t>
      </w:r>
      <w:r w:rsidRPr="00842DA1">
        <w:t xml:space="preserve">and </w:t>
      </w:r>
      <w:r w:rsidRPr="00842DA1">
        <w:rPr>
          <w:i/>
          <w:iCs/>
        </w:rPr>
        <w:t xml:space="preserve">Regents UofM </w:t>
      </w:r>
      <w:r w:rsidRPr="00842DA1">
        <w:rPr>
          <w:bCs/>
          <w:i/>
          <w:iCs/>
        </w:rPr>
        <w:t xml:space="preserve">Waiver </w:t>
      </w:r>
      <w:r w:rsidRPr="00842DA1">
        <w:rPr>
          <w:i/>
          <w:iCs/>
        </w:rPr>
        <w:t xml:space="preserve">Request </w:t>
      </w:r>
      <w:r w:rsidRPr="00842DA1">
        <w:t>at 2</w:t>
      </w:r>
      <w:r w:rsidR="00405632">
        <w:t>–</w:t>
      </w:r>
      <w:r w:rsidRPr="00842DA1">
        <w:t>3</w:t>
      </w:r>
      <w:r w:rsidRPr="00842DA1" w:rsidR="3391915E">
        <w:t xml:space="preserve"> </w:t>
      </w:r>
      <w:r w:rsidRPr="00E67C52" w:rsidR="3391915E">
        <w:t>(</w:t>
      </w:r>
      <w:r w:rsidRPr="00E67C52" w:rsidR="0059239A">
        <w:t>W</w:t>
      </w:r>
      <w:r w:rsidRPr="00E67C52" w:rsidR="00B5575E">
        <w:t>RDT311</w:t>
      </w:r>
      <w:r w:rsidRPr="00E67C52" w:rsidR="3391915E">
        <w:t>)</w:t>
      </w:r>
      <w:r w:rsidRPr="00842DA1" w:rsidR="3391915E">
        <w:t>.</w:t>
      </w:r>
      <w:r w:rsidRPr="00842DA1">
        <w:t xml:space="preserve"> </w:t>
      </w:r>
      <w:r>
        <w:t xml:space="preserve"> </w:t>
      </w:r>
    </w:p>
  </w:footnote>
  <w:footnote w:id="13">
    <w:p w:rsidR="002A2E9D" w:rsidP="002A2E9D" w14:paraId="1EE977EB" w14:textId="28FBC103">
      <w:pPr>
        <w:pStyle w:val="FootnoteText"/>
      </w:pPr>
      <w:r>
        <w:rPr>
          <w:rStyle w:val="FootnoteReference"/>
        </w:rPr>
        <w:footnoteRef/>
      </w:r>
      <w:r>
        <w:t xml:space="preserve"> </w:t>
      </w:r>
      <w:r w:rsidRPr="00C21A0C">
        <w:rPr>
          <w:i/>
          <w:iCs/>
        </w:rPr>
        <w:t>See</w:t>
      </w:r>
      <w:r w:rsidRPr="00C21A0C">
        <w:t xml:space="preserve"> </w:t>
      </w:r>
      <w:r w:rsidRPr="00C21A0C">
        <w:rPr>
          <w:i/>
          <w:iCs/>
        </w:rPr>
        <w:t>P3Mobility Waiver Request</w:t>
      </w:r>
      <w:r w:rsidRPr="00C21A0C">
        <w:t xml:space="preserve"> at 1</w:t>
      </w:r>
      <w:r w:rsidR="00405632">
        <w:t>–</w:t>
      </w:r>
      <w:r w:rsidRPr="00C21A0C">
        <w:t xml:space="preserve">3; </w:t>
      </w:r>
      <w:r w:rsidRPr="00FE1BC1">
        <w:rPr>
          <w:i/>
          <w:iCs/>
        </w:rPr>
        <w:t>Connex2X Waiver Request</w:t>
      </w:r>
      <w:r w:rsidRPr="00FE1BC1">
        <w:t xml:space="preserve"> at 1</w:t>
      </w:r>
      <w:r w:rsidR="00405632">
        <w:t>–</w:t>
      </w:r>
      <w:r w:rsidRPr="00FE1BC1">
        <w:t>2.</w:t>
      </w:r>
    </w:p>
  </w:footnote>
  <w:footnote w:id="14">
    <w:p w:rsidR="006B4F30" w14:paraId="02D7EDE6" w14:textId="1F396F76">
      <w:pPr>
        <w:pStyle w:val="FootnoteText"/>
      </w:pPr>
      <w:r>
        <w:rPr>
          <w:rStyle w:val="FootnoteReference"/>
        </w:rPr>
        <w:footnoteRef/>
      </w:r>
      <w:r>
        <w:t xml:space="preserve"> </w:t>
      </w:r>
      <w:r w:rsidRPr="00095468">
        <w:rPr>
          <w:i/>
          <w:iCs/>
        </w:rPr>
        <w:t>See</w:t>
      </w:r>
      <w:r>
        <w:t xml:space="preserve"> </w:t>
      </w:r>
      <w:r w:rsidRPr="00664AB5">
        <w:t>Request for Waiver</w:t>
      </w:r>
      <w:r>
        <w:t xml:space="preserve"> of 5.9 GHz Band Rules to Permit Initial Deployments of Cellular Vehicle-to-Everything Technology, Ford Motor Company, et al., ET Docket No. 19-138, Appendix 1 at 10</w:t>
      </w:r>
      <w:r w:rsidR="00405632">
        <w:t>–</w:t>
      </w:r>
      <w:r>
        <w:t>11 (filed Dec. 13, 2021) (</w:t>
      </w:r>
      <w:r>
        <w:rPr>
          <w:i/>
          <w:iCs/>
        </w:rPr>
        <w:t xml:space="preserve">Joint </w:t>
      </w:r>
      <w:r w:rsidRPr="00952E20">
        <w:rPr>
          <w:i/>
          <w:iCs/>
        </w:rPr>
        <w:t>Waiver Request</w:t>
      </w:r>
      <w:r>
        <w:t xml:space="preserve">), </w:t>
      </w:r>
      <w:hyperlink r:id="rId1" w:history="1">
        <w:r w:rsidRPr="008B27B3">
          <w:rPr>
            <w:rStyle w:val="Hyperlink"/>
          </w:rPr>
          <w:t>https://www.fcc.gov/ecfs/file/download/DOC-5f6d7d2ef3400000-A.pdf?file_name=C-V2X%20Waiver%20Request%2012%2013%202021.pdf</w:t>
        </w:r>
      </w:hyperlink>
      <w:r>
        <w:t xml:space="preserve">; </w:t>
      </w:r>
      <w:r w:rsidRPr="00095468">
        <w:rPr>
          <w:i/>
          <w:iCs/>
        </w:rPr>
        <w:t>see also</w:t>
      </w:r>
      <w:r>
        <w:t xml:space="preserve"> Letter from the C-V2X Joint Waiver Parties to Marlene H. Dortch, Secretary, FCC, ET Docket No. 19-138, at 3 (filed Apr. 20, 2022) (</w:t>
      </w:r>
      <w:r>
        <w:rPr>
          <w:i/>
          <w:iCs/>
        </w:rPr>
        <w:t xml:space="preserve">Joint </w:t>
      </w:r>
      <w:r w:rsidRPr="004C712A">
        <w:rPr>
          <w:i/>
          <w:iCs/>
        </w:rPr>
        <w:t>Waiver Request</w:t>
      </w:r>
      <w:r>
        <w:rPr>
          <w:i/>
          <w:iCs/>
        </w:rPr>
        <w:t xml:space="preserve"> Supplement</w:t>
      </w:r>
      <w:r>
        <w:t>),</w:t>
      </w:r>
      <w:r w:rsidRPr="007C3669">
        <w:t xml:space="preserve"> </w:t>
      </w:r>
      <w:hyperlink r:id="rId2" w:history="1">
        <w:r w:rsidRPr="0036712D">
          <w:rPr>
            <w:rStyle w:val="Hyperlink"/>
          </w:rPr>
          <w:t>https://www.fcc.gov/ecfs/document/104201266008794/1</w:t>
        </w:r>
      </w:hyperlink>
      <w:r w:rsidR="004C31F9">
        <w:rPr>
          <w:rStyle w:val="Hyperlink"/>
        </w:rPr>
        <w:t>.</w:t>
      </w:r>
    </w:p>
  </w:footnote>
  <w:footnote w:id="15">
    <w:p w:rsidR="00E85E74" w14:paraId="7669F397" w14:textId="387AABF0">
      <w:pPr>
        <w:pStyle w:val="FootnoteText"/>
      </w:pPr>
      <w:r>
        <w:rPr>
          <w:rStyle w:val="FootnoteReference"/>
        </w:rPr>
        <w:footnoteRef/>
      </w:r>
      <w:r>
        <w:t xml:space="preserve"> </w:t>
      </w:r>
      <w:r w:rsidRPr="002A0940" w:rsidR="00E724D4">
        <w:rPr>
          <w:i/>
          <w:iCs/>
        </w:rPr>
        <w:t>Joint Waiver Request</w:t>
      </w:r>
      <w:r w:rsidRPr="00E724D4" w:rsidR="00E724D4">
        <w:t xml:space="preserve"> Appendix 1 at 10</w:t>
      </w:r>
      <w:r w:rsidR="00405632">
        <w:t>–</w:t>
      </w:r>
      <w:r w:rsidRPr="00E724D4" w:rsidR="00E724D4">
        <w:t xml:space="preserve">11; </w:t>
      </w:r>
      <w:r w:rsidRPr="0028190B" w:rsidR="00E724D4">
        <w:rPr>
          <w:i/>
          <w:iCs/>
        </w:rPr>
        <w:t>Joint Waiver Request Supplement</w:t>
      </w:r>
      <w:r w:rsidRPr="00E724D4" w:rsidR="00E724D4">
        <w:t xml:space="preserve"> at 3</w:t>
      </w:r>
      <w:r w:rsidR="00E724D4">
        <w:t>.</w:t>
      </w:r>
    </w:p>
  </w:footnote>
  <w:footnote w:id="16">
    <w:p w:rsidR="002A2E9D" w:rsidP="002A2E9D" w14:paraId="7DAA367A" w14:textId="35C9EBF6">
      <w:pPr>
        <w:pStyle w:val="FootnoteText"/>
      </w:pPr>
      <w:r>
        <w:rPr>
          <w:rStyle w:val="FootnoteReference"/>
        </w:rPr>
        <w:footnoteRef/>
      </w:r>
      <w:r>
        <w:t xml:space="preserve"> </w:t>
      </w:r>
      <w:r w:rsidRPr="0069645C" w:rsidR="006B4F30">
        <w:rPr>
          <w:i/>
          <w:iCs/>
        </w:rPr>
        <w:t>See Request for Waiver of 5.9 GHz Band to Permit Initial Deployment of Cellular Vehicle-to-Everything Technology</w:t>
      </w:r>
      <w:r w:rsidRPr="0069645C" w:rsidR="006B4F30">
        <w:t>, Order, ET Docket No. 19-138, DA 23-343 (rel. Apr. 24, 2023) (Joint Waiver Order).</w:t>
      </w:r>
      <w:r w:rsidR="006B4F30">
        <w:t xml:space="preserve">  </w:t>
      </w:r>
      <w:r>
        <w:t>The Bureaus waived sections 90.375, 90.377, 90.379, 95.3163, 95.3167, and 95.3189 of the Commission’s rules, 47 CFR §§ 90.375, 90.377, 90.379, 95.3163, 95.3167, and 95.3189.</w:t>
      </w:r>
      <w:r>
        <w:rPr>
          <w:i/>
          <w:iCs/>
        </w:rPr>
        <w:t xml:space="preserve">  </w:t>
      </w:r>
      <w:r w:rsidRPr="0084630B">
        <w:rPr>
          <w:i/>
          <w:iCs/>
        </w:rPr>
        <w:t>See</w:t>
      </w:r>
      <w:r>
        <w:t xml:space="preserve"> Joint Waiver Order at 10</w:t>
      </w:r>
      <w:r w:rsidR="00405632">
        <w:t>–</w:t>
      </w:r>
      <w:r>
        <w:t xml:space="preserve">11.  </w:t>
      </w:r>
    </w:p>
  </w:footnote>
  <w:footnote w:id="17">
    <w:p w:rsidR="002A2E9D" w:rsidP="002A2E9D" w14:paraId="39544CFB" w14:textId="7E965519">
      <w:pPr>
        <w:pStyle w:val="FootnoteText"/>
      </w:pPr>
      <w:r>
        <w:rPr>
          <w:rStyle w:val="FootnoteReference"/>
        </w:rPr>
        <w:footnoteRef/>
      </w:r>
      <w:r>
        <w:t xml:space="preserve"> </w:t>
      </w:r>
      <w:r>
        <w:t>Joint Waiver Order at 10</w:t>
      </w:r>
      <w:r w:rsidR="00405632">
        <w:t>–</w:t>
      </w:r>
      <w:r>
        <w:t>11.</w:t>
      </w:r>
    </w:p>
  </w:footnote>
  <w:footnote w:id="18">
    <w:p w:rsidR="002A2E9D" w:rsidP="002A2E9D" w14:paraId="721A0DDA" w14:textId="77777777">
      <w:pPr>
        <w:pStyle w:val="FootnoteText"/>
      </w:pPr>
      <w:r>
        <w:rPr>
          <w:rStyle w:val="FootnoteReference"/>
        </w:rPr>
        <w:footnoteRef/>
      </w:r>
      <w:r>
        <w:t xml:space="preserve"> </w:t>
      </w:r>
      <w:r w:rsidRPr="0069645C">
        <w:rPr>
          <w:i/>
          <w:iCs/>
        </w:rPr>
        <w:t>See Request</w:t>
      </w:r>
      <w:r>
        <w:rPr>
          <w:i/>
          <w:iCs/>
        </w:rPr>
        <w:t xml:space="preserve"> to Modify April 24, 2023 Waiver Order</w:t>
      </w:r>
      <w:r w:rsidRPr="0069645C">
        <w:rPr>
          <w:i/>
          <w:iCs/>
        </w:rPr>
        <w:t xml:space="preserve"> of 5.9 GHz Band </w:t>
      </w:r>
      <w:r>
        <w:rPr>
          <w:i/>
          <w:iCs/>
        </w:rPr>
        <w:t xml:space="preserve">Rules </w:t>
      </w:r>
      <w:r w:rsidRPr="0069645C">
        <w:rPr>
          <w:i/>
          <w:iCs/>
        </w:rPr>
        <w:t>to Permit Initial Deployment of Cellular Vehicle-to-Everything Technology</w:t>
      </w:r>
      <w:r w:rsidRPr="0069645C">
        <w:t>, Order, ET Docket No. 19-138, DA 23-</w:t>
      </w:r>
      <w:r>
        <w:t>586</w:t>
      </w:r>
      <w:r w:rsidRPr="0069645C">
        <w:t xml:space="preserve"> (rel. </w:t>
      </w:r>
      <w:r>
        <w:t>Jul</w:t>
      </w:r>
      <w:r w:rsidRPr="0069645C">
        <w:t>.</w:t>
      </w:r>
      <w:r>
        <w:t xml:space="preserve"> 5</w:t>
      </w:r>
      <w:r w:rsidRPr="0069645C">
        <w:t xml:space="preserve">, 2023) (“Waiver </w:t>
      </w:r>
      <w:r>
        <w:t xml:space="preserve">Modification </w:t>
      </w:r>
      <w:r w:rsidRPr="0069645C">
        <w:t>Order”)</w:t>
      </w:r>
      <w:r>
        <w:t xml:space="preserve"> (removing the 20 dBm Transmitter Output Power Limit for OBUs from the technical requirements placed on the waiver grant)</w:t>
      </w:r>
      <w:r w:rsidRPr="0069645C">
        <w:t>.</w:t>
      </w:r>
    </w:p>
  </w:footnote>
  <w:footnote w:id="19">
    <w:p w:rsidR="002A2E9D" w:rsidP="002A2E9D" w14:paraId="6C9247C6" w14:textId="3E91148F">
      <w:pPr>
        <w:pStyle w:val="FootnoteText"/>
      </w:pPr>
      <w:r>
        <w:rPr>
          <w:rStyle w:val="FootnoteReference"/>
        </w:rPr>
        <w:footnoteRef/>
      </w:r>
      <w:r>
        <w:t xml:space="preserve"> </w:t>
      </w:r>
      <w:r w:rsidRPr="00E40F05">
        <w:rPr>
          <w:i/>
          <w:iCs/>
        </w:rPr>
        <w:t>See</w:t>
      </w:r>
      <w:r w:rsidRPr="00E40F05">
        <w:t xml:space="preserve"> </w:t>
      </w:r>
      <w:r w:rsidRPr="00E40F05">
        <w:rPr>
          <w:i/>
          <w:iCs/>
        </w:rPr>
        <w:t>CDOT Waiver Supplement</w:t>
      </w:r>
      <w:r w:rsidRPr="00E40F05">
        <w:t xml:space="preserve"> at 2</w:t>
      </w:r>
      <w:r w:rsidRPr="009C346E">
        <w:t xml:space="preserve">; </w:t>
      </w:r>
      <w:r w:rsidRPr="00EF0A41">
        <w:rPr>
          <w:i/>
          <w:iCs/>
        </w:rPr>
        <w:t>FDOT Waiver Supplement</w:t>
      </w:r>
      <w:r w:rsidRPr="00EF0A41">
        <w:t xml:space="preserve"> at 1</w:t>
      </w:r>
      <w:r w:rsidRPr="009C346E">
        <w:t xml:space="preserve">; </w:t>
      </w:r>
      <w:r w:rsidRPr="009C346E">
        <w:rPr>
          <w:i/>
          <w:iCs/>
        </w:rPr>
        <w:t>GDOT Waiver Supplement</w:t>
      </w:r>
      <w:r w:rsidRPr="009C346E">
        <w:t xml:space="preserve"> at 2; </w:t>
      </w:r>
      <w:r w:rsidRPr="009C346E">
        <w:rPr>
          <w:i/>
          <w:iCs/>
        </w:rPr>
        <w:t>HDOT Waiver Supplement</w:t>
      </w:r>
      <w:r w:rsidRPr="009C346E">
        <w:t xml:space="preserve"> at 1; </w:t>
      </w:r>
      <w:r w:rsidRPr="003B15C2" w:rsidR="001F0F15">
        <w:rPr>
          <w:i/>
        </w:rPr>
        <w:t>SHA</w:t>
      </w:r>
      <w:r w:rsidRPr="003B15C2" w:rsidR="004A02A1">
        <w:rPr>
          <w:i/>
        </w:rPr>
        <w:t xml:space="preserve"> Waiver Supplement</w:t>
      </w:r>
      <w:r w:rsidRPr="003B15C2" w:rsidR="004A02A1">
        <w:t xml:space="preserve"> at </w:t>
      </w:r>
      <w:r w:rsidRPr="003B15C2" w:rsidR="7BFEBE20">
        <w:t>2</w:t>
      </w:r>
      <w:r w:rsidR="004A02A1">
        <w:t xml:space="preserve">; </w:t>
      </w:r>
      <w:r w:rsidRPr="00026DF7">
        <w:rPr>
          <w:i/>
          <w:iCs/>
        </w:rPr>
        <w:t>M</w:t>
      </w:r>
      <w:r>
        <w:rPr>
          <w:i/>
          <w:iCs/>
        </w:rPr>
        <w:t>I</w:t>
      </w:r>
      <w:r w:rsidRPr="00026DF7">
        <w:rPr>
          <w:i/>
          <w:iCs/>
        </w:rPr>
        <w:t>DOT Waiver Supplement</w:t>
      </w:r>
      <w:r w:rsidRPr="00026DF7">
        <w:t xml:space="preserve"> at 1</w:t>
      </w:r>
      <w:r w:rsidRPr="00BA3676">
        <w:t xml:space="preserve">; </w:t>
      </w:r>
      <w:r w:rsidRPr="00123D00" w:rsidR="000D5625">
        <w:rPr>
          <w:i/>
          <w:iCs/>
        </w:rPr>
        <w:t xml:space="preserve">NDOT Waiver </w:t>
      </w:r>
      <w:r w:rsidR="000D5625">
        <w:rPr>
          <w:i/>
          <w:iCs/>
        </w:rPr>
        <w:t xml:space="preserve">Supplement </w:t>
      </w:r>
      <w:r w:rsidR="000D5625">
        <w:t xml:space="preserve"> at 1; </w:t>
      </w:r>
      <w:r w:rsidRPr="00BA3676">
        <w:rPr>
          <w:i/>
          <w:iCs/>
        </w:rPr>
        <w:t>NJDOT Waiver Supplement</w:t>
      </w:r>
      <w:r w:rsidRPr="00BA3676">
        <w:t xml:space="preserve"> at 1</w:t>
      </w:r>
      <w:r w:rsidR="00405632">
        <w:t>–</w:t>
      </w:r>
      <w:r w:rsidRPr="00BA3676">
        <w:t xml:space="preserve">2; </w:t>
      </w:r>
      <w:r w:rsidRPr="00BA3676">
        <w:rPr>
          <w:i/>
          <w:iCs/>
        </w:rPr>
        <w:t>DriveOhio</w:t>
      </w:r>
      <w:r w:rsidRPr="00BA3676">
        <w:rPr>
          <w:i/>
          <w:iCs/>
        </w:rPr>
        <w:t xml:space="preserve"> Waiver Supplement</w:t>
      </w:r>
      <w:r w:rsidRPr="00BA3676">
        <w:t xml:space="preserve"> at 1; </w:t>
      </w:r>
      <w:r w:rsidRPr="00AB27E2">
        <w:rPr>
          <w:i/>
          <w:iCs/>
        </w:rPr>
        <w:t>ODOT Waiver Supplement</w:t>
      </w:r>
      <w:r w:rsidRPr="00AB27E2">
        <w:t xml:space="preserve"> at 1; </w:t>
      </w:r>
      <w:r w:rsidRPr="00450094">
        <w:rPr>
          <w:i/>
          <w:iCs/>
        </w:rPr>
        <w:t>T</w:t>
      </w:r>
      <w:r>
        <w:rPr>
          <w:i/>
          <w:iCs/>
        </w:rPr>
        <w:t>X</w:t>
      </w:r>
      <w:r w:rsidRPr="00450094">
        <w:rPr>
          <w:i/>
          <w:iCs/>
        </w:rPr>
        <w:t>DOT Waiver Supplement</w:t>
      </w:r>
      <w:r w:rsidRPr="00450094">
        <w:t xml:space="preserve"> at 1</w:t>
      </w:r>
      <w:r w:rsidRPr="005D2F14">
        <w:t xml:space="preserve">; </w:t>
      </w:r>
      <w:r w:rsidRPr="005D2F14">
        <w:rPr>
          <w:i/>
          <w:iCs/>
        </w:rPr>
        <w:t>WYDOT</w:t>
      </w:r>
      <w:r w:rsidRPr="005D2F14">
        <w:t xml:space="preserve"> </w:t>
      </w:r>
      <w:r w:rsidRPr="005D2F14">
        <w:rPr>
          <w:i/>
          <w:iCs/>
        </w:rPr>
        <w:t>Waiver Supplement</w:t>
      </w:r>
      <w:r w:rsidRPr="005D2F14">
        <w:t xml:space="preserve"> at 2</w:t>
      </w:r>
      <w:r w:rsidRPr="007A17E4">
        <w:t xml:space="preserve">; </w:t>
      </w:r>
      <w:r w:rsidRPr="009C346E">
        <w:rPr>
          <w:i/>
          <w:iCs/>
        </w:rPr>
        <w:t>CCD</w:t>
      </w:r>
      <w:r w:rsidRPr="009C346E">
        <w:t xml:space="preserve"> </w:t>
      </w:r>
      <w:r w:rsidRPr="009C346E">
        <w:rPr>
          <w:i/>
          <w:iCs/>
        </w:rPr>
        <w:t>Waiver Supplement</w:t>
      </w:r>
      <w:r w:rsidRPr="009C346E">
        <w:t xml:space="preserve"> at 2; </w:t>
      </w:r>
      <w:r w:rsidRPr="00F54948">
        <w:rPr>
          <w:i/>
          <w:iCs/>
        </w:rPr>
        <w:t>MCDOR Waiver Request</w:t>
      </w:r>
      <w:r w:rsidRPr="00F54948">
        <w:t xml:space="preserve"> at 1</w:t>
      </w:r>
      <w:r w:rsidR="00405632">
        <w:t>–</w:t>
      </w:r>
      <w:r w:rsidRPr="00F54948">
        <w:t xml:space="preserve">2; </w:t>
      </w:r>
      <w:r w:rsidRPr="00842DA1">
        <w:rPr>
          <w:i/>
          <w:iCs/>
        </w:rPr>
        <w:t>Regents UofM Waiver Supplement</w:t>
      </w:r>
      <w:r w:rsidRPr="00842DA1">
        <w:t xml:space="preserve"> at 1; </w:t>
      </w:r>
      <w:r w:rsidRPr="00C21A0C">
        <w:rPr>
          <w:i/>
          <w:iCs/>
        </w:rPr>
        <w:t>P3Mobility Waiver Supplement</w:t>
      </w:r>
      <w:r w:rsidRPr="00C21A0C">
        <w:t xml:space="preserve"> at 1; and </w:t>
      </w:r>
      <w:r w:rsidRPr="00C21A0C">
        <w:rPr>
          <w:i/>
          <w:iCs/>
        </w:rPr>
        <w:t>Connex2X Waiver Supplement</w:t>
      </w:r>
      <w:r w:rsidRPr="00C21A0C">
        <w:t xml:space="preserve"> at 1.</w:t>
      </w:r>
    </w:p>
  </w:footnote>
  <w:footnote w:id="20">
    <w:p w:rsidR="002A2E9D" w:rsidP="002A2E9D" w14:paraId="42D86034" w14:textId="3265D21F">
      <w:pPr>
        <w:pStyle w:val="FootnoteText"/>
      </w:pPr>
      <w:r>
        <w:rPr>
          <w:rStyle w:val="FootnoteReference"/>
        </w:rPr>
        <w:footnoteRef/>
      </w:r>
      <w:r>
        <w:t xml:space="preserve"> </w:t>
      </w:r>
      <w:r w:rsidRPr="00E40B35">
        <w:rPr>
          <w:i/>
          <w:iCs/>
        </w:rPr>
        <w:t>See</w:t>
      </w:r>
      <w:r w:rsidRPr="00DC4414">
        <w:t xml:space="preserve"> Joint Waiver Order, paras. 17</w:t>
      </w:r>
      <w:r w:rsidR="00405632">
        <w:t>–</w:t>
      </w:r>
      <w:r w:rsidRPr="00DC4414">
        <w:t>26.</w:t>
      </w:r>
    </w:p>
  </w:footnote>
  <w:footnote w:id="21">
    <w:p w:rsidR="002A2E9D" w:rsidP="002A2E9D" w14:paraId="01EF8CAD" w14:textId="77777777">
      <w:pPr>
        <w:pStyle w:val="FootnoteText"/>
      </w:pPr>
      <w:r>
        <w:rPr>
          <w:rStyle w:val="FootnoteReference"/>
        </w:rPr>
        <w:footnoteRef/>
      </w:r>
      <w:r>
        <w:t xml:space="preserve"> </w:t>
      </w:r>
      <w:r w:rsidRPr="00E40B35">
        <w:rPr>
          <w:i/>
          <w:iCs/>
        </w:rPr>
        <w:t>See</w:t>
      </w:r>
      <w:r>
        <w:t xml:space="preserve"> Waiver Modification Order at 4.</w:t>
      </w:r>
    </w:p>
  </w:footnote>
  <w:footnote w:id="22">
    <w:p w:rsidR="002A2E9D" w:rsidP="002A2E9D" w14:paraId="5DF47DE5" w14:textId="7139CA8B">
      <w:pPr>
        <w:pStyle w:val="FootnoteText"/>
      </w:pPr>
      <w:r>
        <w:rPr>
          <w:rStyle w:val="FootnoteReference"/>
        </w:rPr>
        <w:footnoteRef/>
      </w:r>
      <w:r>
        <w:t xml:space="preserve"> </w:t>
      </w:r>
      <w:r>
        <w:t>47 CFR § 1.925(b)(3)(</w:t>
      </w:r>
      <w:r>
        <w:t>i</w:t>
      </w:r>
      <w:r>
        <w:t>)</w:t>
      </w:r>
      <w:r w:rsidR="00405632">
        <w:t>–</w:t>
      </w:r>
      <w:r>
        <w:t xml:space="preserve">(ii).  </w:t>
      </w:r>
    </w:p>
  </w:footnote>
  <w:footnote w:id="23">
    <w:p w:rsidR="002A2E9D" w:rsidP="002A2E9D" w14:paraId="078EAB1D" w14:textId="77777777">
      <w:pPr>
        <w:pStyle w:val="FootnoteText"/>
      </w:pPr>
      <w:r>
        <w:rPr>
          <w:rStyle w:val="FootnoteReference"/>
        </w:rPr>
        <w:footnoteRef/>
      </w:r>
      <w:r>
        <w:t xml:space="preserve"> </w:t>
      </w:r>
      <w:r>
        <w:t xml:space="preserve">47 CFR § 1.3 (“Any provision of the rules may be waived by the Commission on its own motion or on petition if good cause therefor is shown.”); </w:t>
      </w:r>
      <w:r>
        <w:rPr>
          <w:i/>
        </w:rPr>
        <w:t xml:space="preserve">see also </w:t>
      </w:r>
      <w:r w:rsidRPr="00C0416D">
        <w:rPr>
          <w:i/>
        </w:rPr>
        <w:t>Northeast Cellular Telephone Co. v. FCC</w:t>
      </w:r>
      <w:r>
        <w:t>, 897 F.2d 1164, 1166 (D.C. Cir. 1990).</w:t>
      </w:r>
    </w:p>
  </w:footnote>
  <w:footnote w:id="24">
    <w:p w:rsidR="002A2E9D" w:rsidP="002A2E9D" w14:paraId="074737C1" w14:textId="3FD90077">
      <w:pPr>
        <w:pStyle w:val="FootnoteText"/>
      </w:pPr>
      <w:r w:rsidRPr="00792110">
        <w:rPr>
          <w:rStyle w:val="FootnoteReference"/>
        </w:rPr>
        <w:footnoteRef/>
      </w:r>
      <w:r w:rsidRPr="00792110">
        <w:t xml:space="preserve"> </w:t>
      </w:r>
      <w:r w:rsidRPr="00792110">
        <w:rPr>
          <w:i/>
          <w:iCs/>
        </w:rPr>
        <w:t>See</w:t>
      </w:r>
      <w:r w:rsidRPr="00792110">
        <w:t xml:space="preserve"> Joint Waiver Order, paras. 7</w:t>
      </w:r>
      <w:r w:rsidR="00405632">
        <w:t>–</w:t>
      </w:r>
      <w:r w:rsidRPr="00792110">
        <w:t>14.</w:t>
      </w:r>
    </w:p>
  </w:footnote>
  <w:footnote w:id="25">
    <w:p w:rsidR="002A2E9D" w:rsidP="002A2E9D" w14:paraId="52328DC7" w14:textId="77777777">
      <w:pPr>
        <w:pStyle w:val="FootnoteText"/>
      </w:pPr>
      <w:r>
        <w:rPr>
          <w:rStyle w:val="FootnoteReference"/>
        </w:rPr>
        <w:footnoteRef/>
      </w:r>
      <w:r>
        <w:t xml:space="preserve"> </w:t>
      </w:r>
      <w:r>
        <w:t>47 CFR § 1.925(b)(3)(i).</w:t>
      </w:r>
    </w:p>
  </w:footnote>
  <w:footnote w:id="26">
    <w:p w:rsidR="002A2E9D" w:rsidP="002A2E9D" w14:paraId="7875DAA4" w14:textId="59483A71">
      <w:pPr>
        <w:pStyle w:val="FootnoteText"/>
      </w:pPr>
      <w:r>
        <w:rPr>
          <w:rStyle w:val="FootnoteReference"/>
        </w:rPr>
        <w:footnoteRef/>
      </w:r>
      <w:r>
        <w:t xml:space="preserve"> </w:t>
      </w:r>
      <w:r w:rsidRPr="004F4139">
        <w:rPr>
          <w:i/>
        </w:rPr>
        <w:t>Use of the 5.850</w:t>
      </w:r>
      <w:r w:rsidR="00405632">
        <w:rPr>
          <w:i/>
        </w:rPr>
        <w:t>–</w:t>
      </w:r>
      <w:r w:rsidRPr="004F4139">
        <w:rPr>
          <w:i/>
        </w:rPr>
        <w:t>5.925 GHz Band</w:t>
      </w:r>
      <w:r w:rsidRPr="004F4139">
        <w:t xml:space="preserve">, ET Docket No. 19-138, First Report and Order, Further Notice of Proposed Rulemaking, and Order of Proposed Modification, 35 FCC </w:t>
      </w:r>
      <w:r w:rsidRPr="004F4139">
        <w:t>Rcd</w:t>
      </w:r>
      <w:r w:rsidRPr="004F4139">
        <w:t xml:space="preserve"> 13440 (2020)</w:t>
      </w:r>
      <w:r>
        <w:t xml:space="preserve">, </w:t>
      </w:r>
      <w:r>
        <w:rPr>
          <w:i/>
          <w:iCs/>
        </w:rPr>
        <w:t xml:space="preserve">petitions for review denied sub nom. Intelligent Transp. Soc’y of America v. FCC, </w:t>
      </w:r>
      <w:r>
        <w:t>45 F.4</w:t>
      </w:r>
      <w:r w:rsidRPr="00456AD1">
        <w:rPr>
          <w:vertAlign w:val="superscript"/>
        </w:rPr>
        <w:t>th</w:t>
      </w:r>
      <w:r>
        <w:t xml:space="preserve"> 406 (D.C. Cir. 2022) (</w:t>
      </w:r>
      <w:r w:rsidRPr="00953404">
        <w:rPr>
          <w:i/>
          <w:iCs/>
        </w:rPr>
        <w:t xml:space="preserve">5.9 GHz </w:t>
      </w:r>
      <w:r>
        <w:rPr>
          <w:i/>
          <w:iCs/>
        </w:rPr>
        <w:t>First R&amp;O</w:t>
      </w:r>
      <w:r>
        <w:t>).</w:t>
      </w:r>
    </w:p>
  </w:footnote>
  <w:footnote w:id="27">
    <w:p w:rsidR="002A2E9D" w:rsidP="002A2E9D" w14:paraId="5C51AD21" w14:textId="77777777">
      <w:pPr>
        <w:pStyle w:val="FootnoteText"/>
      </w:pPr>
      <w:r>
        <w:rPr>
          <w:rStyle w:val="FootnoteReference"/>
        </w:rPr>
        <w:footnoteRef/>
      </w:r>
      <w:r>
        <w:t xml:space="preserve"> </w:t>
      </w:r>
      <w:r>
        <w:t>Joint Waiver Order at 5.</w:t>
      </w:r>
    </w:p>
  </w:footnote>
  <w:footnote w:id="28">
    <w:p w:rsidR="002A2E9D" w:rsidP="002A2E9D" w14:paraId="446BA607" w14:textId="77777777">
      <w:pPr>
        <w:pStyle w:val="FootnoteText"/>
      </w:pPr>
      <w:r>
        <w:rPr>
          <w:rStyle w:val="FootnoteReference"/>
        </w:rPr>
        <w:footnoteRef/>
      </w:r>
      <w:r>
        <w:t xml:space="preserve"> </w:t>
      </w:r>
      <w:r w:rsidRPr="004D3CF4">
        <w:rPr>
          <w:i/>
          <w:iCs/>
        </w:rPr>
        <w:t>See id</w:t>
      </w:r>
      <w:r>
        <w:t xml:space="preserve">.; </w:t>
      </w:r>
      <w:r w:rsidRPr="004D3CF4">
        <w:rPr>
          <w:i/>
          <w:iCs/>
        </w:rPr>
        <w:t>see also</w:t>
      </w:r>
      <w:r>
        <w:t xml:space="preserve"> </w:t>
      </w:r>
      <w:r w:rsidRPr="00953404">
        <w:rPr>
          <w:i/>
          <w:iCs/>
        </w:rPr>
        <w:t xml:space="preserve">5.9 GHz </w:t>
      </w:r>
      <w:r>
        <w:rPr>
          <w:i/>
          <w:iCs/>
        </w:rPr>
        <w:t>First R&amp;O</w:t>
      </w:r>
      <w:r>
        <w:t xml:space="preserve"> at 13480 para. 99.  </w:t>
      </w:r>
    </w:p>
  </w:footnote>
  <w:footnote w:id="29">
    <w:p w:rsidR="007E53E5" w14:paraId="68A5BCFC" w14:textId="1B502115">
      <w:pPr>
        <w:pStyle w:val="FootnoteText"/>
      </w:pPr>
      <w:r>
        <w:rPr>
          <w:rStyle w:val="FootnoteReference"/>
        </w:rPr>
        <w:footnoteRef/>
      </w:r>
      <w:r>
        <w:t xml:space="preserve"> </w:t>
      </w:r>
      <w:r>
        <w:t xml:space="preserve">We note that each of the Waiver Applicants either expressly requested a waiver of the Part 90 and Part 95 rules governing ITS operations in the 5.9 GHz band or referenced the rule waivers issued to the </w:t>
      </w:r>
      <w:r w:rsidRPr="00E67C52">
        <w:t>C-V2X Joint Waiver Parties</w:t>
      </w:r>
      <w:r>
        <w:t xml:space="preserve"> in the Joint Waiver Order.  Accordingly, for the Waiver Applicants that requested a waiver of the ITS rules generally, or </w:t>
      </w:r>
      <w:r w:rsidR="00F14402">
        <w:t>that</w:t>
      </w:r>
      <w:r>
        <w:t xml:space="preserve"> referenced the rules waived in the Joint Waiver Order, we recognize, pursuant to our own authority under Section 1.3 of the Commission’s Rules, that these Waiver Applicants have requested a waiver of the same rule sections identified in the Joint Waiver Order</w:t>
      </w:r>
      <w:r w:rsidR="00944CAF">
        <w:t>, as amended,</w:t>
      </w:r>
      <w:r>
        <w:t xml:space="preserve"> and grant each such Waiver Applicant a waiver, to the extent necessary, of the rules waived by the Joint Waiver Order</w:t>
      </w:r>
      <w:r w:rsidR="00944CAF">
        <w:t>, as amended</w:t>
      </w:r>
      <w:r>
        <w:t xml:space="preserve">.  </w:t>
      </w:r>
      <w:r w:rsidRPr="00581F24">
        <w:rPr>
          <w:i/>
          <w:iCs/>
        </w:rPr>
        <w:t>See</w:t>
      </w:r>
      <w:r>
        <w:t xml:space="preserve"> 47 CFR § 1.3.</w:t>
      </w:r>
    </w:p>
  </w:footnote>
  <w:footnote w:id="30">
    <w:p w:rsidR="00775AAC" w14:paraId="77281E0C" w14:textId="1717F8E3">
      <w:pPr>
        <w:pStyle w:val="FootnoteText"/>
      </w:pPr>
      <w:r>
        <w:rPr>
          <w:rStyle w:val="FootnoteReference"/>
        </w:rPr>
        <w:footnoteRef/>
      </w:r>
      <w:r>
        <w:t xml:space="preserve"> </w:t>
      </w:r>
      <w:r w:rsidRPr="006F4858">
        <w:rPr>
          <w:i/>
          <w:iCs/>
        </w:rPr>
        <w:t>See</w:t>
      </w:r>
      <w:r>
        <w:t xml:space="preserve"> Joint Waiver Order, paras. 17</w:t>
      </w:r>
      <w:r w:rsidR="00405632">
        <w:t>–</w:t>
      </w:r>
      <w:r>
        <w:t>26.</w:t>
      </w:r>
    </w:p>
  </w:footnote>
  <w:footnote w:id="31">
    <w:p w:rsidR="00645590" w14:paraId="190C83B6" w14:textId="1E6CC95A">
      <w:pPr>
        <w:pStyle w:val="FootnoteText"/>
      </w:pPr>
      <w:r>
        <w:rPr>
          <w:rStyle w:val="FootnoteReference"/>
        </w:rPr>
        <w:footnoteRef/>
      </w:r>
      <w:r>
        <w:t xml:space="preserve"> </w:t>
      </w:r>
      <w:r w:rsidRPr="006F4858">
        <w:rPr>
          <w:i/>
          <w:iCs/>
        </w:rPr>
        <w:t>See</w:t>
      </w:r>
      <w:r>
        <w:t xml:space="preserve"> Waiver Modification Order</w:t>
      </w:r>
      <w:r w:rsidR="00AD248E">
        <w:t xml:space="preserve"> at 4.</w:t>
      </w:r>
    </w:p>
  </w:footnote>
  <w:footnote w:id="32">
    <w:p w:rsidR="00A46B3A" w:rsidP="00A46B3A" w14:paraId="0FFD4C5C" w14:textId="77777777">
      <w:pPr>
        <w:pStyle w:val="FootnoteText"/>
      </w:pPr>
      <w:r>
        <w:rPr>
          <w:rStyle w:val="FootnoteReference"/>
        </w:rPr>
        <w:footnoteRef/>
      </w:r>
      <w:r>
        <w:t xml:space="preserve"> </w:t>
      </w:r>
      <w:r>
        <w:rPr>
          <w:i/>
          <w:iCs/>
        </w:rPr>
        <w:t>See generally</w:t>
      </w:r>
      <w:r>
        <w:t xml:space="preserve"> 47 CFR §§ 2.901 </w:t>
      </w:r>
      <w:r>
        <w:rPr>
          <w:i/>
          <w:iCs/>
        </w:rPr>
        <w:t xml:space="preserve">et seq. </w:t>
      </w:r>
      <w:r>
        <w:t>(subpart J – Equipment Authorization Procedures)</w:t>
      </w:r>
      <w:r w:rsidRPr="00F01C2B">
        <w:t xml:space="preserve"> </w:t>
      </w:r>
      <w:r>
        <w:t>and 47 CFR § 2.905 (</w:t>
      </w:r>
      <w:r w:rsidRPr="00580DB2">
        <w:t>Marketing of radio frequency devices prior to equipment authorization</w:t>
      </w:r>
      <w:r>
        <w:t>).</w:t>
      </w:r>
    </w:p>
  </w:footnote>
  <w:footnote w:id="33">
    <w:p w:rsidR="000257AF" w:rsidP="000257AF" w14:paraId="0806BB37" w14:textId="4A36B471">
      <w:pPr>
        <w:pStyle w:val="FootnoteText"/>
      </w:pPr>
      <w:r>
        <w:rPr>
          <w:rStyle w:val="FootnoteReference"/>
        </w:rPr>
        <w:footnoteRef/>
      </w:r>
      <w:r>
        <w:t xml:space="preserve"> </w:t>
      </w:r>
      <w:r w:rsidRPr="006F4858">
        <w:rPr>
          <w:i/>
          <w:iCs/>
        </w:rPr>
        <w:t>See</w:t>
      </w:r>
      <w:r>
        <w:t xml:space="preserve"> Joint Waiver Order, paras. 17</w:t>
      </w:r>
      <w:r w:rsidR="00405632">
        <w:t>–</w:t>
      </w:r>
      <w:r>
        <w:t>26.</w:t>
      </w:r>
    </w:p>
  </w:footnote>
  <w:footnote w:id="34">
    <w:p w:rsidR="000257AF" w:rsidP="000257AF" w14:paraId="0548D093" w14:textId="77777777">
      <w:pPr>
        <w:pStyle w:val="FootnoteText"/>
      </w:pPr>
      <w:r>
        <w:rPr>
          <w:rStyle w:val="FootnoteReference"/>
        </w:rPr>
        <w:footnoteRef/>
      </w:r>
      <w:r>
        <w:t xml:space="preserve"> </w:t>
      </w:r>
      <w:r w:rsidRPr="006F4858">
        <w:rPr>
          <w:i/>
          <w:iCs/>
        </w:rPr>
        <w:t>See</w:t>
      </w:r>
      <w:r>
        <w:t xml:space="preserve"> Waiver Modification Order at 4.</w:t>
      </w:r>
    </w:p>
  </w:footnote>
  <w:footnote w:id="35">
    <w:p w:rsidR="00A11A27" w:rsidP="00A11A27" w14:paraId="6DD3651D" w14:textId="386EFD3B">
      <w:pPr>
        <w:pStyle w:val="FootnoteText"/>
      </w:pPr>
      <w:r>
        <w:rPr>
          <w:rStyle w:val="FootnoteReference"/>
        </w:rPr>
        <w:footnoteRef/>
      </w:r>
      <w:r>
        <w:t xml:space="preserve"> </w:t>
      </w:r>
      <w:r w:rsidRPr="00D75C47">
        <w:rPr>
          <w:i/>
          <w:iCs/>
        </w:rPr>
        <w:t>See</w:t>
      </w:r>
      <w:r>
        <w:t xml:space="preserve"> Letter from Charles Cooper, Associate Administrator, Office of Spectrum Management, National Telecommunications and Information Administration, to Ronald T. Repasi, Acting Chief, FCC Office of Engineering and Technology, ET Docket No. 19-138 (filed April 14, 2023) at 3.  </w:t>
      </w:r>
    </w:p>
  </w:footnote>
  <w:footnote w:id="36">
    <w:p w:rsidR="00A11A27" w:rsidP="00A11A27" w14:paraId="61DB01F1" w14:textId="77777777">
      <w:pPr>
        <w:pStyle w:val="FootnoteText"/>
      </w:pPr>
      <w:r>
        <w:rPr>
          <w:rStyle w:val="FootnoteReference"/>
        </w:rPr>
        <w:footnoteRef/>
      </w:r>
      <w:r>
        <w:t xml:space="preserve"> </w:t>
      </w:r>
      <w:r w:rsidRPr="00D75C47">
        <w:rPr>
          <w:i/>
          <w:iCs/>
        </w:rPr>
        <w:t>Id</w:t>
      </w:r>
      <w:r>
        <w:t>.</w:t>
      </w:r>
    </w:p>
  </w:footnote>
  <w:footnote w:id="37">
    <w:p w:rsidR="009D2D55" w14:paraId="5CC6E0D1" w14:textId="428FF833">
      <w:pPr>
        <w:pStyle w:val="FootnoteText"/>
      </w:pPr>
      <w:r>
        <w:rPr>
          <w:rStyle w:val="FootnoteReference"/>
        </w:rPr>
        <w:footnoteRef/>
      </w:r>
      <w:r>
        <w:t xml:space="preserve"> </w:t>
      </w:r>
      <w:r w:rsidRPr="009D2D55">
        <w:rPr>
          <w:i/>
          <w:iCs/>
        </w:rPr>
        <w:t>See</w:t>
      </w:r>
      <w:r>
        <w:t xml:space="preserve"> footnote 17, </w:t>
      </w:r>
      <w:r w:rsidRPr="009D2D55">
        <w:rPr>
          <w:i/>
          <w:iCs/>
        </w:rPr>
        <w:t>supra</w:t>
      </w:r>
      <w:r>
        <w:t>.</w:t>
      </w:r>
    </w:p>
  </w:footnote>
  <w:footnote w:id="38">
    <w:p w:rsidR="00CA317F" w:rsidP="00CA317F" w14:paraId="30F75335" w14:textId="77777777">
      <w:pPr>
        <w:pStyle w:val="FootnoteText"/>
      </w:pPr>
      <w:r>
        <w:rPr>
          <w:rStyle w:val="FootnoteReference"/>
        </w:rPr>
        <w:footnoteRef/>
      </w:r>
      <w:r>
        <w:t xml:space="preserve"> </w:t>
      </w:r>
      <w:r>
        <w:t>Setting the coordination distance at 25 miles will ensure that C-V2X RSU operators are able to identify any neighboring DSRC incumbents.</w:t>
      </w:r>
    </w:p>
  </w:footnote>
  <w:footnote w:id="39">
    <w:p w:rsidR="00FD0EB2" w:rsidP="00FD0EB2" w14:paraId="7F88924D" w14:textId="77777777">
      <w:pPr>
        <w:pStyle w:val="FootnoteText"/>
      </w:pPr>
      <w:r>
        <w:rPr>
          <w:rStyle w:val="FootnoteReference"/>
        </w:rPr>
        <w:footnoteRef/>
      </w:r>
      <w:r>
        <w:t xml:space="preserve"> </w:t>
      </w:r>
      <w:r w:rsidRPr="00234FA2">
        <w:rPr>
          <w:i/>
          <w:iCs/>
        </w:rPr>
        <w:t>See</w:t>
      </w:r>
      <w:r>
        <w:t xml:space="preserve"> 47 CFR § 90.371(b).</w:t>
      </w:r>
    </w:p>
  </w:footnote>
  <w:footnote w:id="40">
    <w:p w:rsidR="00FD0EB2" w:rsidP="00FD0EB2" w14:paraId="35618F3B" w14:textId="77777777">
      <w:pPr>
        <w:pStyle w:val="FootnoteText"/>
      </w:pPr>
      <w:r>
        <w:rPr>
          <w:rStyle w:val="FootnoteReference"/>
        </w:rPr>
        <w:footnoteRef/>
      </w:r>
      <w:r>
        <w:t xml:space="preserve"> </w:t>
      </w:r>
      <w:r w:rsidRPr="00053984">
        <w:rPr>
          <w:i/>
          <w:iCs/>
        </w:rPr>
        <w:t>See</w:t>
      </w:r>
      <w:r>
        <w:t xml:space="preserve"> 47 CFR § 90.375(b).</w:t>
      </w:r>
    </w:p>
  </w:footnote>
  <w:footnote w:id="41">
    <w:p w:rsidR="002A2E9D" w:rsidP="002A2E9D" w14:paraId="448E170F" w14:textId="3DBEF800">
      <w:pPr>
        <w:pStyle w:val="FootnoteText"/>
      </w:pPr>
      <w:r>
        <w:rPr>
          <w:rStyle w:val="FootnoteReference"/>
        </w:rPr>
        <w:footnoteRef/>
      </w:r>
      <w:r>
        <w:t xml:space="preserve"> </w:t>
      </w:r>
      <w:r w:rsidRPr="00566E57">
        <w:rPr>
          <w:i/>
          <w:iCs/>
        </w:rPr>
        <w:t>5.9 GHz First R&amp;O</w:t>
      </w:r>
      <w:r>
        <w:t xml:space="preserve"> at 13424</w:t>
      </w:r>
      <w:r w:rsidR="00405632">
        <w:t>–</w:t>
      </w:r>
      <w:r>
        <w:t>65, paras. 55</w:t>
      </w:r>
      <w:r w:rsidR="00405632">
        <w:t>–</w:t>
      </w:r>
      <w:r>
        <w:t>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7C93" w14:paraId="3BE672A2" w14:textId="27DD81F9">
    <w:pPr>
      <w:pStyle w:val="Header"/>
      <w:rPr>
        <w:sz w:val="22"/>
        <w:szCs w:val="22"/>
      </w:rPr>
    </w:pPr>
    <w:r>
      <w:rPr>
        <w:sz w:val="22"/>
        <w:szCs w:val="22"/>
      </w:rPr>
      <w:t xml:space="preserve">August </w:t>
    </w:r>
    <w:r w:rsidR="00FB660A">
      <w:rPr>
        <w:sz w:val="22"/>
        <w:szCs w:val="22"/>
      </w:rPr>
      <w:t>16</w:t>
    </w:r>
    <w:r>
      <w:rPr>
        <w:sz w:val="22"/>
        <w:szCs w:val="22"/>
      </w:rPr>
      <w:t>, 2023</w:t>
    </w:r>
  </w:p>
  <w:p w:rsidR="00C67C93" w:rsidRPr="002A0940" w14:paraId="60665196" w14:textId="780E17E6">
    <w:pPr>
      <w:pStyle w:val="Header"/>
      <w:rPr>
        <w:sz w:val="22"/>
        <w:szCs w:val="22"/>
      </w:rPr>
    </w:pPr>
    <w:r w:rsidRPr="002A0940">
      <w:rPr>
        <w:sz w:val="22"/>
        <w:szCs w:val="22"/>
      </w:rPr>
      <w:t xml:space="preserve">Page </w:t>
    </w:r>
    <w:r w:rsidRPr="002A0940">
      <w:rPr>
        <w:sz w:val="22"/>
        <w:szCs w:val="22"/>
      </w:rPr>
      <w:fldChar w:fldCharType="begin"/>
    </w:r>
    <w:r w:rsidRPr="002A0940">
      <w:rPr>
        <w:sz w:val="22"/>
        <w:szCs w:val="22"/>
      </w:rPr>
      <w:instrText xml:space="preserve"> PAGE   \* MERGEFORMAT </w:instrText>
    </w:r>
    <w:r w:rsidRPr="002A0940">
      <w:rPr>
        <w:sz w:val="22"/>
        <w:szCs w:val="22"/>
      </w:rPr>
      <w:fldChar w:fldCharType="separate"/>
    </w:r>
    <w:r w:rsidRPr="002A0940">
      <w:rPr>
        <w:noProof/>
        <w:sz w:val="22"/>
        <w:szCs w:val="22"/>
      </w:rPr>
      <w:t>1</w:t>
    </w:r>
    <w:r w:rsidRPr="002A0940">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2776C40F" w14:textId="653EA786">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124C413A"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126F1661" w14:textId="77777777">
    <w:pPr>
      <w:pStyle w:val="Header"/>
      <w:tabs>
        <w:tab w:val="clear" w:pos="4320"/>
      </w:tabs>
      <w:jc w:val="center"/>
      <w:rPr>
        <w:sz w:val="22"/>
      </w:rPr>
    </w:pPr>
  </w:p>
  <w:p w:rsidR="002B54DB" w14:paraId="4ABA4594" w14:textId="77777777">
    <w:pPr>
      <w:pStyle w:val="Header"/>
      <w:tabs>
        <w:tab w:val="clear" w:pos="4320"/>
      </w:tabs>
      <w:jc w:val="center"/>
      <w:rPr>
        <w:sz w:val="22"/>
      </w:rPr>
    </w:pPr>
  </w:p>
  <w:p w:rsidR="002B54DB" w14:paraId="670C1D66" w14:textId="783C8FE4">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A220F7">
      <w:rPr>
        <w:noProof/>
        <w:sz w:val="24"/>
      </w:rPr>
      <w:t>August 16, 2023</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E102C40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4E6147C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1182925"/>
    <w:multiLevelType w:val="singleLevel"/>
    <w:tmpl w:val="A9EE9842"/>
    <w:lvl w:ilvl="0">
      <w:start w:val="1"/>
      <w:numFmt w:val="decimal"/>
      <w:lvlText w:val="%1."/>
      <w:lvlJc w:val="left"/>
      <w:pPr>
        <w:tabs>
          <w:tab w:val="num" w:pos="1080"/>
        </w:tabs>
        <w:ind w:left="0" w:firstLine="720"/>
      </w:pPr>
    </w:lvl>
  </w:abstractNum>
  <w:num w:numId="1">
    <w:abstractNumId w:val="1"/>
  </w:num>
  <w:num w:numId="2">
    <w:abstractNumId w:val="3"/>
  </w:num>
  <w:num w:numId="3">
    <w:abstractNumId w:val="0"/>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9D"/>
    <w:rsid w:val="0000035F"/>
    <w:rsid w:val="00001AF6"/>
    <w:rsid w:val="000054E1"/>
    <w:rsid w:val="00005D7D"/>
    <w:rsid w:val="00012087"/>
    <w:rsid w:val="000122AE"/>
    <w:rsid w:val="0001675C"/>
    <w:rsid w:val="0001772A"/>
    <w:rsid w:val="00017E58"/>
    <w:rsid w:val="00022144"/>
    <w:rsid w:val="000257AF"/>
    <w:rsid w:val="00026DF7"/>
    <w:rsid w:val="00027740"/>
    <w:rsid w:val="00027C59"/>
    <w:rsid w:val="00032BC8"/>
    <w:rsid w:val="00033CE1"/>
    <w:rsid w:val="00035EA3"/>
    <w:rsid w:val="00041925"/>
    <w:rsid w:val="00053984"/>
    <w:rsid w:val="000611BB"/>
    <w:rsid w:val="00061A22"/>
    <w:rsid w:val="00063559"/>
    <w:rsid w:val="00063BB5"/>
    <w:rsid w:val="00064B75"/>
    <w:rsid w:val="00071709"/>
    <w:rsid w:val="0007394A"/>
    <w:rsid w:val="00075351"/>
    <w:rsid w:val="00077ABE"/>
    <w:rsid w:val="0008084C"/>
    <w:rsid w:val="00082566"/>
    <w:rsid w:val="000833ED"/>
    <w:rsid w:val="00090FC8"/>
    <w:rsid w:val="000921C2"/>
    <w:rsid w:val="00095468"/>
    <w:rsid w:val="00095F97"/>
    <w:rsid w:val="000969E1"/>
    <w:rsid w:val="000A2C16"/>
    <w:rsid w:val="000A5DC1"/>
    <w:rsid w:val="000B0C56"/>
    <w:rsid w:val="000B1272"/>
    <w:rsid w:val="000B150A"/>
    <w:rsid w:val="000B3E11"/>
    <w:rsid w:val="000B417C"/>
    <w:rsid w:val="000C41DE"/>
    <w:rsid w:val="000C549E"/>
    <w:rsid w:val="000D1F2E"/>
    <w:rsid w:val="000D5625"/>
    <w:rsid w:val="000E0259"/>
    <w:rsid w:val="000E0AB2"/>
    <w:rsid w:val="000E200D"/>
    <w:rsid w:val="000F3B56"/>
    <w:rsid w:val="000F40B3"/>
    <w:rsid w:val="000F66EA"/>
    <w:rsid w:val="001050AE"/>
    <w:rsid w:val="00112F49"/>
    <w:rsid w:val="00121391"/>
    <w:rsid w:val="00121C62"/>
    <w:rsid w:val="00123D00"/>
    <w:rsid w:val="00125CE1"/>
    <w:rsid w:val="001270D9"/>
    <w:rsid w:val="001333F1"/>
    <w:rsid w:val="001351CB"/>
    <w:rsid w:val="00136826"/>
    <w:rsid w:val="0014404D"/>
    <w:rsid w:val="00151D15"/>
    <w:rsid w:val="001550B8"/>
    <w:rsid w:val="001609BB"/>
    <w:rsid w:val="00170FD8"/>
    <w:rsid w:val="0017180F"/>
    <w:rsid w:val="00181907"/>
    <w:rsid w:val="00182C01"/>
    <w:rsid w:val="00190884"/>
    <w:rsid w:val="00192DE5"/>
    <w:rsid w:val="00197C25"/>
    <w:rsid w:val="001A0B07"/>
    <w:rsid w:val="001A32B1"/>
    <w:rsid w:val="001A604D"/>
    <w:rsid w:val="001C138B"/>
    <w:rsid w:val="001C450E"/>
    <w:rsid w:val="001C5A1D"/>
    <w:rsid w:val="001C5F90"/>
    <w:rsid w:val="001C7840"/>
    <w:rsid w:val="001D3AAA"/>
    <w:rsid w:val="001D3F2E"/>
    <w:rsid w:val="001E2C19"/>
    <w:rsid w:val="001E2EF3"/>
    <w:rsid w:val="001E3A9C"/>
    <w:rsid w:val="001E53A4"/>
    <w:rsid w:val="001F0F15"/>
    <w:rsid w:val="001F12E0"/>
    <w:rsid w:val="001F5957"/>
    <w:rsid w:val="002003B8"/>
    <w:rsid w:val="00204CE3"/>
    <w:rsid w:val="00204FA9"/>
    <w:rsid w:val="002065D9"/>
    <w:rsid w:val="0020664A"/>
    <w:rsid w:val="00214550"/>
    <w:rsid w:val="002205DC"/>
    <w:rsid w:val="00223D48"/>
    <w:rsid w:val="002264BF"/>
    <w:rsid w:val="00227DC9"/>
    <w:rsid w:val="00234FA2"/>
    <w:rsid w:val="00236C12"/>
    <w:rsid w:val="002449FC"/>
    <w:rsid w:val="002520B2"/>
    <w:rsid w:val="0025333D"/>
    <w:rsid w:val="00255088"/>
    <w:rsid w:val="002577C9"/>
    <w:rsid w:val="00262FAB"/>
    <w:rsid w:val="00267982"/>
    <w:rsid w:val="00267B7A"/>
    <w:rsid w:val="0027099C"/>
    <w:rsid w:val="00276E9C"/>
    <w:rsid w:val="0028190B"/>
    <w:rsid w:val="00281C6A"/>
    <w:rsid w:val="0028476F"/>
    <w:rsid w:val="00285833"/>
    <w:rsid w:val="00292050"/>
    <w:rsid w:val="00292248"/>
    <w:rsid w:val="00296833"/>
    <w:rsid w:val="002A0940"/>
    <w:rsid w:val="002A0C47"/>
    <w:rsid w:val="002A1838"/>
    <w:rsid w:val="002A2B8C"/>
    <w:rsid w:val="002A2E9D"/>
    <w:rsid w:val="002A35DF"/>
    <w:rsid w:val="002A53FA"/>
    <w:rsid w:val="002A5C1F"/>
    <w:rsid w:val="002A6195"/>
    <w:rsid w:val="002A749A"/>
    <w:rsid w:val="002B473D"/>
    <w:rsid w:val="002B5043"/>
    <w:rsid w:val="002B5471"/>
    <w:rsid w:val="002B54DB"/>
    <w:rsid w:val="002B6908"/>
    <w:rsid w:val="002B78D6"/>
    <w:rsid w:val="002C261B"/>
    <w:rsid w:val="002C619F"/>
    <w:rsid w:val="002C7CA7"/>
    <w:rsid w:val="002D2632"/>
    <w:rsid w:val="002D3CE7"/>
    <w:rsid w:val="002D63FF"/>
    <w:rsid w:val="002D668B"/>
    <w:rsid w:val="002D6E61"/>
    <w:rsid w:val="002D70CA"/>
    <w:rsid w:val="002E0947"/>
    <w:rsid w:val="002E48A5"/>
    <w:rsid w:val="002F2326"/>
    <w:rsid w:val="002F7262"/>
    <w:rsid w:val="00302B50"/>
    <w:rsid w:val="00303692"/>
    <w:rsid w:val="0031005E"/>
    <w:rsid w:val="0031104B"/>
    <w:rsid w:val="0031153B"/>
    <w:rsid w:val="00311FF2"/>
    <w:rsid w:val="0032040F"/>
    <w:rsid w:val="00323C84"/>
    <w:rsid w:val="003242DE"/>
    <w:rsid w:val="0033204C"/>
    <w:rsid w:val="0033442C"/>
    <w:rsid w:val="003361C2"/>
    <w:rsid w:val="00340430"/>
    <w:rsid w:val="0034585E"/>
    <w:rsid w:val="003516CA"/>
    <w:rsid w:val="00352CD5"/>
    <w:rsid w:val="003540E9"/>
    <w:rsid w:val="003545A9"/>
    <w:rsid w:val="0035630F"/>
    <w:rsid w:val="00362379"/>
    <w:rsid w:val="00364FC9"/>
    <w:rsid w:val="0036712D"/>
    <w:rsid w:val="003715AF"/>
    <w:rsid w:val="003728FF"/>
    <w:rsid w:val="00374958"/>
    <w:rsid w:val="0037495A"/>
    <w:rsid w:val="0038068A"/>
    <w:rsid w:val="00387755"/>
    <w:rsid w:val="00390ACA"/>
    <w:rsid w:val="0039458D"/>
    <w:rsid w:val="003958A6"/>
    <w:rsid w:val="00395A84"/>
    <w:rsid w:val="003A453E"/>
    <w:rsid w:val="003A4B09"/>
    <w:rsid w:val="003A7AEB"/>
    <w:rsid w:val="003B156B"/>
    <w:rsid w:val="003B15C2"/>
    <w:rsid w:val="003B1FF6"/>
    <w:rsid w:val="003B32AA"/>
    <w:rsid w:val="003B36C6"/>
    <w:rsid w:val="003B417C"/>
    <w:rsid w:val="003B7C3D"/>
    <w:rsid w:val="003C1159"/>
    <w:rsid w:val="003C3591"/>
    <w:rsid w:val="003C37AE"/>
    <w:rsid w:val="003C674C"/>
    <w:rsid w:val="003C69A2"/>
    <w:rsid w:val="003C7C1E"/>
    <w:rsid w:val="003D75C3"/>
    <w:rsid w:val="003F5168"/>
    <w:rsid w:val="003F5900"/>
    <w:rsid w:val="003F64A8"/>
    <w:rsid w:val="003F76CA"/>
    <w:rsid w:val="003F7753"/>
    <w:rsid w:val="003F7841"/>
    <w:rsid w:val="00402301"/>
    <w:rsid w:val="00403AC9"/>
    <w:rsid w:val="00405632"/>
    <w:rsid w:val="00405650"/>
    <w:rsid w:val="00412090"/>
    <w:rsid w:val="004228C7"/>
    <w:rsid w:val="004251CC"/>
    <w:rsid w:val="00430178"/>
    <w:rsid w:val="0043742D"/>
    <w:rsid w:val="004414EA"/>
    <w:rsid w:val="00441E47"/>
    <w:rsid w:val="00450094"/>
    <w:rsid w:val="0045174F"/>
    <w:rsid w:val="00456AD1"/>
    <w:rsid w:val="00463346"/>
    <w:rsid w:val="00463E56"/>
    <w:rsid w:val="00466A9E"/>
    <w:rsid w:val="004678E2"/>
    <w:rsid w:val="00472361"/>
    <w:rsid w:val="00482C5E"/>
    <w:rsid w:val="004872DB"/>
    <w:rsid w:val="00491D16"/>
    <w:rsid w:val="00493DD6"/>
    <w:rsid w:val="00497F90"/>
    <w:rsid w:val="004A02A1"/>
    <w:rsid w:val="004A0F34"/>
    <w:rsid w:val="004B37FA"/>
    <w:rsid w:val="004B4746"/>
    <w:rsid w:val="004B7E16"/>
    <w:rsid w:val="004C08D1"/>
    <w:rsid w:val="004C2FBF"/>
    <w:rsid w:val="004C31F9"/>
    <w:rsid w:val="004C712A"/>
    <w:rsid w:val="004D1CFB"/>
    <w:rsid w:val="004D2019"/>
    <w:rsid w:val="004D2E90"/>
    <w:rsid w:val="004D3B53"/>
    <w:rsid w:val="004D3CF4"/>
    <w:rsid w:val="004D530C"/>
    <w:rsid w:val="004D74A2"/>
    <w:rsid w:val="004E2D08"/>
    <w:rsid w:val="004F0C78"/>
    <w:rsid w:val="004F2039"/>
    <w:rsid w:val="004F21D6"/>
    <w:rsid w:val="004F4139"/>
    <w:rsid w:val="004F6212"/>
    <w:rsid w:val="004F730F"/>
    <w:rsid w:val="004F73DF"/>
    <w:rsid w:val="0050440F"/>
    <w:rsid w:val="00512CCC"/>
    <w:rsid w:val="00514773"/>
    <w:rsid w:val="0052123B"/>
    <w:rsid w:val="00521FFA"/>
    <w:rsid w:val="0052289E"/>
    <w:rsid w:val="00531C20"/>
    <w:rsid w:val="00533CA3"/>
    <w:rsid w:val="00535427"/>
    <w:rsid w:val="005422F3"/>
    <w:rsid w:val="0054698C"/>
    <w:rsid w:val="0055204E"/>
    <w:rsid w:val="0055388C"/>
    <w:rsid w:val="00553D67"/>
    <w:rsid w:val="00562700"/>
    <w:rsid w:val="005629CC"/>
    <w:rsid w:val="00564DED"/>
    <w:rsid w:val="00566E57"/>
    <w:rsid w:val="00570071"/>
    <w:rsid w:val="00572405"/>
    <w:rsid w:val="00580DB2"/>
    <w:rsid w:val="00581205"/>
    <w:rsid w:val="00581F24"/>
    <w:rsid w:val="00586727"/>
    <w:rsid w:val="00587F62"/>
    <w:rsid w:val="0059239A"/>
    <w:rsid w:val="0059636C"/>
    <w:rsid w:val="005A1089"/>
    <w:rsid w:val="005A1DFF"/>
    <w:rsid w:val="005B2164"/>
    <w:rsid w:val="005B455C"/>
    <w:rsid w:val="005B5AE1"/>
    <w:rsid w:val="005B7DA4"/>
    <w:rsid w:val="005C3974"/>
    <w:rsid w:val="005C3EDD"/>
    <w:rsid w:val="005C3F77"/>
    <w:rsid w:val="005C4B45"/>
    <w:rsid w:val="005C5E67"/>
    <w:rsid w:val="005D2F14"/>
    <w:rsid w:val="005D341F"/>
    <w:rsid w:val="005D6692"/>
    <w:rsid w:val="005D7728"/>
    <w:rsid w:val="005E3186"/>
    <w:rsid w:val="005E512E"/>
    <w:rsid w:val="005E7CE6"/>
    <w:rsid w:val="005E7FAB"/>
    <w:rsid w:val="005F12A3"/>
    <w:rsid w:val="005F3A42"/>
    <w:rsid w:val="005F3E78"/>
    <w:rsid w:val="005F509C"/>
    <w:rsid w:val="0060181B"/>
    <w:rsid w:val="00605451"/>
    <w:rsid w:val="00605E68"/>
    <w:rsid w:val="006069FE"/>
    <w:rsid w:val="00607313"/>
    <w:rsid w:val="00607AAA"/>
    <w:rsid w:val="00610454"/>
    <w:rsid w:val="0061094F"/>
    <w:rsid w:val="00612EC3"/>
    <w:rsid w:val="0061632D"/>
    <w:rsid w:val="006177C8"/>
    <w:rsid w:val="006275B9"/>
    <w:rsid w:val="00627753"/>
    <w:rsid w:val="00633C08"/>
    <w:rsid w:val="00637383"/>
    <w:rsid w:val="00637F3F"/>
    <w:rsid w:val="006427D8"/>
    <w:rsid w:val="006428F2"/>
    <w:rsid w:val="006447E4"/>
    <w:rsid w:val="00644D2E"/>
    <w:rsid w:val="00645590"/>
    <w:rsid w:val="00651AAF"/>
    <w:rsid w:val="00661533"/>
    <w:rsid w:val="00664AB5"/>
    <w:rsid w:val="00664B08"/>
    <w:rsid w:val="00667477"/>
    <w:rsid w:val="0067135C"/>
    <w:rsid w:val="00676B39"/>
    <w:rsid w:val="00677FCA"/>
    <w:rsid w:val="00681616"/>
    <w:rsid w:val="00682E4C"/>
    <w:rsid w:val="00684450"/>
    <w:rsid w:val="0069645C"/>
    <w:rsid w:val="00697FF3"/>
    <w:rsid w:val="006A0369"/>
    <w:rsid w:val="006A06A8"/>
    <w:rsid w:val="006A5050"/>
    <w:rsid w:val="006B35F6"/>
    <w:rsid w:val="006B4F30"/>
    <w:rsid w:val="006B7369"/>
    <w:rsid w:val="006B7B2F"/>
    <w:rsid w:val="006C77E7"/>
    <w:rsid w:val="006D4934"/>
    <w:rsid w:val="006F384B"/>
    <w:rsid w:val="006F3FA6"/>
    <w:rsid w:val="006F4858"/>
    <w:rsid w:val="006F69DC"/>
    <w:rsid w:val="006F6F0F"/>
    <w:rsid w:val="0070629E"/>
    <w:rsid w:val="007071F6"/>
    <w:rsid w:val="007111D6"/>
    <w:rsid w:val="007128CA"/>
    <w:rsid w:val="00713325"/>
    <w:rsid w:val="00724710"/>
    <w:rsid w:val="00725B6B"/>
    <w:rsid w:val="007337B4"/>
    <w:rsid w:val="00736C92"/>
    <w:rsid w:val="0074060C"/>
    <w:rsid w:val="00742579"/>
    <w:rsid w:val="00744AFB"/>
    <w:rsid w:val="00745173"/>
    <w:rsid w:val="00747C61"/>
    <w:rsid w:val="007526CD"/>
    <w:rsid w:val="00762EF9"/>
    <w:rsid w:val="00763B47"/>
    <w:rsid w:val="0077159D"/>
    <w:rsid w:val="00772479"/>
    <w:rsid w:val="00772635"/>
    <w:rsid w:val="00772B46"/>
    <w:rsid w:val="007743FA"/>
    <w:rsid w:val="007746E3"/>
    <w:rsid w:val="00775AAC"/>
    <w:rsid w:val="00784EB9"/>
    <w:rsid w:val="007863C1"/>
    <w:rsid w:val="007908A5"/>
    <w:rsid w:val="007915F7"/>
    <w:rsid w:val="00792110"/>
    <w:rsid w:val="007A17E4"/>
    <w:rsid w:val="007A27CE"/>
    <w:rsid w:val="007B1D2A"/>
    <w:rsid w:val="007B77E2"/>
    <w:rsid w:val="007B7D2B"/>
    <w:rsid w:val="007C2AAD"/>
    <w:rsid w:val="007C3669"/>
    <w:rsid w:val="007C4F59"/>
    <w:rsid w:val="007C7989"/>
    <w:rsid w:val="007D63CD"/>
    <w:rsid w:val="007D7268"/>
    <w:rsid w:val="007D767A"/>
    <w:rsid w:val="007E00B3"/>
    <w:rsid w:val="007E2069"/>
    <w:rsid w:val="007E53E5"/>
    <w:rsid w:val="007F104F"/>
    <w:rsid w:val="008004C7"/>
    <w:rsid w:val="00804AA0"/>
    <w:rsid w:val="00806CAE"/>
    <w:rsid w:val="008119D0"/>
    <w:rsid w:val="00812A8B"/>
    <w:rsid w:val="00814D9B"/>
    <w:rsid w:val="00817132"/>
    <w:rsid w:val="008245AB"/>
    <w:rsid w:val="0082471A"/>
    <w:rsid w:val="00827910"/>
    <w:rsid w:val="00827D0C"/>
    <w:rsid w:val="00832A67"/>
    <w:rsid w:val="00832CA3"/>
    <w:rsid w:val="008342EA"/>
    <w:rsid w:val="008404C0"/>
    <w:rsid w:val="00842DA1"/>
    <w:rsid w:val="00843B95"/>
    <w:rsid w:val="0084630B"/>
    <w:rsid w:val="0084701D"/>
    <w:rsid w:val="00852887"/>
    <w:rsid w:val="00865AB4"/>
    <w:rsid w:val="008704FE"/>
    <w:rsid w:val="00870AC7"/>
    <w:rsid w:val="00870DED"/>
    <w:rsid w:val="00873EB3"/>
    <w:rsid w:val="00876A80"/>
    <w:rsid w:val="00877B11"/>
    <w:rsid w:val="00887C64"/>
    <w:rsid w:val="00891DC2"/>
    <w:rsid w:val="008923EA"/>
    <w:rsid w:val="00893DFE"/>
    <w:rsid w:val="00894A61"/>
    <w:rsid w:val="00894F8C"/>
    <w:rsid w:val="00897F3A"/>
    <w:rsid w:val="008A0328"/>
    <w:rsid w:val="008A0D27"/>
    <w:rsid w:val="008A341B"/>
    <w:rsid w:val="008A46BA"/>
    <w:rsid w:val="008A4B58"/>
    <w:rsid w:val="008A7FC7"/>
    <w:rsid w:val="008B1734"/>
    <w:rsid w:val="008B189E"/>
    <w:rsid w:val="008B27B3"/>
    <w:rsid w:val="008B2A20"/>
    <w:rsid w:val="008B73C2"/>
    <w:rsid w:val="008C08A3"/>
    <w:rsid w:val="008C114B"/>
    <w:rsid w:val="008C2C55"/>
    <w:rsid w:val="008C351E"/>
    <w:rsid w:val="008C3BDD"/>
    <w:rsid w:val="008C412C"/>
    <w:rsid w:val="008C4AC5"/>
    <w:rsid w:val="008C6B86"/>
    <w:rsid w:val="008C78A0"/>
    <w:rsid w:val="008D292E"/>
    <w:rsid w:val="008E5A79"/>
    <w:rsid w:val="008E76EE"/>
    <w:rsid w:val="008F0D96"/>
    <w:rsid w:val="009026D3"/>
    <w:rsid w:val="00905C03"/>
    <w:rsid w:val="00910B18"/>
    <w:rsid w:val="00915283"/>
    <w:rsid w:val="009163A5"/>
    <w:rsid w:val="00916F46"/>
    <w:rsid w:val="00917264"/>
    <w:rsid w:val="00917609"/>
    <w:rsid w:val="0092045A"/>
    <w:rsid w:val="0092242F"/>
    <w:rsid w:val="009265F3"/>
    <w:rsid w:val="00926ABF"/>
    <w:rsid w:val="0093139B"/>
    <w:rsid w:val="00932072"/>
    <w:rsid w:val="009404E7"/>
    <w:rsid w:val="00942B7A"/>
    <w:rsid w:val="00944CAF"/>
    <w:rsid w:val="00945FE3"/>
    <w:rsid w:val="009506BF"/>
    <w:rsid w:val="00951E56"/>
    <w:rsid w:val="00952E20"/>
    <w:rsid w:val="00953404"/>
    <w:rsid w:val="00953D16"/>
    <w:rsid w:val="00961C80"/>
    <w:rsid w:val="00972C8D"/>
    <w:rsid w:val="00973879"/>
    <w:rsid w:val="00974324"/>
    <w:rsid w:val="009748B5"/>
    <w:rsid w:val="0097620C"/>
    <w:rsid w:val="009863FD"/>
    <w:rsid w:val="00987F86"/>
    <w:rsid w:val="009A340B"/>
    <w:rsid w:val="009A7046"/>
    <w:rsid w:val="009B0051"/>
    <w:rsid w:val="009B392F"/>
    <w:rsid w:val="009B4FA0"/>
    <w:rsid w:val="009B6312"/>
    <w:rsid w:val="009B7AE5"/>
    <w:rsid w:val="009C346E"/>
    <w:rsid w:val="009C44AD"/>
    <w:rsid w:val="009C7370"/>
    <w:rsid w:val="009C7F16"/>
    <w:rsid w:val="009D0908"/>
    <w:rsid w:val="009D2D55"/>
    <w:rsid w:val="009D4AC8"/>
    <w:rsid w:val="009D4C45"/>
    <w:rsid w:val="009D64B8"/>
    <w:rsid w:val="009F01C8"/>
    <w:rsid w:val="009F02C2"/>
    <w:rsid w:val="009F1F4A"/>
    <w:rsid w:val="009F49D4"/>
    <w:rsid w:val="009F5BC3"/>
    <w:rsid w:val="009F70BB"/>
    <w:rsid w:val="00A005D3"/>
    <w:rsid w:val="00A014B5"/>
    <w:rsid w:val="00A11335"/>
    <w:rsid w:val="00A11851"/>
    <w:rsid w:val="00A11A27"/>
    <w:rsid w:val="00A123FC"/>
    <w:rsid w:val="00A13952"/>
    <w:rsid w:val="00A21CEE"/>
    <w:rsid w:val="00A220F7"/>
    <w:rsid w:val="00A22380"/>
    <w:rsid w:val="00A26340"/>
    <w:rsid w:val="00A33DBA"/>
    <w:rsid w:val="00A36B6B"/>
    <w:rsid w:val="00A401B0"/>
    <w:rsid w:val="00A41F46"/>
    <w:rsid w:val="00A43866"/>
    <w:rsid w:val="00A46B3A"/>
    <w:rsid w:val="00A5248D"/>
    <w:rsid w:val="00A532EA"/>
    <w:rsid w:val="00A57043"/>
    <w:rsid w:val="00A62CA4"/>
    <w:rsid w:val="00A63A2E"/>
    <w:rsid w:val="00A66DA1"/>
    <w:rsid w:val="00A76946"/>
    <w:rsid w:val="00A80D01"/>
    <w:rsid w:val="00A845FA"/>
    <w:rsid w:val="00A84ED6"/>
    <w:rsid w:val="00A86475"/>
    <w:rsid w:val="00A86681"/>
    <w:rsid w:val="00A87870"/>
    <w:rsid w:val="00A912C8"/>
    <w:rsid w:val="00A96406"/>
    <w:rsid w:val="00AA06D1"/>
    <w:rsid w:val="00AA66F4"/>
    <w:rsid w:val="00AB27E2"/>
    <w:rsid w:val="00AB390D"/>
    <w:rsid w:val="00AB50F0"/>
    <w:rsid w:val="00AB7BAE"/>
    <w:rsid w:val="00AC31A3"/>
    <w:rsid w:val="00AC3215"/>
    <w:rsid w:val="00AC3558"/>
    <w:rsid w:val="00AC35CB"/>
    <w:rsid w:val="00AC3CCB"/>
    <w:rsid w:val="00AC4C21"/>
    <w:rsid w:val="00AC5213"/>
    <w:rsid w:val="00AD033C"/>
    <w:rsid w:val="00AD0E7D"/>
    <w:rsid w:val="00AD1919"/>
    <w:rsid w:val="00AD1DB2"/>
    <w:rsid w:val="00AD2318"/>
    <w:rsid w:val="00AD248E"/>
    <w:rsid w:val="00AD7299"/>
    <w:rsid w:val="00AE1A8A"/>
    <w:rsid w:val="00AE3E4A"/>
    <w:rsid w:val="00AF2D1A"/>
    <w:rsid w:val="00AF4D93"/>
    <w:rsid w:val="00B02785"/>
    <w:rsid w:val="00B06018"/>
    <w:rsid w:val="00B160DE"/>
    <w:rsid w:val="00B1725C"/>
    <w:rsid w:val="00B31F05"/>
    <w:rsid w:val="00B34511"/>
    <w:rsid w:val="00B36755"/>
    <w:rsid w:val="00B4365F"/>
    <w:rsid w:val="00B5253D"/>
    <w:rsid w:val="00B53012"/>
    <w:rsid w:val="00B546CC"/>
    <w:rsid w:val="00B5575E"/>
    <w:rsid w:val="00B632D0"/>
    <w:rsid w:val="00B6485C"/>
    <w:rsid w:val="00B66E59"/>
    <w:rsid w:val="00B67781"/>
    <w:rsid w:val="00B70915"/>
    <w:rsid w:val="00B715B2"/>
    <w:rsid w:val="00B72E84"/>
    <w:rsid w:val="00B72FC2"/>
    <w:rsid w:val="00B755AB"/>
    <w:rsid w:val="00B75D65"/>
    <w:rsid w:val="00B77AF6"/>
    <w:rsid w:val="00B77FBC"/>
    <w:rsid w:val="00B80F90"/>
    <w:rsid w:val="00B81C8F"/>
    <w:rsid w:val="00B86B65"/>
    <w:rsid w:val="00B87DC1"/>
    <w:rsid w:val="00B911FD"/>
    <w:rsid w:val="00B931B8"/>
    <w:rsid w:val="00B9586B"/>
    <w:rsid w:val="00BA0C04"/>
    <w:rsid w:val="00BA1A60"/>
    <w:rsid w:val="00BA3676"/>
    <w:rsid w:val="00BB00D2"/>
    <w:rsid w:val="00BB2698"/>
    <w:rsid w:val="00BB401F"/>
    <w:rsid w:val="00BB49AB"/>
    <w:rsid w:val="00BB6CB3"/>
    <w:rsid w:val="00BC0ADF"/>
    <w:rsid w:val="00BC54AC"/>
    <w:rsid w:val="00BC6802"/>
    <w:rsid w:val="00BD097B"/>
    <w:rsid w:val="00BD2207"/>
    <w:rsid w:val="00BD57AF"/>
    <w:rsid w:val="00BD7A7C"/>
    <w:rsid w:val="00BE3EED"/>
    <w:rsid w:val="00BF11A6"/>
    <w:rsid w:val="00BF31E4"/>
    <w:rsid w:val="00BF4583"/>
    <w:rsid w:val="00BF65E5"/>
    <w:rsid w:val="00C000AC"/>
    <w:rsid w:val="00C02799"/>
    <w:rsid w:val="00C0416D"/>
    <w:rsid w:val="00C05BC9"/>
    <w:rsid w:val="00C13874"/>
    <w:rsid w:val="00C21A0C"/>
    <w:rsid w:val="00C27AD1"/>
    <w:rsid w:val="00C3053D"/>
    <w:rsid w:val="00C3123F"/>
    <w:rsid w:val="00C31CCF"/>
    <w:rsid w:val="00C31FCC"/>
    <w:rsid w:val="00C3660D"/>
    <w:rsid w:val="00C36A7C"/>
    <w:rsid w:val="00C40A1F"/>
    <w:rsid w:val="00C42EEB"/>
    <w:rsid w:val="00C42FFE"/>
    <w:rsid w:val="00C47FA1"/>
    <w:rsid w:val="00C52A07"/>
    <w:rsid w:val="00C55CC6"/>
    <w:rsid w:val="00C63415"/>
    <w:rsid w:val="00C638A1"/>
    <w:rsid w:val="00C67C93"/>
    <w:rsid w:val="00C762A8"/>
    <w:rsid w:val="00C803C0"/>
    <w:rsid w:val="00C81E6D"/>
    <w:rsid w:val="00C8496D"/>
    <w:rsid w:val="00C84EB4"/>
    <w:rsid w:val="00C875A8"/>
    <w:rsid w:val="00C948AE"/>
    <w:rsid w:val="00CA250D"/>
    <w:rsid w:val="00CA317F"/>
    <w:rsid w:val="00CA3BA6"/>
    <w:rsid w:val="00CB259A"/>
    <w:rsid w:val="00CB383B"/>
    <w:rsid w:val="00CB421B"/>
    <w:rsid w:val="00CC39B4"/>
    <w:rsid w:val="00CC4F6E"/>
    <w:rsid w:val="00CC5F81"/>
    <w:rsid w:val="00CD2771"/>
    <w:rsid w:val="00CE0F63"/>
    <w:rsid w:val="00CF2D97"/>
    <w:rsid w:val="00CF3382"/>
    <w:rsid w:val="00CF75A1"/>
    <w:rsid w:val="00D021C8"/>
    <w:rsid w:val="00D03E2D"/>
    <w:rsid w:val="00D041DD"/>
    <w:rsid w:val="00D079E9"/>
    <w:rsid w:val="00D11683"/>
    <w:rsid w:val="00D129FF"/>
    <w:rsid w:val="00D13625"/>
    <w:rsid w:val="00D144AA"/>
    <w:rsid w:val="00D1656A"/>
    <w:rsid w:val="00D178E5"/>
    <w:rsid w:val="00D17CE7"/>
    <w:rsid w:val="00D222BD"/>
    <w:rsid w:val="00D27349"/>
    <w:rsid w:val="00D27FEB"/>
    <w:rsid w:val="00D31B19"/>
    <w:rsid w:val="00D33BDF"/>
    <w:rsid w:val="00D364CF"/>
    <w:rsid w:val="00D36612"/>
    <w:rsid w:val="00D427BD"/>
    <w:rsid w:val="00D4714E"/>
    <w:rsid w:val="00D476DD"/>
    <w:rsid w:val="00D51525"/>
    <w:rsid w:val="00D52566"/>
    <w:rsid w:val="00D55298"/>
    <w:rsid w:val="00D558AE"/>
    <w:rsid w:val="00D603CC"/>
    <w:rsid w:val="00D650C2"/>
    <w:rsid w:val="00D66195"/>
    <w:rsid w:val="00D759B7"/>
    <w:rsid w:val="00D75C47"/>
    <w:rsid w:val="00D76107"/>
    <w:rsid w:val="00D80F03"/>
    <w:rsid w:val="00D818D4"/>
    <w:rsid w:val="00D87233"/>
    <w:rsid w:val="00D922B2"/>
    <w:rsid w:val="00D92A64"/>
    <w:rsid w:val="00D9318D"/>
    <w:rsid w:val="00D94BA7"/>
    <w:rsid w:val="00D95162"/>
    <w:rsid w:val="00DA4260"/>
    <w:rsid w:val="00DA4D0B"/>
    <w:rsid w:val="00DA6975"/>
    <w:rsid w:val="00DA7585"/>
    <w:rsid w:val="00DA760F"/>
    <w:rsid w:val="00DB1E12"/>
    <w:rsid w:val="00DB7693"/>
    <w:rsid w:val="00DC4414"/>
    <w:rsid w:val="00DC5D01"/>
    <w:rsid w:val="00DC6795"/>
    <w:rsid w:val="00DD25BE"/>
    <w:rsid w:val="00DD506C"/>
    <w:rsid w:val="00DD5B90"/>
    <w:rsid w:val="00DE2108"/>
    <w:rsid w:val="00DE5B4B"/>
    <w:rsid w:val="00DF03F6"/>
    <w:rsid w:val="00DF0FC7"/>
    <w:rsid w:val="00DF33C2"/>
    <w:rsid w:val="00DF376A"/>
    <w:rsid w:val="00DF3D10"/>
    <w:rsid w:val="00DF6EDA"/>
    <w:rsid w:val="00E01658"/>
    <w:rsid w:val="00E016F5"/>
    <w:rsid w:val="00E03E85"/>
    <w:rsid w:val="00E072C5"/>
    <w:rsid w:val="00E07BD8"/>
    <w:rsid w:val="00E14E07"/>
    <w:rsid w:val="00E165B0"/>
    <w:rsid w:val="00E16E38"/>
    <w:rsid w:val="00E178E8"/>
    <w:rsid w:val="00E260E2"/>
    <w:rsid w:val="00E3194E"/>
    <w:rsid w:val="00E31BF4"/>
    <w:rsid w:val="00E3233E"/>
    <w:rsid w:val="00E32ADF"/>
    <w:rsid w:val="00E40B35"/>
    <w:rsid w:val="00E40F05"/>
    <w:rsid w:val="00E42927"/>
    <w:rsid w:val="00E53AF7"/>
    <w:rsid w:val="00E67C52"/>
    <w:rsid w:val="00E71813"/>
    <w:rsid w:val="00E724D4"/>
    <w:rsid w:val="00E76AB5"/>
    <w:rsid w:val="00E77A2F"/>
    <w:rsid w:val="00E77C1A"/>
    <w:rsid w:val="00E80DED"/>
    <w:rsid w:val="00E8208E"/>
    <w:rsid w:val="00E840EC"/>
    <w:rsid w:val="00E853D4"/>
    <w:rsid w:val="00E85E74"/>
    <w:rsid w:val="00E86249"/>
    <w:rsid w:val="00E90AB9"/>
    <w:rsid w:val="00E97D89"/>
    <w:rsid w:val="00EA0B91"/>
    <w:rsid w:val="00EA0E6E"/>
    <w:rsid w:val="00EA567B"/>
    <w:rsid w:val="00EB5AC1"/>
    <w:rsid w:val="00EB6CB3"/>
    <w:rsid w:val="00EB70A3"/>
    <w:rsid w:val="00ED25A1"/>
    <w:rsid w:val="00ED339B"/>
    <w:rsid w:val="00ED3C92"/>
    <w:rsid w:val="00EE3B92"/>
    <w:rsid w:val="00EF01CD"/>
    <w:rsid w:val="00EF0A41"/>
    <w:rsid w:val="00EF5BFD"/>
    <w:rsid w:val="00F01C2B"/>
    <w:rsid w:val="00F11A75"/>
    <w:rsid w:val="00F14402"/>
    <w:rsid w:val="00F15285"/>
    <w:rsid w:val="00F15521"/>
    <w:rsid w:val="00F1707C"/>
    <w:rsid w:val="00F209D1"/>
    <w:rsid w:val="00F31C31"/>
    <w:rsid w:val="00F36016"/>
    <w:rsid w:val="00F4174B"/>
    <w:rsid w:val="00F45749"/>
    <w:rsid w:val="00F46DAB"/>
    <w:rsid w:val="00F46E2C"/>
    <w:rsid w:val="00F50B57"/>
    <w:rsid w:val="00F54948"/>
    <w:rsid w:val="00F56EB8"/>
    <w:rsid w:val="00F61A66"/>
    <w:rsid w:val="00F63CB2"/>
    <w:rsid w:val="00F67E41"/>
    <w:rsid w:val="00F70202"/>
    <w:rsid w:val="00F71B94"/>
    <w:rsid w:val="00F741BF"/>
    <w:rsid w:val="00F7470C"/>
    <w:rsid w:val="00F80E03"/>
    <w:rsid w:val="00F80E9C"/>
    <w:rsid w:val="00F810BE"/>
    <w:rsid w:val="00F83E81"/>
    <w:rsid w:val="00F843F4"/>
    <w:rsid w:val="00F9086E"/>
    <w:rsid w:val="00F9201F"/>
    <w:rsid w:val="00F92160"/>
    <w:rsid w:val="00F92641"/>
    <w:rsid w:val="00F938BF"/>
    <w:rsid w:val="00F95216"/>
    <w:rsid w:val="00F957CB"/>
    <w:rsid w:val="00F97781"/>
    <w:rsid w:val="00FA0A8F"/>
    <w:rsid w:val="00FA287A"/>
    <w:rsid w:val="00FA4C8E"/>
    <w:rsid w:val="00FB660A"/>
    <w:rsid w:val="00FB6C8F"/>
    <w:rsid w:val="00FC38CF"/>
    <w:rsid w:val="00FC4B3C"/>
    <w:rsid w:val="00FD0EB2"/>
    <w:rsid w:val="00FD41CA"/>
    <w:rsid w:val="00FD43F2"/>
    <w:rsid w:val="00FD4E6D"/>
    <w:rsid w:val="00FE1BC1"/>
    <w:rsid w:val="00FE73F6"/>
    <w:rsid w:val="00FF0F2E"/>
    <w:rsid w:val="00FF10FD"/>
    <w:rsid w:val="00FF43D4"/>
    <w:rsid w:val="023EF663"/>
    <w:rsid w:val="03682426"/>
    <w:rsid w:val="04D688C9"/>
    <w:rsid w:val="04D70923"/>
    <w:rsid w:val="05762FDB"/>
    <w:rsid w:val="08110769"/>
    <w:rsid w:val="0AFED610"/>
    <w:rsid w:val="0B3751FD"/>
    <w:rsid w:val="0C5424CB"/>
    <w:rsid w:val="0E3B58D5"/>
    <w:rsid w:val="0E53D597"/>
    <w:rsid w:val="12963E5B"/>
    <w:rsid w:val="131EC1CC"/>
    <w:rsid w:val="1397D74B"/>
    <w:rsid w:val="15D342AD"/>
    <w:rsid w:val="17D6D263"/>
    <w:rsid w:val="19281EB2"/>
    <w:rsid w:val="195061BF"/>
    <w:rsid w:val="1CDAE820"/>
    <w:rsid w:val="1DADADB9"/>
    <w:rsid w:val="1E302023"/>
    <w:rsid w:val="1E37CE68"/>
    <w:rsid w:val="258177B1"/>
    <w:rsid w:val="25C23F75"/>
    <w:rsid w:val="293DB0B6"/>
    <w:rsid w:val="2E7F7DCA"/>
    <w:rsid w:val="2F8EAF2D"/>
    <w:rsid w:val="3254E0F5"/>
    <w:rsid w:val="3391915E"/>
    <w:rsid w:val="33CA1CDB"/>
    <w:rsid w:val="38DCB86E"/>
    <w:rsid w:val="39B9145C"/>
    <w:rsid w:val="3FF91A21"/>
    <w:rsid w:val="438EFFEC"/>
    <w:rsid w:val="44C4E3BD"/>
    <w:rsid w:val="452C6549"/>
    <w:rsid w:val="462D0109"/>
    <w:rsid w:val="47328B14"/>
    <w:rsid w:val="4752F404"/>
    <w:rsid w:val="4B6695C3"/>
    <w:rsid w:val="4C5EA7E7"/>
    <w:rsid w:val="527FC7C3"/>
    <w:rsid w:val="529D82AC"/>
    <w:rsid w:val="53427EBB"/>
    <w:rsid w:val="54715409"/>
    <w:rsid w:val="54A45FEB"/>
    <w:rsid w:val="55DB7C62"/>
    <w:rsid w:val="5C4B0149"/>
    <w:rsid w:val="6008BA32"/>
    <w:rsid w:val="60D5D98E"/>
    <w:rsid w:val="610C109D"/>
    <w:rsid w:val="618472C1"/>
    <w:rsid w:val="6233EA1C"/>
    <w:rsid w:val="623A6796"/>
    <w:rsid w:val="65CF57C7"/>
    <w:rsid w:val="68E2B3EE"/>
    <w:rsid w:val="6AB28D2A"/>
    <w:rsid w:val="6B3D9185"/>
    <w:rsid w:val="6B806548"/>
    <w:rsid w:val="6F266116"/>
    <w:rsid w:val="74DDED6F"/>
    <w:rsid w:val="7638C78F"/>
    <w:rsid w:val="7973910A"/>
    <w:rsid w:val="7B40AF83"/>
    <w:rsid w:val="7BFEBE20"/>
    <w:rsid w:val="7D431D1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371677C"/>
  <w15:chartTrackingRefBased/>
  <w15:docId w15:val="{A7784283-CAF0-4ACC-BCAF-67B173AC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E9D"/>
  </w:style>
  <w:style w:type="paragraph" w:styleId="Heading1">
    <w:name w:val="heading 1"/>
    <w:basedOn w:val="Normal"/>
    <w:next w:val="ParaNum"/>
    <w:link w:val="Heading1Char"/>
    <w:qFormat/>
    <w:rsid w:val="002A2E9D"/>
    <w:pPr>
      <w:keepNext/>
      <w:widowControl w:val="0"/>
      <w:numPr>
        <w:numId w:val="3"/>
      </w:numPr>
      <w:tabs>
        <w:tab w:val="left" w:pos="720"/>
      </w:tabs>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rsid w:val="001F5957"/>
    <w:pPr>
      <w:keepNext/>
      <w:widowControl w:val="0"/>
      <w:numPr>
        <w:ilvl w:val="1"/>
        <w:numId w:val="3"/>
      </w:numPr>
      <w:spacing w:after="120"/>
      <w:outlineLvl w:val="1"/>
    </w:pPr>
    <w:rPr>
      <w:b/>
      <w:snapToGrid w:val="0"/>
      <w:kern w:val="28"/>
      <w:sz w:val="22"/>
    </w:rPr>
  </w:style>
  <w:style w:type="paragraph" w:styleId="Heading3">
    <w:name w:val="heading 3"/>
    <w:basedOn w:val="Normal"/>
    <w:next w:val="ParaNum"/>
    <w:link w:val="Heading3Char"/>
    <w:qFormat/>
    <w:rsid w:val="002A2E9D"/>
    <w:pPr>
      <w:keepNext/>
      <w:widowControl w:val="0"/>
      <w:numPr>
        <w:ilvl w:val="2"/>
        <w:numId w:val="3"/>
      </w:numPr>
      <w:tabs>
        <w:tab w:val="left" w:pos="2160"/>
      </w:tabs>
      <w:spacing w:after="120"/>
      <w:outlineLvl w:val="2"/>
    </w:pPr>
    <w:rPr>
      <w:b/>
      <w:snapToGrid w:val="0"/>
      <w:kern w:val="28"/>
      <w:sz w:val="22"/>
    </w:rPr>
  </w:style>
  <w:style w:type="paragraph" w:styleId="Heading4">
    <w:name w:val="heading 4"/>
    <w:basedOn w:val="Normal"/>
    <w:next w:val="ParaNum"/>
    <w:link w:val="Heading4Char"/>
    <w:qFormat/>
    <w:rsid w:val="002A2E9D"/>
    <w:pPr>
      <w:keepNext/>
      <w:widowControl w:val="0"/>
      <w:numPr>
        <w:ilvl w:val="3"/>
        <w:numId w:val="3"/>
      </w:numPr>
      <w:tabs>
        <w:tab w:val="left" w:pos="2880"/>
      </w:tabs>
      <w:spacing w:after="120"/>
      <w:outlineLvl w:val="3"/>
    </w:pPr>
    <w:rPr>
      <w:b/>
      <w:snapToGrid w:val="0"/>
      <w:kern w:val="28"/>
      <w:sz w:val="22"/>
    </w:rPr>
  </w:style>
  <w:style w:type="paragraph" w:styleId="Heading5">
    <w:name w:val="heading 5"/>
    <w:basedOn w:val="Normal"/>
    <w:next w:val="ParaNum"/>
    <w:link w:val="Heading5Char"/>
    <w:qFormat/>
    <w:rsid w:val="002A2E9D"/>
    <w:pPr>
      <w:keepNext/>
      <w:widowControl w:val="0"/>
      <w:numPr>
        <w:ilvl w:val="4"/>
        <w:numId w:val="3"/>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rsid w:val="002A2E9D"/>
    <w:pPr>
      <w:widowControl w:val="0"/>
      <w:numPr>
        <w:ilvl w:val="5"/>
        <w:numId w:val="3"/>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2A2E9D"/>
    <w:pPr>
      <w:widowControl w:val="0"/>
      <w:numPr>
        <w:ilvl w:val="6"/>
        <w:numId w:val="3"/>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2A2E9D"/>
    <w:pPr>
      <w:widowControl w:val="0"/>
      <w:numPr>
        <w:ilvl w:val="7"/>
        <w:numId w:val="3"/>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rsid w:val="002A2E9D"/>
    <w:pPr>
      <w:widowControl w:val="0"/>
      <w:numPr>
        <w:ilvl w:val="8"/>
        <w:numId w:val="3"/>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2A2E9D"/>
    <w:rPr>
      <w:rFonts w:ascii="Times New Roman Bold" w:hAnsi="Times New Roman Bold"/>
      <w:b/>
      <w:caps/>
      <w:snapToGrid w:val="0"/>
      <w:kern w:val="28"/>
      <w:sz w:val="22"/>
    </w:rPr>
  </w:style>
  <w:style w:type="character" w:customStyle="1" w:styleId="Heading2Char">
    <w:name w:val="Heading 2 Char"/>
    <w:link w:val="Heading2"/>
    <w:rsid w:val="001F5957"/>
    <w:rPr>
      <w:b/>
      <w:snapToGrid w:val="0"/>
      <w:kern w:val="28"/>
      <w:sz w:val="22"/>
    </w:rPr>
  </w:style>
  <w:style w:type="character" w:customStyle="1" w:styleId="Heading3Char">
    <w:name w:val="Heading 3 Char"/>
    <w:link w:val="Heading3"/>
    <w:rsid w:val="002A2E9D"/>
    <w:rPr>
      <w:b/>
      <w:snapToGrid w:val="0"/>
      <w:kern w:val="28"/>
      <w:sz w:val="22"/>
    </w:rPr>
  </w:style>
  <w:style w:type="character" w:customStyle="1" w:styleId="Heading4Char">
    <w:name w:val="Heading 4 Char"/>
    <w:link w:val="Heading4"/>
    <w:rsid w:val="002A2E9D"/>
    <w:rPr>
      <w:b/>
      <w:snapToGrid w:val="0"/>
      <w:kern w:val="28"/>
      <w:sz w:val="22"/>
    </w:rPr>
  </w:style>
  <w:style w:type="character" w:customStyle="1" w:styleId="Heading5Char">
    <w:name w:val="Heading 5 Char"/>
    <w:link w:val="Heading5"/>
    <w:rsid w:val="002A2E9D"/>
    <w:rPr>
      <w:b/>
      <w:snapToGrid w:val="0"/>
      <w:kern w:val="28"/>
      <w:sz w:val="22"/>
    </w:rPr>
  </w:style>
  <w:style w:type="character" w:customStyle="1" w:styleId="Heading6Char">
    <w:name w:val="Heading 6 Char"/>
    <w:link w:val="Heading6"/>
    <w:rsid w:val="002A2E9D"/>
    <w:rPr>
      <w:b/>
      <w:snapToGrid w:val="0"/>
      <w:kern w:val="28"/>
      <w:sz w:val="22"/>
    </w:rPr>
  </w:style>
  <w:style w:type="character" w:customStyle="1" w:styleId="Heading7Char">
    <w:name w:val="Heading 7 Char"/>
    <w:link w:val="Heading7"/>
    <w:rsid w:val="002A2E9D"/>
    <w:rPr>
      <w:b/>
      <w:snapToGrid w:val="0"/>
      <w:kern w:val="28"/>
      <w:sz w:val="22"/>
    </w:rPr>
  </w:style>
  <w:style w:type="character" w:customStyle="1" w:styleId="Heading8Char">
    <w:name w:val="Heading 8 Char"/>
    <w:link w:val="Heading8"/>
    <w:rsid w:val="002A2E9D"/>
    <w:rPr>
      <w:b/>
      <w:snapToGrid w:val="0"/>
      <w:kern w:val="28"/>
      <w:sz w:val="22"/>
    </w:rPr>
  </w:style>
  <w:style w:type="character" w:customStyle="1" w:styleId="Heading9Char">
    <w:name w:val="Heading 9 Char"/>
    <w:link w:val="Heading9"/>
    <w:rsid w:val="002A2E9D"/>
    <w:rPr>
      <w:b/>
      <w:snapToGrid w:val="0"/>
      <w:kern w:val="28"/>
      <w:sz w:val="22"/>
    </w:rPr>
  </w:style>
  <w:style w:type="character" w:styleId="Hyperlink">
    <w:name w:val="Hyperlink"/>
    <w:rsid w:val="002A2E9D"/>
    <w:rPr>
      <w:color w:val="0000FF"/>
      <w:u w:val="single"/>
    </w:rPr>
  </w:style>
  <w:style w:type="paragraph" w:styleId="DocumentMap">
    <w:name w:val="Document Map"/>
    <w:basedOn w:val="Normal"/>
    <w:link w:val="DocumentMapChar"/>
    <w:semiHidden/>
    <w:rsid w:val="002A2E9D"/>
    <w:pPr>
      <w:shd w:val="clear" w:color="auto" w:fill="000080"/>
    </w:pPr>
    <w:rPr>
      <w:rFonts w:ascii="Tahoma" w:hAnsi="Tahoma" w:cs="Tahoma"/>
    </w:rPr>
  </w:style>
  <w:style w:type="character" w:customStyle="1" w:styleId="DocumentMapChar">
    <w:name w:val="Document Map Char"/>
    <w:link w:val="DocumentMap"/>
    <w:semiHidden/>
    <w:rsid w:val="002A2E9D"/>
    <w:rPr>
      <w:rFonts w:ascii="Tahoma" w:hAnsi="Tahoma" w:cs="Tahoma"/>
      <w:shd w:val="clear" w:color="auto" w:fill="000080"/>
    </w:rPr>
  </w:style>
  <w:style w:type="paragraph" w:styleId="BalloonText">
    <w:name w:val="Balloon Text"/>
    <w:basedOn w:val="Normal"/>
    <w:link w:val="BalloonTextChar"/>
    <w:semiHidden/>
    <w:rsid w:val="002A2E9D"/>
    <w:rPr>
      <w:rFonts w:ascii="Tahoma" w:hAnsi="Tahoma" w:cs="Tahoma"/>
      <w:sz w:val="16"/>
      <w:szCs w:val="16"/>
    </w:rPr>
  </w:style>
  <w:style w:type="character" w:customStyle="1" w:styleId="BalloonTextChar">
    <w:name w:val="Balloon Text Char"/>
    <w:link w:val="BalloonText"/>
    <w:semiHidden/>
    <w:rsid w:val="002A2E9D"/>
    <w:rPr>
      <w:rFonts w:ascii="Tahoma" w:hAnsi="Tahoma" w:cs="Tahoma"/>
      <w:sz w:val="16"/>
      <w:szCs w:val="16"/>
    </w:rPr>
  </w:style>
  <w:style w:type="paragraph" w:styleId="FootnoteText">
    <w:name w:val="footnote text"/>
    <w:aliases w:val="Footnote Text Char Char,Footnote Text Char Char Char Char Char,Footnote Text Char Char2,Footnote Text Char1,Footnote Text Char1 Char Char Char Char Char,Footnote Text Char1 Char2 Char Char,Footnote Text Char2,Footnote Text Char2 Char1 Char"/>
    <w:link w:val="FootnoteTextChar"/>
    <w:rsid w:val="002A2E9D"/>
    <w:pPr>
      <w:spacing w:after="120"/>
    </w:pPr>
  </w:style>
  <w:style w:type="character" w:customStyle="1" w:styleId="FootnoteTextChar">
    <w:name w:val="Footnote Text Char"/>
    <w:aliases w:val="Footnote Text Char Char Char,Footnote Text Char Char Char Char Char Char,Footnote Text Char1 Char,Footnote Text Char1 Char Char Char Char Char Char,Footnote Text Char1 Char2 Char Char Char,Footnote Text Char2 Char1 Char Char"/>
    <w:basedOn w:val="DefaultParagraphFont"/>
    <w:link w:val="FootnoteText"/>
    <w:rsid w:val="002A2E9D"/>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2A2E9D"/>
    <w:rPr>
      <w:rFonts w:ascii="Times New Roman" w:hAnsi="Times New Roman"/>
      <w:dstrike w:val="0"/>
      <w:color w:val="auto"/>
      <w:sz w:val="20"/>
      <w:vertAlign w:val="superscript"/>
    </w:rPr>
  </w:style>
  <w:style w:type="character" w:customStyle="1" w:styleId="FooterChar">
    <w:name w:val="Footer Char"/>
    <w:link w:val="Footer"/>
    <w:uiPriority w:val="99"/>
    <w:rsid w:val="002A2E9D"/>
  </w:style>
  <w:style w:type="paragraph" w:customStyle="1" w:styleId="ParaNum">
    <w:name w:val="ParaNum"/>
    <w:basedOn w:val="Normal"/>
    <w:link w:val="ParaNumChar"/>
    <w:rsid w:val="002A2E9D"/>
    <w:pPr>
      <w:widowControl w:val="0"/>
      <w:numPr>
        <w:numId w:val="1"/>
      </w:numPr>
      <w:tabs>
        <w:tab w:val="left" w:pos="1440"/>
      </w:tabs>
      <w:spacing w:after="220"/>
      <w:jc w:val="both"/>
    </w:pPr>
    <w:rPr>
      <w:sz w:val="22"/>
    </w:rPr>
  </w:style>
  <w:style w:type="character" w:styleId="CommentReference">
    <w:name w:val="annotation reference"/>
    <w:rsid w:val="002A2E9D"/>
    <w:rPr>
      <w:sz w:val="16"/>
      <w:szCs w:val="16"/>
    </w:rPr>
  </w:style>
  <w:style w:type="paragraph" w:styleId="CommentText">
    <w:name w:val="annotation text"/>
    <w:basedOn w:val="Normal"/>
    <w:link w:val="CommentTextChar"/>
    <w:rsid w:val="002A2E9D"/>
  </w:style>
  <w:style w:type="character" w:customStyle="1" w:styleId="CommentTextChar">
    <w:name w:val="Comment Text Char"/>
    <w:basedOn w:val="DefaultParagraphFont"/>
    <w:link w:val="CommentText"/>
    <w:rsid w:val="002A2E9D"/>
  </w:style>
  <w:style w:type="paragraph" w:styleId="CommentSubject">
    <w:name w:val="annotation subject"/>
    <w:basedOn w:val="CommentText"/>
    <w:next w:val="CommentText"/>
    <w:link w:val="CommentSubjectChar"/>
    <w:rsid w:val="002A2E9D"/>
    <w:rPr>
      <w:b/>
      <w:bCs/>
    </w:rPr>
  </w:style>
  <w:style w:type="character" w:customStyle="1" w:styleId="CommentSubjectChar">
    <w:name w:val="Comment Subject Char"/>
    <w:link w:val="CommentSubject"/>
    <w:rsid w:val="002A2E9D"/>
    <w:rPr>
      <w:b/>
      <w:bCs/>
    </w:rPr>
  </w:style>
  <w:style w:type="character" w:customStyle="1" w:styleId="ParaNumChar">
    <w:name w:val="ParaNum Char"/>
    <w:link w:val="ParaNum"/>
    <w:rsid w:val="002A2E9D"/>
    <w:rPr>
      <w:sz w:val="22"/>
    </w:rPr>
  </w:style>
  <w:style w:type="table" w:styleId="TableGrid">
    <w:name w:val="Table Grid"/>
    <w:basedOn w:val="TableNormal"/>
    <w:rsid w:val="002A2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E9D"/>
  </w:style>
  <w:style w:type="character" w:styleId="UnresolvedMention">
    <w:name w:val="Unresolved Mention"/>
    <w:uiPriority w:val="99"/>
    <w:semiHidden/>
    <w:unhideWhenUsed/>
    <w:rsid w:val="002A2E9D"/>
    <w:rPr>
      <w:color w:val="605E5C"/>
      <w:shd w:val="clear" w:color="auto" w:fill="E1DFDD"/>
    </w:rPr>
  </w:style>
  <w:style w:type="character" w:styleId="FollowedHyperlink">
    <w:name w:val="FollowedHyperlink"/>
    <w:rsid w:val="002A2E9D"/>
    <w:rPr>
      <w:color w:val="954F72"/>
      <w:u w:val="single"/>
    </w:rPr>
  </w:style>
  <w:style w:type="character" w:customStyle="1" w:styleId="HeaderChar">
    <w:name w:val="Header Char"/>
    <w:basedOn w:val="DefaultParagraphFont"/>
    <w:link w:val="Header"/>
    <w:uiPriority w:val="99"/>
    <w:rsid w:val="00C6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document/1062103966980/1" TargetMode="External" /><Relationship Id="rId11" Type="http://schemas.openxmlformats.org/officeDocument/2006/relationships/hyperlink" Target="https://www.fcc.gov/ecfs/document/108110953106667/1" TargetMode="External" /><Relationship Id="rId12" Type="http://schemas.openxmlformats.org/officeDocument/2006/relationships/hyperlink" Target="https://www.fcc.gov/ecfs/document/105262299604945/1" TargetMode="External" /><Relationship Id="rId13" Type="http://schemas.openxmlformats.org/officeDocument/2006/relationships/hyperlink" Target="https://appsint.fcc.gov/UlsEntry/attachments/attachmentViewRD.jsp?applType=search&amp;fileKey=714169856&amp;attachmentKey=21435297&amp;attachmentInd=applAttach" TargetMode="External" /><Relationship Id="rId14" Type="http://schemas.openxmlformats.org/officeDocument/2006/relationships/hyperlink" Target="https://appsint.fcc.gov/UlsEntry/attachments/attachmentViewRD.jsp?applType=search&amp;fileKey=297487047&amp;attachmentKey=21812495&amp;attachmentInd=licAttach" TargetMode="External" /><Relationship Id="rId15" Type="http://schemas.openxmlformats.org/officeDocument/2006/relationships/hyperlink" Target="https://www.fcc.gov/ecfs/document/10502076210156/1" TargetMode="External" /><Relationship Id="rId16" Type="http://schemas.openxmlformats.org/officeDocument/2006/relationships/hyperlink" Target="https://appsint.fcc.gov/UlsEntry/attachments/attachmentViewRD.jsp?applType=search&amp;fileKey=976238320&amp;attachmentKey=21813201&amp;attachmentInd=licAttach" TargetMode="External" /><Relationship Id="rId17" Type="http://schemas.openxmlformats.org/officeDocument/2006/relationships/hyperlink" Target="https://www.fcc.gov/ecfs/document/1072434251874/1" TargetMode="External" /><Relationship Id="rId18" Type="http://schemas.openxmlformats.org/officeDocument/2006/relationships/hyperlink" Target="https://www.fcc.gov/ecfs/document/10809303491650/1" TargetMode="External" /><Relationship Id="rId19" Type="http://schemas.openxmlformats.org/officeDocument/2006/relationships/hyperlink" Target="https://www.fcc.gov/ecfs/document/1117245967388/1" TargetMode="External" /><Relationship Id="rId2" Type="http://schemas.openxmlformats.org/officeDocument/2006/relationships/settings" Target="settings.xml" /><Relationship Id="rId20" Type="http://schemas.openxmlformats.org/officeDocument/2006/relationships/hyperlink" Target="https://appsint.fcc.gov/UlsEntry/attachments/attachmentViewRD.jsp?applType=search&amp;fileKey=1211423084&amp;attachmentKey=21771245&amp;attachmentInd=applAttach" TargetMode="External" /><Relationship Id="rId21" Type="http://schemas.openxmlformats.org/officeDocument/2006/relationships/hyperlink" Target="https://www.fcc.gov/ecfs/document/10610079723182/1" TargetMode="External" /><Relationship Id="rId22" Type="http://schemas.openxmlformats.org/officeDocument/2006/relationships/hyperlink" Target="https://www.fcc.gov/ecfs/document/1050914811190/1" TargetMode="External" /><Relationship Id="rId23" Type="http://schemas.openxmlformats.org/officeDocument/2006/relationships/hyperlink" Target="https://www.fcc.gov/ecfs/document/10916210582277/1" TargetMode="External" /><Relationship Id="rId24" Type="http://schemas.openxmlformats.org/officeDocument/2006/relationships/hyperlink" Target="https://appsint.fcc.gov/UlsEntry/attachments/attachmentViewRD.jsp?applType=search&amp;fileKey=133605612&amp;attachmentKey=21812564&amp;attachmentInd=licAttach" TargetMode="External" /><Relationship Id="rId25" Type="http://schemas.openxmlformats.org/officeDocument/2006/relationships/hyperlink" Target="https://www.fcc.gov/ecfs/document/1072828277753/1" TargetMode="External" /><Relationship Id="rId26" Type="http://schemas.openxmlformats.org/officeDocument/2006/relationships/hyperlink" Target="https://www.fcc.gov/ecfs/document/10712881930604/1" TargetMode="External" /><Relationship Id="rId27" Type="http://schemas.openxmlformats.org/officeDocument/2006/relationships/hyperlink" Target="https://appsint.fcc.gov/UlsEntry/attachments/attachmentViewRD.jsp?applType=search&amp;fileKey=845830779&amp;attachmentKey=21560863&amp;attachmentInd=applAttach" TargetMode="External" /><Relationship Id="rId28" Type="http://schemas.openxmlformats.org/officeDocument/2006/relationships/hyperlink" Target="https://appsint.fcc.gov/UlsEntry/attachments/attachmentViewRD.jsp?applType=search&amp;fileKey=1871643475&amp;attachmentKey=21812552&amp;attachmentInd=licAttach" TargetMode="External" /><Relationship Id="rId29" Type="http://schemas.openxmlformats.org/officeDocument/2006/relationships/hyperlink" Target="https://www.fcc.gov/ecfs/document/120716430785/1" TargetMode="External" /><Relationship Id="rId3" Type="http://schemas.openxmlformats.org/officeDocument/2006/relationships/webSettings" Target="webSettings.xml" /><Relationship Id="rId30" Type="http://schemas.openxmlformats.org/officeDocument/2006/relationships/hyperlink" Target="https://www.fcc.gov/ecfs/document/1072170179938/1" TargetMode="External" /><Relationship Id="rId31" Type="http://schemas.openxmlformats.org/officeDocument/2006/relationships/hyperlink" Target="https://www.fcc.gov/ecfs/document/10711003238745/1" TargetMode="External" /><Relationship Id="rId32" Type="http://schemas.openxmlformats.org/officeDocument/2006/relationships/hyperlink" Target="https://www.fcc.gov/ecfs/document/10811671504488/1" TargetMode="External" /><Relationship Id="rId33" Type="http://schemas.openxmlformats.org/officeDocument/2006/relationships/hyperlink" Target="https://www.fcc.gov/ecfs/document/10508192020309/1" TargetMode="External" /><Relationship Id="rId34" Type="http://schemas.openxmlformats.org/officeDocument/2006/relationships/hyperlink" Target="https://www.fcc.gov/ecfs/document/10303120813893/1" TargetMode="External" /><Relationship Id="rId35" Type="http://schemas.openxmlformats.org/officeDocument/2006/relationships/hyperlink" Target="https://www.fcc.gov/ecfs/document/10706146789200/1" TargetMode="External" /><Relationship Id="rId36" Type="http://schemas.openxmlformats.org/officeDocument/2006/relationships/hyperlink" Target="https://www.fcc.gov/ecfs/document/105191820505104/1" TargetMode="External" /><Relationship Id="rId37" Type="http://schemas.openxmlformats.org/officeDocument/2006/relationships/hyperlink" Target="https://www.fcc.gov/ecfs/document/10531172879674/1" TargetMode="External" /><Relationship Id="rId38" Type="http://schemas.openxmlformats.org/officeDocument/2006/relationships/header" Target="header1.xml" /><Relationship Id="rId39" Type="http://schemas.openxmlformats.org/officeDocument/2006/relationships/header" Target="header2.xml" /><Relationship Id="rId4" Type="http://schemas.openxmlformats.org/officeDocument/2006/relationships/fontTable" Target="fontTable.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hyperlink" Target="https://www.fcc.gov/ecfs/document/1082991850401/1" TargetMode="External" /><Relationship Id="rId6" Type="http://schemas.openxmlformats.org/officeDocument/2006/relationships/hyperlink" Target="https://appsint.fcc.gov/UlsEntry/attachments/attachmentViewRD.jsp?applType=search&amp;fileKey=807040696&amp;attachmentKey=21812488&amp;attachmentInd=licAttach" TargetMode="External" /><Relationship Id="rId7" Type="http://schemas.openxmlformats.org/officeDocument/2006/relationships/hyperlink" Target="https://appsint.fcc.gov/UlsApp/ApplicationSearch/applAdmin.jsp?applID=13292042" TargetMode="External" /><Relationship Id="rId8" Type="http://schemas.openxmlformats.org/officeDocument/2006/relationships/hyperlink" Target="https://www.fcc.gov/ecfs/document/107251951813037/1" TargetMode="External" /><Relationship Id="rId9" Type="http://schemas.openxmlformats.org/officeDocument/2006/relationships/hyperlink" Target="https://appsint.fcc.gov/UlsEntry/attachments/attachmentViewRD.jsp?applType=search&amp;fileKey=1222633222&amp;attachmentKey=21298307&amp;attachmentInd=applAttach"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e/download/DOC-5f6d7d2ef3400000-A.pdf?file_name=C-V2X%20Waiver%20Request%2012%2013%202021.pdf" TargetMode="External" /><Relationship Id="rId2" Type="http://schemas.openxmlformats.org/officeDocument/2006/relationships/hyperlink" Target="https://www.fcc.gov/ecfs/document/104201266008794/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