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E2BF1" w14:paraId="4C44C116" w14:textId="0589BA77">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WHAT YOU OWE – COMMERCIAL WIRELESS SERVICES FOR F</w:t>
      </w:r>
      <w:r w:rsidR="008903F9">
        <w:rPr>
          <w:rFonts w:ascii="Times New Roman" w:hAnsi="Times New Roman"/>
          <w:b/>
          <w:spacing w:val="-2"/>
          <w:sz w:val="24"/>
          <w:szCs w:val="24"/>
        </w:rPr>
        <w:t xml:space="preserve">ISCAL </w:t>
      </w:r>
      <w:r>
        <w:rPr>
          <w:rFonts w:ascii="Times New Roman" w:hAnsi="Times New Roman"/>
          <w:b/>
          <w:spacing w:val="-2"/>
          <w:sz w:val="24"/>
          <w:szCs w:val="24"/>
        </w:rPr>
        <w:t>Y</w:t>
      </w:r>
      <w:r w:rsidR="008903F9">
        <w:rPr>
          <w:rFonts w:ascii="Times New Roman" w:hAnsi="Times New Roman"/>
          <w:b/>
          <w:spacing w:val="-2"/>
          <w:sz w:val="24"/>
          <w:szCs w:val="24"/>
        </w:rPr>
        <w:t>EAR (FY)</w:t>
      </w:r>
      <w:r>
        <w:rPr>
          <w:rFonts w:ascii="Times New Roman" w:hAnsi="Times New Roman"/>
          <w:b/>
          <w:spacing w:val="-2"/>
          <w:sz w:val="24"/>
          <w:szCs w:val="24"/>
        </w:rPr>
        <w:t xml:space="preserve"> 20</w:t>
      </w:r>
      <w:r w:rsidR="007B201B">
        <w:rPr>
          <w:rFonts w:ascii="Times New Roman" w:hAnsi="Times New Roman"/>
          <w:b/>
          <w:spacing w:val="-2"/>
          <w:sz w:val="24"/>
          <w:szCs w:val="24"/>
        </w:rPr>
        <w:t>2</w:t>
      </w:r>
      <w:r w:rsidR="00ED6AC3">
        <w:rPr>
          <w:rFonts w:ascii="Times New Roman" w:hAnsi="Times New Roman"/>
          <w:b/>
          <w:spacing w:val="-2"/>
          <w:sz w:val="24"/>
          <w:szCs w:val="24"/>
        </w:rPr>
        <w:t>3</w:t>
      </w:r>
    </w:p>
    <w:p w:rsidR="008311F2" w14:paraId="55EC4DE6" w14:textId="24F9066F">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REGULATORY FEES</w:t>
      </w:r>
    </w:p>
    <w:p w:rsidR="002E2BF1" w14:paraId="04B041DC" w14:textId="77777777">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19541E" w:rsidP="002E2BF1" w14:paraId="0FA63BB0" w14:textId="2524A85D">
      <w:pPr>
        <w:shd w:val="clear" w:color="auto" w:fill="FFFFFF"/>
        <w:rPr>
          <w:sz w:val="22"/>
          <w:szCs w:val="22"/>
        </w:rPr>
      </w:pPr>
      <w:r w:rsidRPr="00277D91">
        <w:rPr>
          <w:sz w:val="22"/>
          <w:szCs w:val="22"/>
        </w:rPr>
        <w:t xml:space="preserve">On </w:t>
      </w:r>
      <w:r>
        <w:rPr>
          <w:sz w:val="22"/>
          <w:szCs w:val="22"/>
        </w:rPr>
        <w:t>August</w:t>
      </w:r>
      <w:r w:rsidRPr="00277D91">
        <w:rPr>
          <w:sz w:val="22"/>
          <w:szCs w:val="22"/>
        </w:rPr>
        <w:t xml:space="preserve"> </w:t>
      </w:r>
      <w:r>
        <w:rPr>
          <w:sz w:val="22"/>
          <w:szCs w:val="22"/>
        </w:rPr>
        <w:t>10</w:t>
      </w:r>
      <w:r w:rsidRPr="00277D91">
        <w:rPr>
          <w:sz w:val="22"/>
          <w:szCs w:val="22"/>
        </w:rPr>
        <w:t>, 202</w:t>
      </w:r>
      <w:r>
        <w:rPr>
          <w:sz w:val="22"/>
          <w:szCs w:val="22"/>
        </w:rPr>
        <w:t>3</w:t>
      </w:r>
      <w:r w:rsidRPr="00277D91">
        <w:rPr>
          <w:sz w:val="22"/>
          <w:szCs w:val="22"/>
        </w:rPr>
        <w:t>, the Federal Communications Commission (Commission</w:t>
      </w:r>
      <w:r>
        <w:rPr>
          <w:sz w:val="22"/>
          <w:szCs w:val="22"/>
        </w:rPr>
        <w:t xml:space="preserve"> or FCC</w:t>
      </w:r>
      <w:r w:rsidRPr="00277D91">
        <w:rPr>
          <w:sz w:val="22"/>
          <w:szCs w:val="22"/>
        </w:rPr>
        <w:t xml:space="preserve">) released </w:t>
      </w:r>
      <w:r w:rsidRPr="00277D91">
        <w:rPr>
          <w:i/>
          <w:sz w:val="22"/>
          <w:szCs w:val="22"/>
        </w:rPr>
        <w:t>Assessment and Collection of Regulatory Fees for Fiscal Year</w:t>
      </w:r>
      <w:r>
        <w:rPr>
          <w:i/>
          <w:sz w:val="22"/>
          <w:szCs w:val="22"/>
        </w:rPr>
        <w:t xml:space="preserve"> </w:t>
      </w:r>
      <w:r w:rsidRPr="00277D91">
        <w:rPr>
          <w:i/>
          <w:sz w:val="22"/>
          <w:szCs w:val="22"/>
        </w:rPr>
        <w:t>202</w:t>
      </w:r>
      <w:r>
        <w:rPr>
          <w:i/>
          <w:sz w:val="22"/>
          <w:szCs w:val="22"/>
        </w:rPr>
        <w:t>3; Review of the Commission's Assessment and Collection of Regulatory Fees</w:t>
      </w:r>
      <w:r w:rsidRPr="00277D91">
        <w:rPr>
          <w:sz w:val="22"/>
          <w:szCs w:val="22"/>
        </w:rPr>
        <w:t>, Report and Order, FCC 2</w:t>
      </w:r>
      <w:r>
        <w:rPr>
          <w:sz w:val="22"/>
          <w:szCs w:val="22"/>
        </w:rPr>
        <w:t>3</w:t>
      </w:r>
      <w:r w:rsidRPr="00277D91">
        <w:rPr>
          <w:sz w:val="22"/>
          <w:szCs w:val="22"/>
        </w:rPr>
        <w:t>-</w:t>
      </w:r>
      <w:r>
        <w:rPr>
          <w:sz w:val="22"/>
          <w:szCs w:val="22"/>
        </w:rPr>
        <w:t>66</w:t>
      </w:r>
      <w:r w:rsidRPr="00277D91">
        <w:rPr>
          <w:sz w:val="22"/>
          <w:szCs w:val="22"/>
        </w:rPr>
        <w:t xml:space="preserve"> (</w:t>
      </w:r>
      <w:r w:rsidRPr="00277D91">
        <w:rPr>
          <w:i/>
          <w:sz w:val="22"/>
          <w:szCs w:val="22"/>
        </w:rPr>
        <w:t>FY 202</w:t>
      </w:r>
      <w:r>
        <w:rPr>
          <w:i/>
          <w:sz w:val="22"/>
          <w:szCs w:val="22"/>
        </w:rPr>
        <w:t>3</w:t>
      </w:r>
      <w:r w:rsidRPr="00277D91">
        <w:rPr>
          <w:i/>
          <w:sz w:val="22"/>
          <w:szCs w:val="22"/>
        </w:rPr>
        <w:t xml:space="preserve"> Regulatory Fees Report and Order</w:t>
      </w:r>
      <w:r w:rsidRPr="00277D91">
        <w:rPr>
          <w:sz w:val="22"/>
          <w:szCs w:val="22"/>
        </w:rPr>
        <w:t xml:space="preserve">).  This document is available for viewing at </w:t>
      </w:r>
      <w:hyperlink r:id="rId5" w:history="1">
        <w:r w:rsidRPr="00277D91">
          <w:rPr>
            <w:rStyle w:val="Hyperlink"/>
            <w:sz w:val="22"/>
            <w:szCs w:val="22"/>
          </w:rPr>
          <w:t>http://www.fcc.gov/regfees</w:t>
        </w:r>
      </w:hyperlink>
      <w:r w:rsidRPr="00277D91">
        <w:rPr>
          <w:sz w:val="22"/>
          <w:szCs w:val="22"/>
        </w:rPr>
        <w:t xml:space="preserve">.  </w:t>
      </w:r>
      <w:r w:rsidRPr="00277D91">
        <w:rPr>
          <w:b/>
          <w:sz w:val="22"/>
          <w:szCs w:val="22"/>
        </w:rPr>
        <w:t xml:space="preserve">Regulatory fee payments </w:t>
      </w:r>
      <w:r w:rsidRPr="00CB1B0E">
        <w:rPr>
          <w:b/>
          <w:sz w:val="22"/>
          <w:szCs w:val="22"/>
          <w:u w:val="single"/>
        </w:rPr>
        <w:t>must be received</w:t>
      </w:r>
      <w:r w:rsidRPr="00277D91">
        <w:rPr>
          <w:b/>
          <w:sz w:val="22"/>
          <w:szCs w:val="22"/>
        </w:rPr>
        <w:t xml:space="preserve"> by the Commission no later than 11:59 PM, Eastern Daylight Time, on September 2</w:t>
      </w:r>
      <w:r>
        <w:rPr>
          <w:b/>
          <w:sz w:val="22"/>
          <w:szCs w:val="22"/>
        </w:rPr>
        <w:t>0</w:t>
      </w:r>
      <w:r w:rsidRPr="00277D91">
        <w:rPr>
          <w:b/>
          <w:sz w:val="22"/>
          <w:szCs w:val="22"/>
        </w:rPr>
        <w:t>, 202</w:t>
      </w:r>
      <w:r>
        <w:rPr>
          <w:b/>
          <w:sz w:val="22"/>
          <w:szCs w:val="22"/>
        </w:rPr>
        <w:t>3</w:t>
      </w:r>
      <w:r w:rsidRPr="00277D91">
        <w:rPr>
          <w:b/>
          <w:sz w:val="22"/>
          <w:szCs w:val="22"/>
        </w:rPr>
        <w:t>.</w:t>
      </w:r>
      <w:r>
        <w:rPr>
          <w:rStyle w:val="FootnoteReference"/>
          <w:bCs/>
          <w:sz w:val="22"/>
          <w:szCs w:val="22"/>
        </w:rPr>
        <w:footnoteReference w:id="3"/>
      </w:r>
      <w:r w:rsidRPr="00277D91">
        <w:rPr>
          <w:b/>
          <w:sz w:val="22"/>
          <w:szCs w:val="22"/>
        </w:rPr>
        <w:t xml:space="preserve">  </w:t>
      </w:r>
      <w:r w:rsidRPr="00277D91">
        <w:rPr>
          <w:sz w:val="22"/>
          <w:szCs w:val="22"/>
        </w:rPr>
        <w:t>While FY 202</w:t>
      </w:r>
      <w:r>
        <w:rPr>
          <w:sz w:val="22"/>
          <w:szCs w:val="22"/>
        </w:rPr>
        <w:t>3</w:t>
      </w:r>
      <w:r w:rsidRPr="00277D91">
        <w:rPr>
          <w:sz w:val="22"/>
          <w:szCs w:val="22"/>
        </w:rPr>
        <w:t xml:space="preserve"> regulatory fees will not become effective until the rulemaking is published in the Federal Register, regulatees, at their own discretion, may submit payments at any time before the FY 202</w:t>
      </w:r>
      <w:r>
        <w:rPr>
          <w:sz w:val="22"/>
          <w:szCs w:val="22"/>
        </w:rPr>
        <w:t>3</w:t>
      </w:r>
      <w:r w:rsidRPr="00277D91">
        <w:rPr>
          <w:sz w:val="22"/>
          <w:szCs w:val="22"/>
        </w:rPr>
        <w:t xml:space="preserve"> regulatory fees due date.</w:t>
      </w:r>
    </w:p>
    <w:p w:rsidR="00ED6AC3" w:rsidP="002E2BF1" w14:paraId="407AFDB1" w14:textId="77777777">
      <w:pPr>
        <w:shd w:val="clear" w:color="auto" w:fill="FFFFFF"/>
        <w:rPr>
          <w:sz w:val="22"/>
          <w:szCs w:val="22"/>
        </w:rPr>
      </w:pPr>
    </w:p>
    <w:p w:rsidR="00A45005" w:rsidP="002E2BF1" w14:paraId="37FEDC67" w14:textId="3008BB50">
      <w:pPr>
        <w:shd w:val="clear" w:color="auto" w:fill="FFFFFF"/>
        <w:rPr>
          <w:sz w:val="22"/>
          <w:szCs w:val="22"/>
        </w:rPr>
      </w:pPr>
      <w:r>
        <w:rPr>
          <w:sz w:val="22"/>
          <w:szCs w:val="22"/>
        </w:rPr>
        <w:t>T</w:t>
      </w:r>
      <w:r w:rsidRPr="00277D91">
        <w:rPr>
          <w:sz w:val="22"/>
          <w:szCs w:val="22"/>
        </w:rPr>
        <w:t xml:space="preserve">he Commission </w:t>
      </w:r>
      <w:r>
        <w:rPr>
          <w:sz w:val="22"/>
          <w:szCs w:val="22"/>
        </w:rPr>
        <w:t xml:space="preserve">has </w:t>
      </w:r>
      <w:r w:rsidRPr="00277D91">
        <w:rPr>
          <w:sz w:val="22"/>
          <w:szCs w:val="22"/>
        </w:rPr>
        <w:t xml:space="preserve">discontinued the use of the Fee Filer system and incorporated this </w:t>
      </w:r>
      <w:r>
        <w:rPr>
          <w:sz w:val="22"/>
          <w:szCs w:val="22"/>
        </w:rPr>
        <w:t xml:space="preserve">payment </w:t>
      </w:r>
      <w:r w:rsidRPr="00277D91">
        <w:rPr>
          <w:sz w:val="22"/>
          <w:szCs w:val="22"/>
        </w:rPr>
        <w:t xml:space="preserve">system into </w:t>
      </w:r>
      <w:r>
        <w:rPr>
          <w:sz w:val="22"/>
          <w:szCs w:val="22"/>
        </w:rPr>
        <w:t xml:space="preserve">the </w:t>
      </w:r>
      <w:r w:rsidRPr="000A7D0B">
        <w:rPr>
          <w:sz w:val="22"/>
          <w:szCs w:val="22"/>
        </w:rPr>
        <w:t>Commission</w:t>
      </w:r>
      <w:r>
        <w:rPr>
          <w:sz w:val="22"/>
          <w:szCs w:val="22"/>
        </w:rPr>
        <w:t xml:space="preserve"> Registration System (</w:t>
      </w:r>
      <w:r w:rsidRPr="00277D91">
        <w:rPr>
          <w:sz w:val="22"/>
          <w:szCs w:val="22"/>
        </w:rPr>
        <w:t>CORES</w:t>
      </w:r>
      <w:r>
        <w:rPr>
          <w:sz w:val="22"/>
          <w:szCs w:val="22"/>
        </w:rPr>
        <w:t>)</w:t>
      </w:r>
      <w:r w:rsidRPr="00277D91">
        <w:rPr>
          <w:sz w:val="22"/>
          <w:szCs w:val="22"/>
        </w:rPr>
        <w:t>.</w:t>
      </w:r>
      <w:r>
        <w:rPr>
          <w:sz w:val="22"/>
          <w:szCs w:val="22"/>
        </w:rPr>
        <w:t xml:space="preserve">  </w:t>
      </w:r>
      <w:r w:rsidRPr="001F5AA4">
        <w:rPr>
          <w:color w:val="1D2B3E"/>
          <w:sz w:val="22"/>
          <w:szCs w:val="22"/>
        </w:rPr>
        <w:t>To use CORES, you need to be registered with the FCC at </w:t>
      </w:r>
      <w:hyperlink r:id="rId6" w:history="1">
        <w:r w:rsidRPr="001F5AA4">
          <w:rPr>
            <w:rStyle w:val="Hyperlink"/>
            <w:sz w:val="22"/>
            <w:szCs w:val="22"/>
          </w:rPr>
          <w:t>https://apps2.fcc.gov/fccUserReg/pages/login.htm</w:t>
        </w:r>
      </w:hyperlink>
      <w:r w:rsidRPr="001F5AA4">
        <w:rPr>
          <w:color w:val="1D2B3E"/>
          <w:sz w:val="22"/>
          <w:szCs w:val="22"/>
        </w:rPr>
        <w:t>.  Once your FCC username is registered and verified, you can access CORES and select the option to associate your existing FRN to that username, if you have not already done so.</w:t>
      </w:r>
      <w:r>
        <w:rPr>
          <w:color w:val="1D2B3E"/>
          <w:sz w:val="22"/>
          <w:szCs w:val="22"/>
        </w:rPr>
        <w:t xml:space="preserve">  </w:t>
      </w:r>
      <w:r w:rsidRPr="00277D91">
        <w:rPr>
          <w:sz w:val="22"/>
          <w:szCs w:val="22"/>
        </w:rPr>
        <w:t>To make a FY 202</w:t>
      </w:r>
      <w:r>
        <w:rPr>
          <w:sz w:val="22"/>
          <w:szCs w:val="22"/>
        </w:rPr>
        <w:t>3</w:t>
      </w:r>
      <w:r w:rsidRPr="00277D91">
        <w:rPr>
          <w:sz w:val="22"/>
          <w:szCs w:val="22"/>
        </w:rPr>
        <w:t xml:space="preserve"> regulatory fee payment, login to the following website using your </w:t>
      </w:r>
      <w:r>
        <w:rPr>
          <w:sz w:val="22"/>
          <w:szCs w:val="22"/>
        </w:rPr>
        <w:t>u</w:t>
      </w:r>
      <w:r w:rsidRPr="00277D91">
        <w:rPr>
          <w:sz w:val="22"/>
          <w:szCs w:val="22"/>
        </w:rPr>
        <w:t xml:space="preserve">sername and </w:t>
      </w:r>
      <w:r>
        <w:rPr>
          <w:sz w:val="22"/>
          <w:szCs w:val="22"/>
        </w:rPr>
        <w:t>p</w:t>
      </w:r>
      <w:r w:rsidRPr="00277D91">
        <w:rPr>
          <w:sz w:val="22"/>
          <w:szCs w:val="22"/>
        </w:rPr>
        <w:t xml:space="preserve">assword: </w:t>
      </w:r>
      <w:hyperlink r:id="rId7" w:history="1">
        <w:r w:rsidRPr="00277D91">
          <w:rPr>
            <w:rStyle w:val="Hyperlink"/>
            <w:sz w:val="22"/>
            <w:szCs w:val="22"/>
          </w:rPr>
          <w:t>https://apps.fcc.gov/cores/userLogin.do</w:t>
        </w:r>
      </w:hyperlink>
      <w:r w:rsidRPr="00277D91">
        <w:rPr>
          <w:sz w:val="22"/>
          <w:szCs w:val="22"/>
        </w:rPr>
        <w:t>.</w:t>
      </w:r>
    </w:p>
    <w:p w:rsidR="00ED6AC3" w:rsidP="002E2BF1" w14:paraId="3A266364" w14:textId="77777777">
      <w:pPr>
        <w:shd w:val="clear" w:color="auto" w:fill="FFFFFF"/>
        <w:rPr>
          <w:rFonts w:ascii="Times New Roman" w:hAnsi="Times New Roman"/>
          <w:sz w:val="22"/>
          <w:szCs w:val="22"/>
        </w:rPr>
      </w:pPr>
    </w:p>
    <w:p w:rsidR="00A45005" w:rsidRPr="001F6CA3" w:rsidP="002E2BF1" w14:paraId="68868FFE" w14:textId="25F9B963">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w:t>
      </w:r>
      <w:r w:rsidR="00ED6AC3">
        <w:rPr>
          <w:rFonts w:ascii="Times New Roman" w:hAnsi="Times New Roman"/>
          <w:i/>
          <w:sz w:val="22"/>
          <w:szCs w:val="22"/>
        </w:rPr>
        <w:t>3</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w:t>
      </w:r>
      <w:r w:rsidR="00ED6AC3">
        <w:rPr>
          <w:rFonts w:ascii="Times New Roman" w:hAnsi="Times New Roman"/>
          <w:i/>
          <w:iCs/>
          <w:sz w:val="22"/>
          <w:szCs w:val="22"/>
        </w:rPr>
        <w:t>3</w:t>
      </w:r>
      <w:r w:rsidRPr="003A17B3">
        <w:rPr>
          <w:rFonts w:ascii="Times New Roman" w:hAnsi="Times New Roman"/>
          <w:i/>
          <w:iCs/>
          <w:sz w:val="22"/>
          <w:szCs w:val="22"/>
        </w:rPr>
        <w:t xml:space="preserve">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Pr>
          <w:rStyle w:val="Hyperlink"/>
          <w:rFonts w:ascii="Times New Roman" w:hAnsi="Times New Roman"/>
          <w:sz w:val="22"/>
          <w:szCs w:val="22"/>
        </w:rPr>
        <w:t>.</w:t>
      </w:r>
    </w:p>
    <w:p w:rsidR="002E2BF1" w:rsidRPr="001F6CA3" w:rsidP="002E2BF1" w14:paraId="7A32DA69" w14:textId="77777777">
      <w:pPr>
        <w:shd w:val="clear" w:color="auto" w:fill="FFFFFF"/>
        <w:rPr>
          <w:rFonts w:ascii="Times New Roman" w:hAnsi="Times New Roman"/>
          <w:sz w:val="22"/>
          <w:szCs w:val="22"/>
        </w:rPr>
      </w:pPr>
    </w:p>
    <w:p w:rsidR="002E2BF1" w:rsidRPr="001F6CA3" w14:paraId="0BF1DD0B" w14:textId="6E6D49CB">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053B11">
        <w:rPr>
          <w:rFonts w:ascii="Times New Roman" w:hAnsi="Times New Roman"/>
          <w:iCs/>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license</w:t>
      </w:r>
      <w:r w:rsidR="00E83210">
        <w:rPr>
          <w:rFonts w:ascii="Times New Roman" w:hAnsi="Times New Roman"/>
          <w:sz w:val="22"/>
          <w:szCs w:val="22"/>
        </w:rPr>
        <w:t>e</w:t>
      </w:r>
      <w:r w:rsidRPr="001F6CA3">
        <w:rPr>
          <w:rFonts w:ascii="Times New Roman" w:hAnsi="Times New Roman"/>
          <w:sz w:val="22"/>
          <w:szCs w:val="22"/>
        </w:rPr>
        <w:t xml:space="preserve">s </w:t>
      </w:r>
      <w:r w:rsidR="00CF396B">
        <w:rPr>
          <w:rFonts w:ascii="Times New Roman" w:hAnsi="Times New Roman"/>
          <w:sz w:val="22"/>
          <w:szCs w:val="22"/>
        </w:rPr>
        <w:t>that are</w:t>
      </w:r>
      <w:r w:rsidRPr="001F6CA3">
        <w:rPr>
          <w:rFonts w:ascii="Times New Roman" w:hAnsi="Times New Roman"/>
          <w:sz w:val="22"/>
          <w:szCs w:val="22"/>
        </w:rPr>
        <w:t xml:space="preserve"> Commercial Mobile Radio Service (CMRS)</w:t>
      </w:r>
      <w:r w:rsidR="002A6618">
        <w:rPr>
          <w:rFonts w:ascii="Times New Roman" w:hAnsi="Times New Roman"/>
          <w:sz w:val="22"/>
          <w:szCs w:val="22"/>
        </w:rPr>
        <w:t xml:space="preserve"> providers</w:t>
      </w:r>
      <w:r w:rsidRPr="001F6CA3">
        <w:rPr>
          <w:rFonts w:ascii="Times New Roman" w:hAnsi="Times New Roman"/>
          <w:sz w:val="22"/>
          <w:szCs w:val="22"/>
        </w:rPr>
        <w:t>, Broadband Radio Service (BRS) (formerly known as multipoint distribution service (MDS) and multichannel multipoint distribution service (MMDS))</w:t>
      </w:r>
      <w:r w:rsidR="00220783">
        <w:rPr>
          <w:rFonts w:ascii="Times New Roman" w:hAnsi="Times New Roman"/>
          <w:sz w:val="22"/>
          <w:szCs w:val="22"/>
        </w:rPr>
        <w:t xml:space="preserve"> providers</w:t>
      </w:r>
      <w:r w:rsidRPr="001F6CA3">
        <w:rPr>
          <w:rFonts w:ascii="Times New Roman" w:hAnsi="Times New Roman"/>
          <w:sz w:val="22"/>
          <w:szCs w:val="22"/>
        </w:rPr>
        <w:t>, and local multipoint distribution service (LMDS)</w:t>
      </w:r>
      <w:r w:rsidR="00220783">
        <w:rPr>
          <w:rFonts w:ascii="Times New Roman" w:hAnsi="Times New Roman"/>
          <w:sz w:val="22"/>
          <w:szCs w:val="22"/>
        </w:rPr>
        <w:t xml:space="preserve"> providers</w:t>
      </w:r>
      <w:r w:rsidRPr="001F6CA3">
        <w:rPr>
          <w:rFonts w:ascii="Times New Roman" w:hAnsi="Times New Roman"/>
          <w:sz w:val="22"/>
          <w:szCs w:val="22"/>
        </w:rPr>
        <w:t xml:space="preserve">.    </w:t>
      </w:r>
    </w:p>
    <w:p w:rsidR="002E2BF1" w:rsidRPr="001F6CA3" w14:paraId="58B99BE1" w14:textId="77777777">
      <w:pPr>
        <w:widowControl/>
        <w:autoSpaceDE w:val="0"/>
        <w:autoSpaceDN w:val="0"/>
        <w:adjustRightInd w:val="0"/>
        <w:rPr>
          <w:rFonts w:ascii="Times New Roman" w:hAnsi="Times New Roman"/>
          <w:spacing w:val="-3"/>
          <w:sz w:val="22"/>
          <w:szCs w:val="22"/>
        </w:rPr>
      </w:pPr>
    </w:p>
    <w:p w:rsidR="002E2BF1" w14:paraId="639DD902" w14:textId="61B4C7AA">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CMRS licensees include: specialized mobile radio services (Part 90); public coast stations (Part 80); public mobile radio, cellular, 800 MHz air-ground radiotelephone, and offshore radio services (Part 22); PCS broadband services (Part 24)</w:t>
      </w:r>
      <w:r w:rsidR="00212EDA">
        <w:rPr>
          <w:rFonts w:ascii="Times New Roman" w:hAnsi="Times New Roman"/>
          <w:spacing w:val="-3"/>
          <w:sz w:val="22"/>
          <w:szCs w:val="22"/>
        </w:rPr>
        <w:t>, and</w:t>
      </w:r>
      <w:r w:rsidR="008C2E9A">
        <w:rPr>
          <w:rFonts w:ascii="Times New Roman" w:hAnsi="Times New Roman"/>
          <w:spacing w:val="-3"/>
          <w:sz w:val="22"/>
          <w:szCs w:val="22"/>
        </w:rPr>
        <w:t xml:space="preserve"> licensees under Part 27 meeting the </w:t>
      </w:r>
      <w:r w:rsidR="003F6723">
        <w:rPr>
          <w:rFonts w:ascii="Times New Roman" w:hAnsi="Times New Roman"/>
          <w:spacing w:val="-3"/>
          <w:sz w:val="22"/>
          <w:szCs w:val="22"/>
        </w:rPr>
        <w:t xml:space="preserve">CMRS </w:t>
      </w:r>
      <w:r w:rsidR="008C2E9A">
        <w:rPr>
          <w:rFonts w:ascii="Times New Roman" w:hAnsi="Times New Roman"/>
          <w:spacing w:val="-3"/>
          <w:sz w:val="22"/>
          <w:szCs w:val="22"/>
        </w:rPr>
        <w:t>definition in Section 20.3</w:t>
      </w:r>
      <w:r w:rsidRPr="001F6CA3">
        <w:rPr>
          <w:rFonts w:ascii="Times New Roman" w:hAnsi="Times New Roman"/>
          <w:spacing w:val="-3"/>
          <w:sz w:val="22"/>
          <w:szCs w:val="22"/>
        </w:rPr>
        <w:t>.  The CMRS messaging services category includes all one-way (Parts 22 and 90), two-way paging, qualifying interconnected business radio services, 220-222 MHz land mobile systems (Part 90), PCS narrowband services (Part 24) (e.g.</w:t>
      </w:r>
      <w:r w:rsidR="004D2630">
        <w:rPr>
          <w:rFonts w:ascii="Times New Roman" w:hAnsi="Times New Roman"/>
          <w:spacing w:val="-3"/>
          <w:sz w:val="22"/>
          <w:szCs w:val="22"/>
        </w:rPr>
        <w:t>,</w:t>
      </w:r>
      <w:r w:rsidRPr="001F6CA3">
        <w:rPr>
          <w:rFonts w:ascii="Times New Roman" w:hAnsi="Times New Roman"/>
          <w:spacing w:val="-3"/>
          <w:sz w:val="22"/>
          <w:szCs w:val="22"/>
        </w:rPr>
        <w:t xml:space="preserve">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14:paraId="399B0C80" w14:textId="77777777">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C26FB5" w14:paraId="508A5800" w14:textId="77777777">
      <w:pPr>
        <w:widowControl/>
        <w:rPr>
          <w:rFonts w:ascii="Times New Roman" w:hAnsi="Times New Roman"/>
          <w:b/>
          <w:spacing w:val="-3"/>
          <w:sz w:val="22"/>
          <w:szCs w:val="22"/>
        </w:rPr>
      </w:pPr>
      <w:r>
        <w:rPr>
          <w:rFonts w:ascii="Times New Roman" w:hAnsi="Times New Roman"/>
          <w:b/>
          <w:spacing w:val="-3"/>
          <w:sz w:val="22"/>
          <w:szCs w:val="22"/>
        </w:rPr>
        <w:br w:type="page"/>
      </w:r>
    </w:p>
    <w:p w:rsidR="002E2BF1" w:rsidRPr="001F6CA3" w14:paraId="0C3B5E20" w14:textId="39A6D6C7">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14:paraId="5C969A03"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B53F2E" w14:paraId="540E8443" w14:textId="4ED074CA">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licensees.  CMRS providers owe regulatory fees for each license held as of </w:t>
      </w:r>
      <w:r w:rsidRPr="001F6CA3">
        <w:rPr>
          <w:rFonts w:ascii="Times New Roman" w:hAnsi="Times New Roman"/>
          <w:b/>
          <w:bCs/>
          <w:sz w:val="22"/>
          <w:szCs w:val="22"/>
        </w:rPr>
        <w:t>October 1, 20</w:t>
      </w:r>
      <w:r w:rsidR="00A45005">
        <w:rPr>
          <w:rFonts w:ascii="Times New Roman" w:hAnsi="Times New Roman"/>
          <w:b/>
          <w:bCs/>
          <w:sz w:val="22"/>
          <w:szCs w:val="22"/>
        </w:rPr>
        <w:t>2</w:t>
      </w:r>
      <w:r w:rsidR="00ED6AC3">
        <w:rPr>
          <w:rFonts w:ascii="Times New Roman" w:hAnsi="Times New Roman"/>
          <w:b/>
          <w:bCs/>
          <w:sz w:val="22"/>
          <w:szCs w:val="22"/>
        </w:rPr>
        <w:t>2</w:t>
      </w:r>
      <w:r w:rsidRPr="001F6CA3">
        <w:rPr>
          <w:rFonts w:ascii="Times New Roman" w:hAnsi="Times New Roman"/>
          <w:sz w:val="22"/>
          <w:szCs w:val="22"/>
        </w:rPr>
        <w:t xml:space="preserve">, </w:t>
      </w:r>
      <w:r w:rsidRPr="00D6076D">
        <w:rPr>
          <w:rFonts w:ascii="Times New Roman" w:hAnsi="Times New Roman"/>
          <w:b/>
          <w:sz w:val="22"/>
          <w:szCs w:val="22"/>
        </w:rPr>
        <w:t>even if a license expired after October 1, 20</w:t>
      </w:r>
      <w:r w:rsidRPr="00D6076D" w:rsidR="00A45005">
        <w:rPr>
          <w:rFonts w:ascii="Times New Roman" w:hAnsi="Times New Roman"/>
          <w:b/>
          <w:sz w:val="22"/>
          <w:szCs w:val="22"/>
        </w:rPr>
        <w:t>2</w:t>
      </w:r>
      <w:r w:rsidR="00ED6AC3">
        <w:rPr>
          <w:rFonts w:ascii="Times New Roman" w:hAnsi="Times New Roman"/>
          <w:b/>
          <w:sz w:val="22"/>
          <w:szCs w:val="22"/>
        </w:rPr>
        <w:t>2</w:t>
      </w:r>
      <w:r w:rsidRPr="00D6076D">
        <w:rPr>
          <w:rFonts w:ascii="Times New Roman" w:hAnsi="Times New Roman"/>
          <w:b/>
          <w:sz w:val="22"/>
          <w:szCs w:val="22"/>
        </w:rPr>
        <w:t xml:space="preserve">.  </w:t>
      </w:r>
      <w:r w:rsidRPr="001F6CA3">
        <w:rPr>
          <w:rFonts w:ascii="Times New Roman" w:hAnsi="Times New Roman"/>
          <w:sz w:val="22"/>
          <w:szCs w:val="22"/>
        </w:rPr>
        <w:t>In instances where a license or authorization is transferred or assigned after October 1, 20</w:t>
      </w:r>
      <w:r w:rsidR="00A45005">
        <w:rPr>
          <w:rFonts w:ascii="Times New Roman" w:hAnsi="Times New Roman"/>
          <w:sz w:val="22"/>
          <w:szCs w:val="22"/>
        </w:rPr>
        <w:t>2</w:t>
      </w:r>
      <w:r w:rsidR="00ED6AC3">
        <w:rPr>
          <w:rFonts w:ascii="Times New Roman" w:hAnsi="Times New Roman"/>
          <w:sz w:val="22"/>
          <w:szCs w:val="22"/>
        </w:rPr>
        <w:t>2</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14:paraId="189F3B43" w14:textId="60B327E6">
      <w:pPr>
        <w:widowControl/>
        <w:autoSpaceDE w:val="0"/>
        <w:autoSpaceDN w:val="0"/>
        <w:adjustRightInd w:val="0"/>
        <w:rPr>
          <w:rFonts w:ascii="Times New Roman" w:hAnsi="Times New Roman"/>
          <w:sz w:val="22"/>
          <w:szCs w:val="22"/>
        </w:rPr>
      </w:pPr>
      <w:r w:rsidRPr="001F6CA3">
        <w:rPr>
          <w:rFonts w:ascii="Times New Roman" w:hAnsi="Times New Roman"/>
          <w:sz w:val="22"/>
          <w:szCs w:val="22"/>
        </w:rPr>
        <w:t xml:space="preserve"> </w:t>
      </w:r>
    </w:p>
    <w:p w:rsidR="002E2BF1" w14:paraId="3A6A6719" w14:textId="368A075F">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counts, as stated in the table below.</w:t>
      </w:r>
      <w:r w:rsidR="00A45005">
        <w:rPr>
          <w:rFonts w:ascii="Times New Roman" w:hAnsi="Times New Roman"/>
          <w:sz w:val="22"/>
          <w:szCs w:val="22"/>
        </w:rPr>
        <w:t xml:space="preserve">  This includes non-geographic telephone numbers</w:t>
      </w:r>
      <w:r w:rsidR="00F70485">
        <w:rPr>
          <w:rFonts w:ascii="Times New Roman" w:hAnsi="Times New Roman"/>
          <w:sz w:val="22"/>
          <w:szCs w:val="22"/>
        </w:rPr>
        <w:t>.</w:t>
      </w:r>
      <w:r w:rsidRPr="001F6CA3">
        <w:rPr>
          <w:rFonts w:ascii="Times New Roman" w:hAnsi="Times New Roman"/>
          <w:sz w:val="22"/>
          <w:szCs w:val="22"/>
        </w:rPr>
        <w:t xml:space="preserve">  </w:t>
      </w:r>
      <w:r w:rsidR="00890A85">
        <w:rPr>
          <w:rFonts w:ascii="Times New Roman" w:hAnsi="Times New Roman"/>
          <w:sz w:val="22"/>
          <w:szCs w:val="22"/>
        </w:rPr>
        <w:t xml:space="preserve">CMRS providers that filed the </w:t>
      </w:r>
      <w:r w:rsidR="00EF1AE7">
        <w:rPr>
          <w:rFonts w:ascii="Times New Roman" w:hAnsi="Times New Roman"/>
          <w:sz w:val="22"/>
          <w:szCs w:val="22"/>
        </w:rPr>
        <w:t>Numbering Resource Utilization Forecast</w:t>
      </w:r>
      <w:r w:rsidR="008903F9">
        <w:rPr>
          <w:rFonts w:ascii="Times New Roman" w:hAnsi="Times New Roman"/>
          <w:sz w:val="22"/>
          <w:szCs w:val="22"/>
        </w:rPr>
        <w:t xml:space="preserve"> (NRUF</w:t>
      </w:r>
      <w:r w:rsidR="00EF1AE7">
        <w:rPr>
          <w:rFonts w:ascii="Times New Roman" w:hAnsi="Times New Roman"/>
          <w:sz w:val="22"/>
          <w:szCs w:val="22"/>
        </w:rPr>
        <w:t xml:space="preserve">) report on </w:t>
      </w:r>
      <w:r w:rsidR="007928FE">
        <w:rPr>
          <w:rFonts w:ascii="Times New Roman" w:hAnsi="Times New Roman"/>
          <w:sz w:val="22"/>
          <w:szCs w:val="22"/>
        </w:rPr>
        <w:t xml:space="preserve">the FCC </w:t>
      </w:r>
      <w:r w:rsidR="00EF1AE7">
        <w:rPr>
          <w:rFonts w:ascii="Times New Roman" w:hAnsi="Times New Roman"/>
          <w:sz w:val="22"/>
          <w:szCs w:val="22"/>
        </w:rPr>
        <w:t xml:space="preserve">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If 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w:t>
      </w:r>
      <w:r w:rsidR="007928FE">
        <w:rPr>
          <w:rFonts w:ascii="Times New Roman" w:hAnsi="Times New Roman"/>
          <w:sz w:val="22"/>
          <w:szCs w:val="22"/>
        </w:rPr>
        <w:t>Commission</w:t>
      </w:r>
      <w:r w:rsidR="00EF1AE7">
        <w:rPr>
          <w:rFonts w:ascii="Times New Roman" w:hAnsi="Times New Roman"/>
          <w:sz w:val="22"/>
          <w:szCs w:val="22"/>
        </w:rPr>
        <w:t>, the</w:t>
      </w:r>
      <w:r w:rsidR="00263F1E">
        <w:rPr>
          <w:rFonts w:ascii="Times New Roman" w:hAnsi="Times New Roman"/>
          <w:sz w:val="22"/>
          <w:szCs w:val="22"/>
        </w:rPr>
        <w:t xml:space="preserve">y should appear in </w:t>
      </w:r>
      <w:r w:rsidR="008903F9">
        <w:rPr>
          <w:rFonts w:ascii="Times New Roman" w:hAnsi="Times New Roman"/>
          <w:sz w:val="22"/>
          <w:szCs w:val="22"/>
        </w:rPr>
        <w:t xml:space="preserve">CORES </w:t>
      </w:r>
      <w:r w:rsidR="00263F1E">
        <w:rPr>
          <w:rFonts w:ascii="Times New Roman" w:hAnsi="Times New Roman"/>
          <w:sz w:val="22"/>
          <w:szCs w:val="22"/>
        </w:rPr>
        <w:t xml:space="preserve">as the CMRS count to be used for the payment of </w:t>
      </w:r>
      <w:r w:rsidR="00740480">
        <w:rPr>
          <w:rFonts w:ascii="Times New Roman" w:hAnsi="Times New Roman"/>
          <w:sz w:val="22"/>
          <w:szCs w:val="22"/>
        </w:rPr>
        <w:t>FY 20</w:t>
      </w:r>
      <w:r w:rsidR="007B201B">
        <w:rPr>
          <w:rFonts w:ascii="Times New Roman" w:hAnsi="Times New Roman"/>
          <w:sz w:val="22"/>
          <w:szCs w:val="22"/>
        </w:rPr>
        <w:t>2</w:t>
      </w:r>
      <w:r w:rsidR="00ED6AC3">
        <w:rPr>
          <w:rFonts w:ascii="Times New Roman" w:hAnsi="Times New Roman"/>
          <w:sz w:val="22"/>
          <w:szCs w:val="22"/>
        </w:rPr>
        <w:t>3</w:t>
      </w:r>
      <w:r w:rsidR="00740480">
        <w:rPr>
          <w:rFonts w:ascii="Times New Roman" w:hAnsi="Times New Roman"/>
          <w:sz w:val="22"/>
          <w:szCs w:val="22"/>
        </w:rPr>
        <w:t xml:space="preserve"> </w:t>
      </w:r>
      <w:r w:rsidR="00263F1E">
        <w:rPr>
          <w:rFonts w:ascii="Times New Roman" w:hAnsi="Times New Roman"/>
          <w:sz w:val="22"/>
          <w:szCs w:val="22"/>
        </w:rPr>
        <w:t xml:space="preserve">CMRS regulatory fees.  All other CMRS providers that did not file the NRUF report should report their subscriber count or telephone number units as of </w:t>
      </w:r>
      <w:r w:rsidRPr="00D6076D" w:rsidR="00263F1E">
        <w:rPr>
          <w:rFonts w:ascii="Times New Roman" w:hAnsi="Times New Roman"/>
          <w:b/>
          <w:sz w:val="22"/>
          <w:szCs w:val="22"/>
        </w:rPr>
        <w:t>December 31, 20</w:t>
      </w:r>
      <w:r w:rsidRPr="00D6076D" w:rsidR="00F70485">
        <w:rPr>
          <w:rFonts w:ascii="Times New Roman" w:hAnsi="Times New Roman"/>
          <w:b/>
          <w:sz w:val="22"/>
          <w:szCs w:val="22"/>
        </w:rPr>
        <w:t>2</w:t>
      </w:r>
      <w:r w:rsidR="00B07D92">
        <w:rPr>
          <w:rFonts w:ascii="Times New Roman" w:hAnsi="Times New Roman"/>
          <w:b/>
          <w:sz w:val="22"/>
          <w:szCs w:val="22"/>
        </w:rPr>
        <w:t>2</w:t>
      </w:r>
      <w:r w:rsidR="00740480">
        <w:rPr>
          <w:rFonts w:ascii="Times New Roman" w:hAnsi="Times New Roman"/>
          <w:sz w:val="22"/>
          <w:szCs w:val="22"/>
        </w:rPr>
        <w:t xml:space="preserve"> for the payment of FY 20</w:t>
      </w:r>
      <w:r w:rsidR="00F95385">
        <w:rPr>
          <w:rFonts w:ascii="Times New Roman" w:hAnsi="Times New Roman"/>
          <w:sz w:val="22"/>
          <w:szCs w:val="22"/>
        </w:rPr>
        <w:t>2</w:t>
      </w:r>
      <w:r w:rsidR="00ED6AC3">
        <w:rPr>
          <w:rFonts w:ascii="Times New Roman" w:hAnsi="Times New Roman"/>
          <w:sz w:val="22"/>
          <w:szCs w:val="22"/>
        </w:rPr>
        <w:t>3</w:t>
      </w:r>
      <w:r w:rsidR="00740480">
        <w:rPr>
          <w:rFonts w:ascii="Times New Roman" w:hAnsi="Times New Roman"/>
          <w:sz w:val="22"/>
          <w:szCs w:val="22"/>
        </w:rPr>
        <w:t xml:space="preserve">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w:t>
      </w:r>
      <w:r w:rsidR="00F70485">
        <w:rPr>
          <w:rFonts w:ascii="Times New Roman" w:hAnsi="Times New Roman"/>
          <w:b/>
          <w:bCs/>
          <w:sz w:val="22"/>
          <w:szCs w:val="22"/>
        </w:rPr>
        <w:t>2</w:t>
      </w:r>
      <w:r w:rsidR="00B07D92">
        <w:rPr>
          <w:rFonts w:ascii="Times New Roman" w:hAnsi="Times New Roman"/>
          <w:b/>
          <w:bCs/>
          <w:sz w:val="22"/>
          <w:szCs w:val="22"/>
        </w:rPr>
        <w:t>2</w:t>
      </w:r>
      <w:r w:rsidRPr="001F6CA3">
        <w:rPr>
          <w:rFonts w:ascii="Times New Roman" w:hAnsi="Times New Roman"/>
          <w:sz w:val="22"/>
          <w:szCs w:val="22"/>
        </w:rPr>
        <w:t xml:space="preserve"> for </w:t>
      </w:r>
      <w:r w:rsidR="00740480">
        <w:rPr>
          <w:rFonts w:ascii="Times New Roman" w:hAnsi="Times New Roman"/>
          <w:sz w:val="22"/>
          <w:szCs w:val="22"/>
        </w:rPr>
        <w:t>the payment of FY 20</w:t>
      </w:r>
      <w:r w:rsidR="00F95385">
        <w:rPr>
          <w:rFonts w:ascii="Times New Roman" w:hAnsi="Times New Roman"/>
          <w:sz w:val="22"/>
          <w:szCs w:val="22"/>
        </w:rPr>
        <w:t>2</w:t>
      </w:r>
      <w:r w:rsidR="00ED6AC3">
        <w:rPr>
          <w:rFonts w:ascii="Times New Roman" w:hAnsi="Times New Roman"/>
          <w:sz w:val="22"/>
          <w:szCs w:val="22"/>
        </w:rPr>
        <w:t>3</w:t>
      </w:r>
      <w:r w:rsidR="00740480">
        <w:rPr>
          <w:rFonts w:ascii="Times New Roman" w:hAnsi="Times New Roman"/>
          <w:sz w:val="22"/>
          <w:szCs w:val="22"/>
        </w:rPr>
        <w:t xml:space="preserve"> regulatory fees.</w:t>
      </w:r>
    </w:p>
    <w:p w:rsidR="00D23B8D" w14:paraId="0CAA9792" w14:textId="77777777">
      <w:pPr>
        <w:tabs>
          <w:tab w:val="left" w:pos="-720"/>
        </w:tabs>
        <w:suppressAutoHyphens/>
        <w:rPr>
          <w:rFonts w:ascii="Times New Roman" w:hAnsi="Times New Roman"/>
          <w:sz w:val="22"/>
          <w:szCs w:val="22"/>
        </w:rPr>
      </w:pPr>
    </w:p>
    <w:p w:rsidR="00D23B8D" w:rsidRPr="001F6CA3" w14:paraId="269DBAE9" w14:textId="60C7B6FF">
      <w:pPr>
        <w:tabs>
          <w:tab w:val="left" w:pos="-720"/>
        </w:tabs>
        <w:suppressAutoHyphens/>
        <w:rPr>
          <w:rFonts w:ascii="Times New Roman" w:hAnsi="Times New Roman"/>
          <w:sz w:val="22"/>
          <w:szCs w:val="22"/>
        </w:rPr>
      </w:pPr>
      <w:r>
        <w:rPr>
          <w:rFonts w:ascii="Times New Roman" w:hAnsi="Times New Roman"/>
          <w:b/>
          <w:bCs/>
          <w:sz w:val="22"/>
          <w:szCs w:val="22"/>
        </w:rPr>
        <w:t>Subscriber Count Revision</w:t>
      </w:r>
      <w:r w:rsidR="00F831D8">
        <w:rPr>
          <w:rFonts w:ascii="Times New Roman" w:hAnsi="Times New Roman"/>
          <w:b/>
          <w:bCs/>
          <w:sz w:val="22"/>
          <w:szCs w:val="22"/>
        </w:rPr>
        <w:t>s</w:t>
      </w:r>
      <w:r>
        <w:rPr>
          <w:rFonts w:ascii="Times New Roman" w:hAnsi="Times New Roman"/>
          <w:b/>
          <w:bCs/>
          <w:sz w:val="22"/>
          <w:szCs w:val="22"/>
        </w:rPr>
        <w:t xml:space="preserve">: </w:t>
      </w:r>
      <w:r>
        <w:rPr>
          <w:rFonts w:ascii="Times New Roman" w:hAnsi="Times New Roman"/>
          <w:sz w:val="22"/>
          <w:szCs w:val="22"/>
        </w:rPr>
        <w:t xml:space="preserve"> In FY 2023, cell phone providers that file a </w:t>
      </w:r>
      <w:r w:rsidRPr="001F23CB">
        <w:rPr>
          <w:i/>
          <w:sz w:val="22"/>
          <w:szCs w:val="22"/>
        </w:rPr>
        <w:t>Numbering Resource Utilization Forecast</w:t>
      </w:r>
      <w:r>
        <w:rPr>
          <w:sz w:val="22"/>
          <w:szCs w:val="22"/>
        </w:rPr>
        <w:t xml:space="preserve"> (NRUF) report </w:t>
      </w:r>
      <w:r>
        <w:rPr>
          <w:rFonts w:ascii="Times New Roman" w:hAnsi="Times New Roman"/>
          <w:sz w:val="22"/>
          <w:szCs w:val="22"/>
        </w:rPr>
        <w:t xml:space="preserve">will have an opportunity to </w:t>
      </w:r>
      <w:r w:rsidRPr="00F831D8">
        <w:rPr>
          <w:rFonts w:ascii="Times New Roman" w:hAnsi="Times New Roman"/>
          <w:b/>
          <w:bCs/>
          <w:sz w:val="22"/>
          <w:szCs w:val="22"/>
        </w:rPr>
        <w:t>revise their subscriber count</w:t>
      </w:r>
      <w:r>
        <w:rPr>
          <w:rFonts w:ascii="Times New Roman" w:hAnsi="Times New Roman"/>
          <w:sz w:val="22"/>
          <w:szCs w:val="22"/>
        </w:rPr>
        <w:t xml:space="preserve"> when CORES is available for payment by sending an e-mail to</w:t>
      </w:r>
      <w:r w:rsidR="00F831D8">
        <w:rPr>
          <w:rFonts w:ascii="Times New Roman" w:hAnsi="Times New Roman"/>
          <w:sz w:val="22"/>
          <w:szCs w:val="22"/>
        </w:rPr>
        <w:t xml:space="preserve"> the Commission at</w:t>
      </w:r>
      <w:r>
        <w:rPr>
          <w:rFonts w:ascii="Times New Roman" w:hAnsi="Times New Roman"/>
          <w:sz w:val="22"/>
          <w:szCs w:val="22"/>
        </w:rPr>
        <w:t xml:space="preserve"> </w:t>
      </w:r>
      <w:hyperlink r:id="rId8" w:history="1">
        <w:r w:rsidRPr="00D237F6">
          <w:rPr>
            <w:rStyle w:val="Hyperlink"/>
            <w:rFonts w:ascii="Times New Roman" w:hAnsi="Times New Roman"/>
            <w:sz w:val="22"/>
            <w:szCs w:val="22"/>
          </w:rPr>
          <w:t>Roland.Helvajian@fcc.gov</w:t>
        </w:r>
      </w:hyperlink>
      <w:r>
        <w:rPr>
          <w:rFonts w:ascii="Times New Roman" w:hAnsi="Times New Roman"/>
          <w:sz w:val="22"/>
          <w:szCs w:val="22"/>
        </w:rPr>
        <w:t xml:space="preserve">.  </w:t>
      </w:r>
      <w:r w:rsidRPr="00F831D8">
        <w:rPr>
          <w:rFonts w:ascii="Times New Roman" w:hAnsi="Times New Roman"/>
          <w:b/>
          <w:bCs/>
          <w:sz w:val="22"/>
          <w:szCs w:val="22"/>
        </w:rPr>
        <w:t>You must obtain approval from the Commission on the revised subscriber count before a payment can be made on the revised fee amount.</w:t>
      </w:r>
      <w:r>
        <w:rPr>
          <w:rFonts w:ascii="Times New Roman" w:hAnsi="Times New Roman"/>
          <w:sz w:val="22"/>
          <w:szCs w:val="22"/>
        </w:rPr>
        <w:t xml:space="preserve">  After you receive an approval, the Commission will update CORES to reflect the revised subscriber count and fee amount.  Revised subscriber counts will be accepted through </w:t>
      </w:r>
      <w:r w:rsidRPr="00D23B8D">
        <w:rPr>
          <w:rFonts w:ascii="Times New Roman" w:hAnsi="Times New Roman"/>
          <w:b/>
          <w:bCs/>
          <w:sz w:val="22"/>
          <w:szCs w:val="22"/>
          <w:u w:val="single"/>
        </w:rPr>
        <w:t>September 15, 2023</w:t>
      </w:r>
      <w:r>
        <w:rPr>
          <w:rFonts w:ascii="Times New Roman" w:hAnsi="Times New Roman"/>
          <w:sz w:val="22"/>
          <w:szCs w:val="22"/>
        </w:rPr>
        <w:t xml:space="preserve">. </w:t>
      </w:r>
    </w:p>
    <w:p w:rsidR="002E2BF1" w:rsidRPr="001F6CA3" w14:paraId="1F020C51"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14:paraId="2C9F37EC" w14:textId="2F916D9F">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w:t>
      </w:r>
      <w:r w:rsidR="007928FE">
        <w:rPr>
          <w:rFonts w:ascii="Times New Roman" w:hAnsi="Times New Roman"/>
          <w:spacing w:val="-2"/>
          <w:sz w:val="22"/>
          <w:szCs w:val="22"/>
        </w:rPr>
        <w:t xml:space="preserve">§ </w:t>
      </w:r>
      <w:r w:rsidRPr="001F6CA3">
        <w:rPr>
          <w:rFonts w:ascii="Times New Roman" w:hAnsi="Times New Roman"/>
          <w:spacing w:val="-2"/>
          <w:sz w:val="22"/>
          <w:szCs w:val="22"/>
        </w:rPr>
        <w:t xml:space="preserve">1.1157(d), </w:t>
      </w:r>
      <w:r w:rsidRPr="001F6CA3">
        <w:rPr>
          <w:rFonts w:ascii="Times New Roman" w:hAnsi="Times New Roman"/>
          <w:sz w:val="22"/>
          <w:szCs w:val="22"/>
        </w:rPr>
        <w:t>CMRS providers must retain the business records that were used to calculate their fee payment for a period of two</w:t>
      </w:r>
      <w:r w:rsidR="008903F9">
        <w:rPr>
          <w:rFonts w:ascii="Times New Roman" w:hAnsi="Times New Roman"/>
          <w:sz w:val="22"/>
          <w:szCs w:val="22"/>
        </w:rPr>
        <w:t xml:space="preserve"> </w:t>
      </w:r>
      <w:r w:rsidRPr="001F6CA3">
        <w:rPr>
          <w:rFonts w:ascii="Times New Roman" w:hAnsi="Times New Roman"/>
          <w:sz w:val="22"/>
          <w:szCs w:val="22"/>
        </w:rPr>
        <w:t xml:space="preserve">years from the date of regulatory fee payment. </w:t>
      </w:r>
    </w:p>
    <w:p w:rsidR="002E2BF1" w:rsidRPr="001F6CA3" w14:paraId="733130EC" w14:textId="77777777">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tblPr>
      <w:tblGrid>
        <w:gridCol w:w="5310"/>
        <w:gridCol w:w="2880"/>
        <w:gridCol w:w="1440"/>
      </w:tblGrid>
      <w:tr w14:paraId="48E53B97" w14:textId="77777777">
        <w:tblPrEx>
          <w:tblW w:w="9630" w:type="dxa"/>
          <w:tblInd w:w="210" w:type="dxa"/>
          <w:tblLayout w:type="fixed"/>
          <w:tblCellMar>
            <w:left w:w="120" w:type="dxa"/>
            <w:right w:w="120" w:type="dxa"/>
          </w:tblCellMar>
          <w:tblLook w:val="0000"/>
        </w:tblPrEx>
        <w:tc>
          <w:tcPr>
            <w:tcW w:w="5310" w:type="dxa"/>
            <w:tcBorders>
              <w:top w:val="double" w:sz="6" w:space="0" w:color="auto"/>
              <w:left w:val="double" w:sz="6" w:space="0" w:color="auto"/>
            </w:tcBorders>
          </w:tcPr>
          <w:p w:rsidR="002E2BF1" w:rsidRPr="001F6CA3" w14:paraId="412EC5EB" w14:textId="77777777">
            <w:pPr>
              <w:tabs>
                <w:tab w:val="left" w:pos="-720"/>
              </w:tabs>
              <w:suppressAutoHyphens/>
              <w:spacing w:before="90" w:after="54"/>
              <w:jc w:val="center"/>
              <w:rPr>
                <w:rFonts w:ascii="Times New Roman" w:hAnsi="Times New Roman"/>
                <w:sz w:val="22"/>
                <w:szCs w:val="22"/>
              </w:rPr>
            </w:pPr>
            <w:r>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14:paraId="3A6BAFB3" w14:textId="77777777">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14:paraId="50402C02"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63D8BBFE"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tcBorders>
          </w:tcPr>
          <w:p w:rsidR="002E2BF1" w:rsidRPr="001F6CA3" w14:paraId="1D2BFB28" w14:textId="23B4738C">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CMRS Cellular Radio (Part 22) and CMRS Mobile Services (Parts 22, 24, 27, 80 and 90)</w:t>
            </w:r>
            <w:r w:rsidR="00F70485">
              <w:rPr>
                <w:rFonts w:ascii="Times New Roman" w:hAnsi="Times New Roman"/>
                <w:sz w:val="22"/>
                <w:szCs w:val="22"/>
              </w:rPr>
              <w:t xml:space="preserve">, including </w:t>
            </w:r>
            <w:r w:rsidRPr="00014942" w:rsidR="00F70485">
              <w:rPr>
                <w:rFonts w:ascii="Times New Roman" w:hAnsi="Times New Roman"/>
                <w:b/>
                <w:bCs/>
                <w:sz w:val="22"/>
                <w:szCs w:val="22"/>
              </w:rPr>
              <w:t>non-geographic telephone numbers</w:t>
            </w:r>
            <w:r w:rsidR="00F70485">
              <w:rPr>
                <w:rFonts w:ascii="Times New Roman" w:hAnsi="Times New Roman"/>
                <w:sz w:val="22"/>
                <w:szCs w:val="22"/>
              </w:rPr>
              <w:t>.</w:t>
            </w:r>
            <w:r w:rsidRPr="001F6CA3">
              <w:rPr>
                <w:rFonts w:ascii="Times New Roman" w:hAnsi="Times New Roman"/>
                <w:sz w:val="22"/>
                <w:szCs w:val="22"/>
              </w:rPr>
              <w:t xml:space="preserve"> </w:t>
            </w:r>
          </w:p>
          <w:p w:rsidR="002E2BF1" w:rsidRPr="001F6CA3" w:rsidP="002E2BF1" w14:paraId="3B4EE534" w14:textId="6D4AD74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Cellular Radio and Mobile Services are to use the same Payment Type Code </w:t>
            </w:r>
            <w:r w:rsidR="00014942">
              <w:rPr>
                <w:rFonts w:ascii="Times New Roman" w:hAnsi="Times New Roman"/>
                <w:sz w:val="22"/>
                <w:szCs w:val="22"/>
              </w:rPr>
              <w:t>2</w:t>
            </w:r>
            <w:r w:rsidR="00ED6AC3">
              <w:rPr>
                <w:rFonts w:ascii="Times New Roman" w:hAnsi="Times New Roman"/>
                <w:sz w:val="22"/>
                <w:szCs w:val="22"/>
              </w:rPr>
              <w:t>3</w:t>
            </w:r>
            <w:r w:rsidRPr="001F6CA3">
              <w:rPr>
                <w:rFonts w:ascii="Times New Roman" w:hAnsi="Times New Roman"/>
                <w:sz w:val="22"/>
                <w:szCs w:val="22"/>
              </w:rPr>
              <w:t>11</w:t>
            </w:r>
            <w:r w:rsidR="00F70485">
              <w:rPr>
                <w:rFonts w:ascii="Times New Roman" w:hAnsi="Times New Roman"/>
                <w:sz w:val="22"/>
                <w:szCs w:val="22"/>
              </w:rPr>
              <w:t xml:space="preserve">, including </w:t>
            </w:r>
            <w:r w:rsidRPr="00014942" w:rsidR="00F70485">
              <w:rPr>
                <w:rFonts w:ascii="Times New Roman" w:hAnsi="Times New Roman"/>
                <w:b/>
                <w:bCs/>
                <w:sz w:val="22"/>
                <w:szCs w:val="22"/>
              </w:rPr>
              <w:t>non-geographic telephone numbers</w:t>
            </w:r>
            <w:r w:rsidRPr="001F6CA3">
              <w:rPr>
                <w:rFonts w:ascii="Times New Roman" w:hAnsi="Times New Roman"/>
                <w:sz w:val="22"/>
                <w:szCs w:val="22"/>
              </w:rPr>
              <w:t xml:space="preserve">.  </w:t>
            </w:r>
          </w:p>
        </w:tc>
        <w:tc>
          <w:tcPr>
            <w:tcW w:w="2880" w:type="dxa"/>
            <w:tcBorders>
              <w:top w:val="single" w:sz="6" w:space="0" w:color="auto"/>
              <w:left w:val="single" w:sz="6" w:space="0" w:color="auto"/>
            </w:tcBorders>
          </w:tcPr>
          <w:p w:rsidR="002E2BF1" w:rsidRPr="001F6CA3" w:rsidP="008E1439" w14:paraId="5CBBD428" w14:textId="4C67D6C2">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424B57">
              <w:rPr>
                <w:rFonts w:ascii="Times New Roman" w:hAnsi="Times New Roman"/>
                <w:sz w:val="22"/>
                <w:szCs w:val="22"/>
              </w:rPr>
              <w:t>1</w:t>
            </w:r>
            <w:r w:rsidR="00ED6AC3">
              <w:rPr>
                <w:rFonts w:ascii="Times New Roman" w:hAnsi="Times New Roman"/>
                <w:sz w:val="22"/>
                <w:szCs w:val="22"/>
              </w:rPr>
              <w:t>6</w:t>
            </w:r>
            <w:r w:rsidRPr="001F6CA3">
              <w:rPr>
                <w:rFonts w:ascii="Times New Roman" w:hAnsi="Times New Roman"/>
                <w:sz w:val="22"/>
                <w:szCs w:val="22"/>
              </w:rPr>
              <w:t xml:space="preserve"> per telephone number/</w:t>
            </w:r>
            <w:r w:rsidR="00424B57">
              <w:rPr>
                <w:rFonts w:ascii="Times New Roman" w:hAnsi="Times New Roman"/>
                <w:sz w:val="22"/>
                <w:szCs w:val="22"/>
              </w:rPr>
              <w:t>subscriber count</w:t>
            </w:r>
          </w:p>
        </w:tc>
        <w:tc>
          <w:tcPr>
            <w:tcW w:w="1440" w:type="dxa"/>
            <w:tcBorders>
              <w:top w:val="single" w:sz="6" w:space="0" w:color="auto"/>
              <w:left w:val="single" w:sz="6" w:space="0" w:color="auto"/>
              <w:right w:val="double" w:sz="6" w:space="0" w:color="auto"/>
            </w:tcBorders>
          </w:tcPr>
          <w:p w:rsidR="002E2BF1" w:rsidRPr="001F6CA3" w:rsidP="008E1439" w14:paraId="2CC6DB53" w14:textId="0364F127">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w:t>
            </w:r>
            <w:r w:rsidR="00ED6AC3">
              <w:rPr>
                <w:rFonts w:ascii="Times New Roman" w:hAnsi="Times New Roman"/>
                <w:sz w:val="22"/>
                <w:szCs w:val="22"/>
              </w:rPr>
              <w:t>3</w:t>
            </w:r>
            <w:r w:rsidRPr="001F6CA3">
              <w:rPr>
                <w:rFonts w:ascii="Times New Roman" w:hAnsi="Times New Roman"/>
                <w:sz w:val="22"/>
                <w:szCs w:val="22"/>
              </w:rPr>
              <w:t>11</w:t>
            </w:r>
          </w:p>
        </w:tc>
      </w:tr>
      <w:tr w14:paraId="4D461457"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bottom w:val="double" w:sz="6" w:space="0" w:color="auto"/>
            </w:tcBorders>
          </w:tcPr>
          <w:p w:rsidR="002E2BF1" w:rsidRPr="001F6CA3" w14:paraId="0CB0EBFF"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14:paraId="7A5A5E9D"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$0.08 per </w:t>
            </w:r>
            <w:r w:rsidR="00424B57">
              <w:rPr>
                <w:rFonts w:ascii="Times New Roman" w:hAnsi="Times New Roman"/>
                <w:sz w:val="22"/>
                <w:szCs w:val="22"/>
              </w:rPr>
              <w:t>subscriber count</w:t>
            </w:r>
          </w:p>
        </w:tc>
        <w:tc>
          <w:tcPr>
            <w:tcW w:w="1440" w:type="dxa"/>
            <w:tcBorders>
              <w:top w:val="single" w:sz="6" w:space="0" w:color="auto"/>
              <w:left w:val="single" w:sz="6" w:space="0" w:color="auto"/>
              <w:bottom w:val="double" w:sz="6" w:space="0" w:color="auto"/>
              <w:right w:val="double" w:sz="6" w:space="0" w:color="auto"/>
            </w:tcBorders>
          </w:tcPr>
          <w:p w:rsidR="002E2BF1" w:rsidRPr="001F6CA3" w:rsidP="008E1439" w14:paraId="77ECAA16" w14:textId="30F74083">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w:t>
            </w:r>
            <w:r w:rsidR="00ED6AC3">
              <w:rPr>
                <w:rFonts w:ascii="Times New Roman" w:hAnsi="Times New Roman"/>
                <w:sz w:val="22"/>
                <w:szCs w:val="22"/>
              </w:rPr>
              <w:t>3</w:t>
            </w:r>
            <w:r w:rsidRPr="001F6CA3">
              <w:rPr>
                <w:rFonts w:ascii="Times New Roman" w:hAnsi="Times New Roman"/>
                <w:sz w:val="22"/>
                <w:szCs w:val="22"/>
              </w:rPr>
              <w:t>13</w:t>
            </w:r>
          </w:p>
        </w:tc>
      </w:tr>
    </w:tbl>
    <w:p w:rsidR="002E2BF1" w:rsidRPr="001F6CA3" w14:paraId="14871B4F" w14:textId="77777777">
      <w:pPr>
        <w:pStyle w:val="header2"/>
        <w:tabs>
          <w:tab w:val="clear" w:pos="1440"/>
          <w:tab w:val="clear" w:pos="4320"/>
          <w:tab w:val="clear" w:pos="8640"/>
        </w:tabs>
        <w:suppressAutoHyphens w:val="0"/>
        <w:rPr>
          <w:bCs/>
          <w:sz w:val="22"/>
          <w:szCs w:val="22"/>
        </w:rPr>
      </w:pPr>
    </w:p>
    <w:p w:rsidR="002E2BF1" w:rsidRPr="001F6CA3" w14:paraId="1E2F670A" w14:textId="77777777">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14:paraId="1B90AD19" w14:textId="77777777">
      <w:pPr>
        <w:tabs>
          <w:tab w:val="left" w:pos="-720"/>
        </w:tabs>
        <w:suppressAutoHyphens/>
        <w:rPr>
          <w:rFonts w:ascii="Times New Roman" w:hAnsi="Times New Roman"/>
          <w:b/>
          <w:sz w:val="22"/>
          <w:szCs w:val="22"/>
        </w:rPr>
      </w:pPr>
    </w:p>
    <w:p w:rsidR="002E2BF1" w:rsidRPr="001F6CA3" w14:paraId="184D4FFB" w14:textId="45F327D7">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providers owe regulatory fees for each license held as of</w:t>
      </w:r>
      <w:r w:rsidRPr="00D6076D">
        <w:rPr>
          <w:rFonts w:ascii="Times New Roman" w:hAnsi="Times New Roman"/>
          <w:b/>
          <w:spacing w:val="-2"/>
          <w:sz w:val="22"/>
          <w:szCs w:val="22"/>
        </w:rPr>
        <w:t xml:space="preserve"> </w:t>
      </w:r>
      <w:r w:rsidRPr="00D6076D">
        <w:rPr>
          <w:rFonts w:ascii="Times New Roman" w:hAnsi="Times New Roman"/>
          <w:b/>
          <w:sz w:val="22"/>
          <w:szCs w:val="22"/>
        </w:rPr>
        <w:t>October 1, 20</w:t>
      </w:r>
      <w:r w:rsidRPr="00D6076D" w:rsidR="00F70485">
        <w:rPr>
          <w:rFonts w:ascii="Times New Roman" w:hAnsi="Times New Roman"/>
          <w:b/>
          <w:sz w:val="22"/>
          <w:szCs w:val="22"/>
        </w:rPr>
        <w:t>2</w:t>
      </w:r>
      <w:r w:rsidR="00ED6AC3">
        <w:rPr>
          <w:rFonts w:ascii="Times New Roman" w:hAnsi="Times New Roman"/>
          <w:b/>
          <w:sz w:val="22"/>
          <w:szCs w:val="22"/>
        </w:rPr>
        <w:t>2</w:t>
      </w:r>
      <w:r w:rsidRPr="001F6CA3">
        <w:rPr>
          <w:rFonts w:ascii="Times New Roman" w:hAnsi="Times New Roman"/>
          <w:sz w:val="22"/>
          <w:szCs w:val="22"/>
        </w:rPr>
        <w:t xml:space="preserve">, </w:t>
      </w:r>
      <w:r w:rsidRPr="00D6076D">
        <w:rPr>
          <w:rFonts w:ascii="Times New Roman" w:hAnsi="Times New Roman"/>
          <w:b/>
          <w:sz w:val="22"/>
          <w:szCs w:val="22"/>
        </w:rPr>
        <w:t>even if a license expired after October 1, 20</w:t>
      </w:r>
      <w:r w:rsidRPr="00D6076D" w:rsidR="00F70485">
        <w:rPr>
          <w:rFonts w:ascii="Times New Roman" w:hAnsi="Times New Roman"/>
          <w:b/>
          <w:sz w:val="22"/>
          <w:szCs w:val="22"/>
        </w:rPr>
        <w:t>2</w:t>
      </w:r>
      <w:r w:rsidR="00ED6AC3">
        <w:rPr>
          <w:rFonts w:ascii="Times New Roman" w:hAnsi="Times New Roman"/>
          <w:b/>
          <w:sz w:val="22"/>
          <w:szCs w:val="22"/>
        </w:rPr>
        <w:t>2</w:t>
      </w:r>
      <w:r w:rsidRPr="001F6CA3">
        <w:rPr>
          <w:rFonts w:ascii="Times New Roman" w:hAnsi="Times New Roman"/>
          <w:sz w:val="22"/>
          <w:szCs w:val="22"/>
        </w:rPr>
        <w:t>.  In instances where a license or authorization is transferred or assigned after October 1, 20</w:t>
      </w:r>
      <w:r w:rsidR="00014942">
        <w:rPr>
          <w:rFonts w:ascii="Times New Roman" w:hAnsi="Times New Roman"/>
          <w:sz w:val="22"/>
          <w:szCs w:val="22"/>
        </w:rPr>
        <w:t>2</w:t>
      </w:r>
      <w:r w:rsidR="00ED6AC3">
        <w:rPr>
          <w:rFonts w:ascii="Times New Roman" w:hAnsi="Times New Roman"/>
          <w:sz w:val="22"/>
          <w:szCs w:val="22"/>
        </w:rPr>
        <w:t>2</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14:paraId="690216FD" w14:textId="77777777">
      <w:pPr>
        <w:tabs>
          <w:tab w:val="left" w:pos="-720"/>
        </w:tabs>
        <w:suppressAutoHyphens/>
        <w:rPr>
          <w:rFonts w:ascii="Times New Roman" w:hAnsi="Times New Roman"/>
          <w:b/>
          <w:smallCaps/>
          <w:sz w:val="22"/>
          <w:szCs w:val="22"/>
        </w:rPr>
      </w:pPr>
    </w:p>
    <w:p w:rsidR="00D534D3" w14:paraId="118723AA" w14:textId="77777777">
      <w:pPr>
        <w:tabs>
          <w:tab w:val="left" w:pos="-720"/>
        </w:tabs>
        <w:suppressAutoHyphens/>
        <w:rPr>
          <w:rFonts w:ascii="Times New Roman" w:hAnsi="Times New Roman"/>
          <w:b/>
          <w:smallCaps/>
          <w:sz w:val="22"/>
          <w:szCs w:val="22"/>
        </w:rPr>
      </w:pPr>
    </w:p>
    <w:p w:rsidR="00D534D3" w14:paraId="4876B940" w14:textId="77777777">
      <w:pPr>
        <w:tabs>
          <w:tab w:val="left" w:pos="-720"/>
        </w:tabs>
        <w:suppressAutoHyphens/>
        <w:rPr>
          <w:rFonts w:ascii="Times New Roman" w:hAnsi="Times New Roman"/>
          <w:b/>
          <w:smallCaps/>
          <w:sz w:val="22"/>
          <w:szCs w:val="22"/>
        </w:rPr>
      </w:pPr>
    </w:p>
    <w:p w:rsidR="00D534D3" w:rsidRPr="001F6CA3" w14:paraId="5CAC50CA" w14:textId="77777777">
      <w:pPr>
        <w:tabs>
          <w:tab w:val="left" w:pos="-720"/>
        </w:tabs>
        <w:suppressAutoHyphens/>
        <w:rPr>
          <w:rFonts w:ascii="Times New Roman" w:hAnsi="Times New Roman"/>
          <w:b/>
          <w:smallCaps/>
          <w:sz w:val="22"/>
          <w:szCs w:val="22"/>
        </w:rPr>
      </w:pPr>
    </w:p>
    <w:p w:rsidR="002E2BF1" w:rsidRPr="001F6CA3" w14:paraId="1038DAB4" w14:textId="338974B3">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 xml:space="preserve">Regulatory fees for BRS </w:t>
      </w:r>
      <w:r w:rsidR="00DC146D">
        <w:rPr>
          <w:rFonts w:ascii="Times New Roman" w:hAnsi="Times New Roman"/>
          <w:sz w:val="22"/>
          <w:szCs w:val="22"/>
        </w:rPr>
        <w:t xml:space="preserve">and LMDS </w:t>
      </w:r>
      <w:r w:rsidRPr="001F6CA3">
        <w:rPr>
          <w:rFonts w:ascii="Times New Roman" w:hAnsi="Times New Roman"/>
          <w:sz w:val="22"/>
          <w:szCs w:val="22"/>
        </w:rPr>
        <w:t>are assessed on a per license basis as follows:</w:t>
      </w:r>
    </w:p>
    <w:p w:rsidR="002E2BF1" w:rsidRPr="001F6CA3" w14:paraId="702AE95B"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04"/>
        <w:gridCol w:w="2502"/>
        <w:gridCol w:w="2502"/>
      </w:tblGrid>
      <w:tr w14:paraId="5F97A3F0" w14:textId="77777777">
        <w:tblPrEx>
          <w:tblW w:w="0" w:type="auto"/>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2E2BF1" w:rsidRPr="001F6CA3" w14:paraId="39472A37"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1F6CA3">
              <w:rPr>
                <w:rFonts w:ascii="Times New Roman" w:hAnsi="Times New Roman"/>
                <w:sz w:val="22"/>
                <w:szCs w:val="22"/>
              </w:rPr>
              <w:instrText xml:space="preserve">PRIVATE </w:instrText>
            </w:r>
            <w:r>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14:paraId="7A2B5805"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14:paraId="6BDCA210" w14:textId="77777777">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14:paraId="0A422F89"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14:paraId="282647A7"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74F3A98F"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single" w:sz="6" w:space="0" w:color="auto"/>
            </w:tcBorders>
          </w:tcPr>
          <w:p w:rsidR="002E2BF1" w:rsidRPr="001F6CA3" w14:paraId="577918F6"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P="008E1439" w14:paraId="5BBF68FC" w14:textId="472F46F4">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ED6AC3">
              <w:rPr>
                <w:rFonts w:ascii="Times New Roman" w:hAnsi="Times New Roman"/>
                <w:sz w:val="22"/>
                <w:szCs w:val="22"/>
              </w:rPr>
              <w:t>70</w:t>
            </w:r>
            <w:r w:rsidR="00014942">
              <w:rPr>
                <w:rFonts w:ascii="Times New Roman" w:hAnsi="Times New Roman"/>
                <w:sz w:val="22"/>
                <w:szCs w:val="22"/>
              </w:rPr>
              <w:t>0</w:t>
            </w:r>
          </w:p>
        </w:tc>
        <w:tc>
          <w:tcPr>
            <w:tcW w:w="2502" w:type="dxa"/>
            <w:tcBorders>
              <w:top w:val="single" w:sz="6" w:space="0" w:color="auto"/>
              <w:left w:val="single" w:sz="6" w:space="0" w:color="auto"/>
              <w:bottom w:val="single" w:sz="6" w:space="0" w:color="auto"/>
              <w:right w:val="double" w:sz="6" w:space="0" w:color="auto"/>
            </w:tcBorders>
          </w:tcPr>
          <w:p w:rsidR="002E2BF1" w:rsidRPr="001F6CA3" w:rsidP="008E1439" w14:paraId="592B80A9" w14:textId="3606E7DA">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w:t>
            </w:r>
            <w:r w:rsidR="00ED6AC3">
              <w:rPr>
                <w:rFonts w:ascii="Times New Roman" w:hAnsi="Times New Roman"/>
                <w:sz w:val="22"/>
                <w:szCs w:val="22"/>
              </w:rPr>
              <w:t>3</w:t>
            </w:r>
            <w:r w:rsidRPr="001F6CA3">
              <w:rPr>
                <w:rFonts w:ascii="Times New Roman" w:hAnsi="Times New Roman"/>
                <w:sz w:val="22"/>
                <w:szCs w:val="22"/>
              </w:rPr>
              <w:t>14</w:t>
            </w:r>
          </w:p>
        </w:tc>
      </w:tr>
      <w:tr w14:paraId="34F5117E"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2E2BF1" w:rsidRPr="001F6CA3" w14:paraId="42BCCECE"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P="008E1439" w14:paraId="6056986A" w14:textId="77B94E55">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ED6AC3">
              <w:rPr>
                <w:rFonts w:ascii="Times New Roman" w:hAnsi="Times New Roman"/>
                <w:sz w:val="22"/>
                <w:szCs w:val="22"/>
              </w:rPr>
              <w:t>70</w:t>
            </w:r>
            <w:r w:rsidR="00014942">
              <w:rPr>
                <w:rFonts w:ascii="Times New Roman" w:hAnsi="Times New Roman"/>
                <w:sz w:val="22"/>
                <w:szCs w:val="22"/>
              </w:rPr>
              <w:t>0</w:t>
            </w:r>
          </w:p>
        </w:tc>
        <w:tc>
          <w:tcPr>
            <w:tcW w:w="2502" w:type="dxa"/>
            <w:tcBorders>
              <w:top w:val="single" w:sz="6" w:space="0" w:color="auto"/>
              <w:left w:val="single" w:sz="6" w:space="0" w:color="auto"/>
              <w:bottom w:val="double" w:sz="6" w:space="0" w:color="auto"/>
              <w:right w:val="double" w:sz="6" w:space="0" w:color="auto"/>
            </w:tcBorders>
          </w:tcPr>
          <w:p w:rsidR="002E2BF1" w:rsidRPr="001F6CA3" w:rsidP="008E1439" w14:paraId="752203B4" w14:textId="170FD4AE">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w:t>
            </w:r>
            <w:r w:rsidR="00ED6AC3">
              <w:rPr>
                <w:rFonts w:ascii="Times New Roman" w:hAnsi="Times New Roman"/>
                <w:sz w:val="22"/>
                <w:szCs w:val="22"/>
              </w:rPr>
              <w:t>3</w:t>
            </w:r>
            <w:r w:rsidRPr="001F6CA3">
              <w:rPr>
                <w:rFonts w:ascii="Times New Roman" w:hAnsi="Times New Roman"/>
                <w:sz w:val="22"/>
                <w:szCs w:val="22"/>
              </w:rPr>
              <w:t>85</w:t>
            </w:r>
          </w:p>
        </w:tc>
      </w:tr>
    </w:tbl>
    <w:p w:rsidR="00B30701" w:rsidRPr="001F6CA3" w:rsidP="002E2BF1" w14:paraId="67EA6B6C" w14:textId="2DD79675">
      <w:pPr>
        <w:tabs>
          <w:tab w:val="left" w:pos="-720"/>
        </w:tabs>
        <w:suppressAutoHyphens/>
        <w:rPr>
          <w:rFonts w:ascii="Times New Roman" w:hAnsi="Times New Roman"/>
          <w:b/>
          <w:sz w:val="22"/>
          <w:szCs w:val="22"/>
        </w:rPr>
      </w:pPr>
    </w:p>
    <w:p w:rsidR="002E2BF1" w:rsidP="002E2BF1" w14:paraId="2727EBF9" w14:textId="7927331E">
      <w:pPr>
        <w:pStyle w:val="ParaNum0"/>
        <w:numPr>
          <w:ilvl w:val="0"/>
          <w:numId w:val="0"/>
        </w:numPr>
        <w:jc w:val="center"/>
        <w:rPr>
          <w:b/>
          <w:szCs w:val="22"/>
        </w:rPr>
      </w:pPr>
      <w:r w:rsidRPr="00C71464">
        <w:rPr>
          <w:b/>
          <w:szCs w:val="22"/>
        </w:rPr>
        <w:t xml:space="preserve">MANDATORY USE OF </w:t>
      </w:r>
      <w:r w:rsidR="008903F9">
        <w:rPr>
          <w:b/>
          <w:szCs w:val="22"/>
        </w:rPr>
        <w:t>CORES</w:t>
      </w:r>
    </w:p>
    <w:p w:rsidR="00BC1091" w:rsidRPr="00150A3D" w:rsidP="00150A3D" w14:paraId="300D5588" w14:textId="471666BE">
      <w:pPr>
        <w:widowControl/>
        <w:tabs>
          <w:tab w:val="left" w:pos="-720"/>
        </w:tabs>
        <w:suppressAutoHyphens/>
        <w:outlineLvl w:val="0"/>
        <w:rPr>
          <w:rFonts w:ascii="Times New Roman" w:hAnsi="Times New Roman"/>
          <w:b/>
          <w:sz w:val="22"/>
        </w:rPr>
      </w:pPr>
      <w:bookmarkStart w:id="0" w:name="_Hlk113565754"/>
      <w:bookmarkStart w:id="1" w:name="_Hlk81669713"/>
      <w:r w:rsidRPr="00BC1091">
        <w:rPr>
          <w:rFonts w:ascii="Times New Roman" w:hAnsi="Times New Roman"/>
          <w:sz w:val="22"/>
          <w:szCs w:val="22"/>
        </w:rPr>
        <w:t xml:space="preserve">All regulatory fee payors are required to use CORES for fee filing and payment via Automated Clearing House (ACH), Visa or </w:t>
      </w:r>
      <w:r w:rsidRPr="00D534D3">
        <w:rPr>
          <w:rFonts w:ascii="Times New Roman" w:hAnsi="Times New Roman"/>
          <w:sz w:val="22"/>
          <w:szCs w:val="22"/>
        </w:rPr>
        <w:t>MasterCard debit card, or credit card.  Licensees and regulatees must first enter CORES with a valid username and password at:</w:t>
      </w:r>
      <w:r w:rsidRPr="004D36DC" w:rsidR="004D36DC">
        <w:t xml:space="preserve"> </w:t>
      </w:r>
      <w:hyperlink r:id="rId6" w:history="1">
        <w:r w:rsidRPr="00F97AD8" w:rsidR="004D36DC">
          <w:rPr>
            <w:rStyle w:val="Hyperlink"/>
            <w:rFonts w:ascii="Times New Roman" w:hAnsi="Times New Roman"/>
            <w:sz w:val="22"/>
            <w:szCs w:val="22"/>
          </w:rPr>
          <w:t>https://apps2.fcc.gov/fccUserReg/pages/login.htm</w:t>
        </w:r>
      </w:hyperlink>
      <w:r w:rsidRPr="00D534D3">
        <w:rPr>
          <w:rFonts w:ascii="Times New Roman" w:hAnsi="Times New Roman"/>
          <w:sz w:val="22"/>
          <w:szCs w:val="22"/>
        </w:rPr>
        <w:t xml:space="preserve">, and follow the online prompts to review their data and submit an electronic fee payment.  </w:t>
      </w:r>
      <w:r w:rsidRPr="00D534D3">
        <w:rPr>
          <w:rFonts w:ascii="Times New Roman" w:hAnsi="Times New Roman"/>
          <w:b/>
          <w:bCs/>
          <w:sz w:val="22"/>
          <w:szCs w:val="22"/>
          <w:u w:val="single"/>
        </w:rPr>
        <w:t>The use of CORES to pay regulatory fees is mandatory</w:t>
      </w:r>
      <w:r w:rsidRPr="00D534D3">
        <w:rPr>
          <w:rFonts w:ascii="Times New Roman" w:hAnsi="Times New Roman"/>
          <w:b/>
          <w:sz w:val="22"/>
          <w:szCs w:val="22"/>
          <w:u w:val="single"/>
        </w:rPr>
        <w:t>, and</w:t>
      </w:r>
      <w:r w:rsidRPr="00D534D3">
        <w:rPr>
          <w:rFonts w:ascii="Times New Roman" w:hAnsi="Times New Roman"/>
          <w:b/>
          <w:bCs/>
          <w:sz w:val="22"/>
          <w:szCs w:val="22"/>
          <w:u w:val="single"/>
        </w:rPr>
        <w:t xml:space="preserve"> </w:t>
      </w:r>
      <w:r w:rsidRPr="00D534D3">
        <w:rPr>
          <w:rFonts w:ascii="Times New Roman" w:hAnsi="Times New Roman"/>
          <w:b/>
          <w:sz w:val="22"/>
          <w:szCs w:val="22"/>
          <w:u w:val="single"/>
        </w:rPr>
        <w:t xml:space="preserve">payments in the form of checks, money orders, and cashier’s checks </w:t>
      </w:r>
      <w:r w:rsidRPr="00D534D3">
        <w:rPr>
          <w:rFonts w:ascii="Times New Roman" w:hAnsi="Times New Roman"/>
          <w:b/>
          <w:bCs/>
          <w:sz w:val="22"/>
          <w:szCs w:val="22"/>
          <w:u w:val="single"/>
        </w:rPr>
        <w:t>will not be accepted</w:t>
      </w:r>
      <w:r w:rsidRPr="00D534D3">
        <w:rPr>
          <w:rFonts w:ascii="Times New Roman" w:hAnsi="Times New Roman"/>
          <w:sz w:val="22"/>
          <w:szCs w:val="22"/>
        </w:rPr>
        <w:t>.</w:t>
      </w:r>
      <w:r>
        <w:rPr>
          <w:sz w:val="22"/>
          <w:szCs w:val="22"/>
        </w:rPr>
        <w:footnoteReference w:id="4"/>
      </w:r>
      <w:r w:rsidRPr="00D534D3">
        <w:rPr>
          <w:rFonts w:ascii="Times New Roman" w:hAnsi="Times New Roman"/>
          <w:sz w:val="22"/>
          <w:szCs w:val="22"/>
        </w:rPr>
        <w:t xml:space="preserve">  To make a wire transfer payment, please enter CORES and submit your fee information, and then complete and fax your financial institution’s wire cover memo and an electronic FCC Form 159 (or equivalent) to the Commission at (202) 418-2843, or send an e-mail </w:t>
      </w:r>
      <w:r w:rsidRPr="00630FC5">
        <w:rPr>
          <w:rFonts w:ascii="Times New Roman" w:hAnsi="Times New Roman"/>
          <w:sz w:val="22"/>
          <w:szCs w:val="22"/>
        </w:rPr>
        <w:t xml:space="preserve">to </w:t>
      </w:r>
      <w:hyperlink r:id="rId9" w:history="1">
        <w:r w:rsidRPr="00630FC5" w:rsidR="00630FC5">
          <w:rPr>
            <w:rStyle w:val="Hyperlink"/>
            <w:rFonts w:ascii="Times New Roman" w:hAnsi="Times New Roman"/>
            <w:sz w:val="22"/>
            <w:szCs w:val="22"/>
            <w:shd w:val="clear" w:color="auto" w:fill="FFFFFF"/>
          </w:rPr>
          <w:t>RROGWireFaxes@fcc.gov</w:t>
        </w:r>
      </w:hyperlink>
      <w:r w:rsidRPr="00630FC5" w:rsidR="00630FC5">
        <w:rPr>
          <w:rStyle w:val="Emphasis"/>
          <w:rFonts w:ascii="Times New Roman" w:hAnsi="Times New Roman"/>
          <w:b/>
          <w:bCs/>
          <w:i w:val="0"/>
          <w:iCs w:val="0"/>
          <w:color w:val="5F6368"/>
          <w:sz w:val="22"/>
          <w:szCs w:val="22"/>
          <w:shd w:val="clear" w:color="auto" w:fill="FFFFFF"/>
        </w:rPr>
        <w:t xml:space="preserve"> </w:t>
      </w:r>
      <w:r w:rsidRPr="00630FC5">
        <w:rPr>
          <w:rFonts w:ascii="Times New Roman" w:hAnsi="Times New Roman"/>
          <w:sz w:val="22"/>
          <w:szCs w:val="22"/>
        </w:rPr>
        <w:t>at least one hour before initiating the wire transfer</w:t>
      </w:r>
      <w:r w:rsidRPr="00630FC5">
        <w:rPr>
          <w:rFonts w:ascii="Times New Roman" w:hAnsi="Times New Roman"/>
          <w:b/>
          <w:bCs/>
          <w:sz w:val="22"/>
          <w:szCs w:val="22"/>
        </w:rPr>
        <w:t xml:space="preserve"> </w:t>
      </w:r>
      <w:r w:rsidRPr="00630FC5">
        <w:rPr>
          <w:rFonts w:ascii="Times New Roman" w:hAnsi="Times New Roman"/>
          <w:sz w:val="22"/>
          <w:szCs w:val="22"/>
        </w:rPr>
        <w:t>(but on the same business day) so as not to delay crediting the account</w:t>
      </w:r>
      <w:r w:rsidRPr="00D534D3">
        <w:rPr>
          <w:rFonts w:ascii="Times New Roman" w:hAnsi="Times New Roman"/>
          <w:sz w:val="22"/>
          <w:szCs w:val="22"/>
        </w:rPr>
        <w:t xml:space="preserve">.  Please include your </w:t>
      </w:r>
      <w:r w:rsidRPr="00D534D3">
        <w:rPr>
          <w:rFonts w:ascii="Times New Roman" w:hAnsi="Times New Roman"/>
          <w:b/>
          <w:bCs/>
          <w:sz w:val="22"/>
          <w:szCs w:val="22"/>
        </w:rPr>
        <w:t>FRN, Voucher Number, Payer Name, and the Amount of the Wire</w:t>
      </w:r>
      <w:r w:rsidRPr="00D534D3">
        <w:rPr>
          <w:rFonts w:ascii="Times New Roman" w:hAnsi="Times New Roman"/>
          <w:sz w:val="22"/>
          <w:szCs w:val="22"/>
        </w:rPr>
        <w:t xml:space="preserve"> in the wire cover memo to assist us in posting your payment quickly, and to avoid costly delays that could result in penalties and interest for missing the payment due date. Please see the following link, </w:t>
      </w:r>
      <w:hyperlink r:id="rId10" w:history="1">
        <w:r w:rsidRPr="00F97AD8" w:rsidR="002E3369">
          <w:rPr>
            <w:rStyle w:val="Hyperlink"/>
            <w:rFonts w:ascii="Times New Roman" w:hAnsi="Times New Roman"/>
            <w:sz w:val="22"/>
            <w:szCs w:val="22"/>
          </w:rPr>
          <w:t>https://www.fcc.gov/licensing-databases/fees/wire-transfer</w:t>
        </w:r>
      </w:hyperlink>
      <w:r w:rsidRPr="00D534D3">
        <w:rPr>
          <w:rFonts w:ascii="Times New Roman" w:hAnsi="Times New Roman"/>
          <w:sz w:val="22"/>
          <w:szCs w:val="22"/>
        </w:rPr>
        <w:t xml:space="preserve">, for information on initiating a wire transfer.  Please note that most wire transfers initiated after 6:00 p.m. (EDT) will be credited the next business day.  Please also note that an ACH, credit card, or MasterCard or Visa debit card transaction could take several days for the payment to be transferred from a financial institution to the Commission.  </w:t>
      </w:r>
      <w:r w:rsidRPr="00D534D3">
        <w:rPr>
          <w:rFonts w:ascii="Times New Roman" w:hAnsi="Times New Roman"/>
          <w:b/>
          <w:bCs/>
          <w:sz w:val="22"/>
          <w:szCs w:val="22"/>
        </w:rPr>
        <w:t xml:space="preserve">Therefore, any automated notification you receive from the Commission or Pay.gov following submission of your payment is an acknowledgement of submission, and </w:t>
      </w:r>
      <w:r w:rsidRPr="00D534D3">
        <w:rPr>
          <w:rFonts w:ascii="Times New Roman" w:hAnsi="Times New Roman"/>
          <w:b/>
          <w:bCs/>
          <w:sz w:val="22"/>
          <w:szCs w:val="22"/>
          <w:u w:val="single"/>
        </w:rPr>
        <w:t>not</w:t>
      </w:r>
      <w:r w:rsidRPr="00D534D3">
        <w:rPr>
          <w:rFonts w:ascii="Times New Roman" w:hAnsi="Times New Roman"/>
          <w:b/>
          <w:bCs/>
          <w:sz w:val="22"/>
          <w:szCs w:val="22"/>
        </w:rPr>
        <w:t xml:space="preserve"> an acknowledgement that</w:t>
      </w:r>
      <w:r w:rsidRPr="00BC1091">
        <w:rPr>
          <w:rFonts w:ascii="Times New Roman" w:hAnsi="Times New Roman"/>
          <w:b/>
          <w:bCs/>
          <w:sz w:val="22"/>
          <w:szCs w:val="22"/>
        </w:rPr>
        <w:t xml:space="preserve"> the funds have been received by the Commission.  As a precaution, fee payors should </w:t>
      </w:r>
      <w:r w:rsidRPr="00BC1091">
        <w:rPr>
          <w:rFonts w:ascii="Times New Roman" w:hAnsi="Times New Roman"/>
          <w:b/>
          <w:bCs/>
          <w:sz w:val="22"/>
          <w:szCs w:val="22"/>
          <w:u w:val="single"/>
        </w:rPr>
        <w:t>always</w:t>
      </w:r>
      <w:r w:rsidRPr="00BC1091">
        <w:rPr>
          <w:rFonts w:ascii="Times New Roman" w:hAnsi="Times New Roman"/>
          <w:b/>
          <w:bCs/>
          <w:sz w:val="22"/>
          <w:szCs w:val="22"/>
        </w:rPr>
        <w:t xml:space="preserve"> check their bank statements to ensure that the funds have actually been transferred to the Commission by the regulatory fee payment due date.</w:t>
      </w:r>
      <w:bookmarkEnd w:id="0"/>
      <w:r w:rsidRPr="00BC1091">
        <w:rPr>
          <w:rFonts w:ascii="Times New Roman" w:hAnsi="Times New Roman"/>
          <w:sz w:val="22"/>
          <w:szCs w:val="22"/>
        </w:rPr>
        <w:t xml:space="preserve"> </w:t>
      </w:r>
    </w:p>
    <w:bookmarkEnd w:id="1"/>
    <w:p w:rsidR="00FB127B" w:rsidP="00FB127B" w14:paraId="75FA4D1A" w14:textId="77777777">
      <w:pPr>
        <w:widowControl/>
        <w:rPr>
          <w:rFonts w:ascii="Times New Roman" w:hAnsi="Times New Roman"/>
          <w:sz w:val="24"/>
          <w:szCs w:val="24"/>
        </w:rPr>
      </w:pPr>
    </w:p>
    <w:p w:rsidR="002E2BF1" w:rsidRPr="00C71464" w:rsidP="002E2BF1" w14:paraId="1E6CE684"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P="002E2BF1" w14:paraId="52D42A66" w14:textId="77777777">
      <w:pPr>
        <w:tabs>
          <w:tab w:val="left" w:pos="-720"/>
        </w:tabs>
        <w:suppressAutoHyphens/>
        <w:jc w:val="center"/>
        <w:outlineLvl w:val="0"/>
        <w:rPr>
          <w:rFonts w:ascii="Times New Roman" w:hAnsi="Times New Roman"/>
          <w:b/>
          <w:sz w:val="22"/>
          <w:szCs w:val="22"/>
        </w:rPr>
      </w:pPr>
    </w:p>
    <w:p w:rsidR="00C0161E" w:rsidRPr="00C0161E" w:rsidP="0046744B" w14:paraId="52C951C7" w14:textId="7167B97B">
      <w:pPr>
        <w:widowControl/>
        <w:rPr>
          <w:rFonts w:ascii="Times New Roman" w:hAnsi="Times New Roman"/>
          <w:sz w:val="22"/>
          <w:szCs w:val="22"/>
        </w:rPr>
      </w:pPr>
      <w:r w:rsidRPr="00C0161E">
        <w:rPr>
          <w:rFonts w:ascii="Times New Roman" w:hAnsi="Times New Roman"/>
          <w:sz w:val="22"/>
        </w:rPr>
        <w:t xml:space="preserve">In accordance with </w:t>
      </w:r>
      <w:r w:rsidRPr="00C0161E">
        <w:rPr>
          <w:rFonts w:ascii="Times New Roman" w:hAnsi="Times New Roman"/>
          <w:i/>
          <w:iCs/>
          <w:sz w:val="22"/>
        </w:rPr>
        <w:t>Treasury Financial Manual</w:t>
      </w:r>
      <w:r w:rsidRPr="00C0161E">
        <w:rPr>
          <w:rFonts w:ascii="Times New Roman" w:hAnsi="Times New Roman"/>
          <w:sz w:val="22"/>
        </w:rPr>
        <w:t xml:space="preserve">, Volume I, Part 5, Chapter 7000, Section 7055.20, </w:t>
      </w:r>
      <w:r w:rsidRPr="00C0161E">
        <w:rPr>
          <w:rFonts w:ascii="Times New Roman" w:hAnsi="Times New Roman"/>
          <w:i/>
          <w:iCs/>
          <w:sz w:val="22"/>
        </w:rPr>
        <w:t>Transaction Maximums</w:t>
      </w:r>
      <w:r w:rsidRPr="00C0161E">
        <w:rPr>
          <w:rFonts w:ascii="Times New Roman" w:hAnsi="Times New Roman"/>
          <w:sz w:val="22"/>
        </w:rPr>
        <w:t>, the highest amount that can be charged on a credit card for transactions with federal agencies is $24,999.99.</w:t>
      </w:r>
      <w:r>
        <w:rPr>
          <w:rStyle w:val="FootnoteReference"/>
          <w:rFonts w:ascii="Times New Roman" w:hAnsi="Times New Roman"/>
          <w:sz w:val="22"/>
        </w:rPr>
        <w:footnoteReference w:id="5"/>
      </w:r>
      <w:r w:rsidR="00615A26">
        <w:rPr>
          <w:rFonts w:ascii="Times New Roman" w:hAnsi="Times New Roman"/>
          <w:sz w:val="22"/>
        </w:rPr>
        <w:t xml:space="preserve">  </w:t>
      </w:r>
      <w:r w:rsidRPr="00C0161E">
        <w:rPr>
          <w:rFonts w:ascii="Times New Roman" w:hAnsi="Times New Roman"/>
          <w:sz w:val="22"/>
        </w:rPr>
        <w:t xml:space="preserve">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w:t>
      </w:r>
      <w:r w:rsidRPr="00C0161E">
        <w:rPr>
          <w:rFonts w:ascii="Times New Roman" w:hAnsi="Times New Roman"/>
          <w:sz w:val="22"/>
        </w:rPr>
        <w:t>than $24,999.99 should consider available electronic alternatives such as Visa or MasterCard debit cards, ACH debits from a bank account, and wire transfers.  Each of these payment options is available after submitting regulatory fee information through CORES. Further details will be provided regarding payment methods and procedures at the time of FY 202</w:t>
      </w:r>
      <w:r>
        <w:rPr>
          <w:rFonts w:ascii="Times New Roman" w:hAnsi="Times New Roman"/>
          <w:sz w:val="22"/>
        </w:rPr>
        <w:t>3</w:t>
      </w:r>
      <w:r w:rsidRPr="00C0161E">
        <w:rPr>
          <w:rFonts w:ascii="Times New Roman" w:hAnsi="Times New Roman"/>
          <w:sz w:val="22"/>
        </w:rPr>
        <w:t xml:space="preserve"> regulatory fee collection</w:t>
      </w:r>
      <w:r w:rsidRPr="00C0161E">
        <w:rPr>
          <w:rFonts w:ascii="Times New Roman" w:hAnsi="Times New Roman"/>
          <w:color w:val="1F497D"/>
          <w:sz w:val="22"/>
        </w:rPr>
        <w:t xml:space="preserve"> </w:t>
      </w:r>
      <w:r w:rsidRPr="00C0161E">
        <w:rPr>
          <w:rFonts w:ascii="Times New Roman" w:hAnsi="Times New Roman"/>
          <w:sz w:val="22"/>
        </w:rPr>
        <w:t>in Fact Sheets, available at</w:t>
      </w:r>
      <w:r w:rsidR="00D534D3">
        <w:rPr>
          <w:rFonts w:ascii="Times New Roman" w:hAnsi="Times New Roman"/>
          <w:sz w:val="22"/>
        </w:rPr>
        <w:t xml:space="preserve"> </w:t>
      </w:r>
      <w:hyperlink r:id="rId5" w:history="1">
        <w:r w:rsidRPr="00277D91" w:rsidR="00D534D3">
          <w:rPr>
            <w:rStyle w:val="Hyperlink"/>
            <w:sz w:val="22"/>
            <w:szCs w:val="22"/>
          </w:rPr>
          <w:t>http://www.fcc.gov/regfees</w:t>
        </w:r>
      </w:hyperlink>
      <w:r w:rsidR="00D534D3">
        <w:rPr>
          <w:sz w:val="22"/>
          <w:szCs w:val="22"/>
        </w:rPr>
        <w:t xml:space="preserve">.  </w:t>
      </w:r>
      <w:r w:rsidRPr="00C0161E">
        <w:rPr>
          <w:rFonts w:ascii="Times New Roman" w:hAnsi="Times New Roman"/>
          <w:sz w:val="22"/>
          <w:szCs w:val="22"/>
        </w:rPr>
        <w:t xml:space="preserve">The </w:t>
      </w:r>
      <w:r w:rsidRPr="00C0161E">
        <w:rPr>
          <w:rFonts w:ascii="Times New Roman" w:hAnsi="Times New Roman"/>
          <w:i/>
          <w:iCs/>
          <w:sz w:val="22"/>
          <w:szCs w:val="22"/>
        </w:rPr>
        <w:t>Treasury Financial Manual</w:t>
      </w:r>
      <w:r w:rsidRPr="00C0161E">
        <w:rPr>
          <w:rFonts w:ascii="Times New Roman" w:hAnsi="Times New Roman"/>
          <w:sz w:val="22"/>
          <w:szCs w:val="22"/>
        </w:rPr>
        <w:t xml:space="preserve">, Volume I, Part 5, Chapter 7000, </w:t>
      </w:r>
      <w:r w:rsidRPr="00C0161E">
        <w:rPr>
          <w:rFonts w:ascii="Times New Roman" w:hAnsi="Times New Roman"/>
          <w:i/>
          <w:iCs/>
          <w:sz w:val="22"/>
          <w:szCs w:val="22"/>
        </w:rPr>
        <w:t>Credit and Debit Card Collection Transactions</w:t>
      </w:r>
      <w:r w:rsidRPr="00C0161E">
        <w:rPr>
          <w:rFonts w:ascii="Times New Roman" w:hAnsi="Times New Roman"/>
          <w:sz w:val="22"/>
          <w:szCs w:val="22"/>
        </w:rPr>
        <w:t xml:space="preserve"> was updated on June 23, 2022, effective October 1, 2022, and reduced the credit card limit of intra-governmental transactions (government-to-government) from $24,999.99 to $10,000.00.</w:t>
      </w:r>
    </w:p>
    <w:p w:rsidR="00C0161E" w:rsidRPr="00C0161E" w:rsidP="00150A3D" w14:paraId="1053183C" w14:textId="77777777">
      <w:pPr>
        <w:widowControl/>
        <w:ind w:right="758"/>
        <w:rPr>
          <w:rFonts w:ascii="Times New Roman" w:hAnsi="Times New Roman"/>
          <w:sz w:val="22"/>
          <w:szCs w:val="22"/>
        </w:rPr>
      </w:pPr>
    </w:p>
    <w:p w:rsidR="00C0161E" w:rsidRPr="00C0161E" w:rsidP="00150A3D" w14:paraId="5ED58093" w14:textId="77777777">
      <w:pPr>
        <w:widowControl/>
        <w:ind w:right="758"/>
        <w:rPr>
          <w:rFonts w:ascii="Times New Roman" w:hAnsi="Times New Roman"/>
          <w:sz w:val="22"/>
          <w:szCs w:val="22"/>
        </w:rPr>
      </w:pPr>
      <w:r w:rsidRPr="00C0161E">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2E2BF1" w:rsidRPr="00C71464" w:rsidP="00703490" w14:paraId="215E2A23" w14:textId="77777777">
      <w:pPr>
        <w:rPr>
          <w:rFonts w:ascii="Times New Roman" w:hAnsi="Times New Roman"/>
          <w:sz w:val="22"/>
          <w:szCs w:val="22"/>
        </w:rPr>
      </w:pPr>
    </w:p>
    <w:p w:rsidR="002E2BF1" w:rsidRPr="00C71464" w:rsidP="00CF3E70" w14:paraId="348333F8" w14:textId="77777777">
      <w:pPr>
        <w:pStyle w:val="Heading3"/>
        <w:numPr>
          <w:ilvl w:val="0"/>
          <w:numId w:val="0"/>
        </w:numPr>
        <w:tabs>
          <w:tab w:val="left" w:pos="2160"/>
        </w:tabs>
        <w:spacing w:after="120"/>
        <w:jc w:val="center"/>
        <w:rPr>
          <w:rFonts w:ascii="Times New Roman" w:hAnsi="Times New Roman"/>
          <w:szCs w:val="22"/>
        </w:rPr>
      </w:pPr>
      <w:bookmarkStart w:id="2" w:name="_Toc285458173"/>
      <w:bookmarkStart w:id="3" w:name="_Toc289263536"/>
      <w:bookmarkStart w:id="4" w:name="_Toc292177324"/>
      <w:bookmarkStart w:id="5" w:name="_Toc296691764"/>
      <w:bookmarkStart w:id="6" w:name="_Toc297116984"/>
      <w:bookmarkStart w:id="7" w:name="_Toc298752212"/>
      <w:bookmarkStart w:id="8" w:name="_Toc299091577"/>
      <w:bookmarkStart w:id="9" w:name="_Toc319681889"/>
      <w:bookmarkStart w:id="10" w:name="_Toc320103196"/>
      <w:bookmarkStart w:id="11" w:name="_Toc320615946"/>
      <w:bookmarkStart w:id="12" w:name="_Toc320616364"/>
      <w:bookmarkStart w:id="13" w:name="_Toc320616503"/>
      <w:bookmarkStart w:id="14" w:name="_Toc320632324"/>
      <w:bookmarkStart w:id="15" w:name="_Toc320632357"/>
      <w:bookmarkStart w:id="16" w:name="_Toc320639464"/>
      <w:bookmarkStart w:id="17" w:name="_Toc321130263"/>
      <w:bookmarkStart w:id="18" w:name="_Toc321301165"/>
      <w:bookmarkStart w:id="19" w:name="_Toc327344921"/>
      <w:bookmarkStart w:id="20" w:name="_Toc327454761"/>
      <w:bookmarkStart w:id="21" w:name="_Toc328052404"/>
      <w:bookmarkStart w:id="22" w:name="_Toc330473855"/>
      <w:bookmarkStart w:id="23" w:name="_Toc390878809"/>
      <w:bookmarkStart w:id="24" w:name="_Toc391364439"/>
      <w:bookmarkStart w:id="25" w:name="_Toc394672319"/>
      <w:bookmarkStart w:id="26" w:name="_Toc397078335"/>
      <w:r w:rsidRPr="00C71464">
        <w:rPr>
          <w:rFonts w:ascii="Times New Roman" w:hAnsi="Times New Roman"/>
          <w:szCs w:val="22"/>
        </w:rPr>
        <w:t>DE MINIMIS 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71464">
        <w:rPr>
          <w:rFonts w:ascii="Times New Roman" w:hAnsi="Times New Roman"/>
          <w:szCs w:val="22"/>
        </w:rPr>
        <w:t>EGULATORY FEE LEVEL</w:t>
      </w:r>
    </w:p>
    <w:p w:rsidR="00C0161E" w:rsidRPr="00E36ADC" w:rsidP="00150A3D" w14:paraId="435D7D15" w14:textId="77777777">
      <w:pPr>
        <w:pStyle w:val="NormalWeb"/>
        <w:shd w:val="clear" w:color="auto" w:fill="FFFFFF"/>
        <w:spacing w:before="0" w:beforeAutospacing="0" w:after="0" w:afterAutospacing="0"/>
        <w:rPr>
          <w:spacing w:val="-3"/>
          <w:sz w:val="22"/>
        </w:rPr>
      </w:pPr>
      <w:bookmarkStart w:id="27" w:name="_Hlk113565903"/>
      <w:r w:rsidRPr="00E36ADC">
        <w:rPr>
          <w:sz w:val="22"/>
        </w:rPr>
        <w:t xml:space="preserve">Regulatees whose total FY 2023 annual regulatory fee liability, including all categories of regulatory fees for which payment is due, is $1,000 or less are exempt from payment of FY 2023 regulatory fees.  Thus, if the sum total of all annual FY 2023 regulatory fees is $1,000 or less, you are considered </w:t>
      </w:r>
      <w:r w:rsidRPr="00E36ADC">
        <w:rPr>
          <w:i/>
          <w:sz w:val="22"/>
        </w:rPr>
        <w:t>de minimis</w:t>
      </w:r>
      <w:r w:rsidRPr="00E36ADC">
        <w:rPr>
          <w:sz w:val="22"/>
        </w:rPr>
        <w:t xml:space="preserve"> and do not have to pay FY 2023 regulatory fees.  If you are </w:t>
      </w:r>
      <w:r w:rsidRPr="00E36ADC">
        <w:rPr>
          <w:i/>
          <w:sz w:val="22"/>
        </w:rPr>
        <w:t>de minimis</w:t>
      </w:r>
      <w:r w:rsidRPr="00E36ADC">
        <w:rPr>
          <w:sz w:val="22"/>
        </w:rPr>
        <w:t xml:space="preserve">, you will not need to report this exemption to the Commission.  The </w:t>
      </w:r>
      <w:r w:rsidRPr="00E36ADC">
        <w:rPr>
          <w:i/>
          <w:sz w:val="22"/>
        </w:rPr>
        <w:t>de minimis</w:t>
      </w:r>
      <w:r w:rsidRPr="00E36ADC">
        <w:rPr>
          <w:sz w:val="22"/>
        </w:rPr>
        <w:t xml:space="preserve"> threshold applies only to filers of </w:t>
      </w:r>
      <w:r w:rsidRPr="00E36ADC">
        <w:rPr>
          <w:sz w:val="22"/>
          <w:u w:val="single"/>
        </w:rPr>
        <w:t>annual</w:t>
      </w:r>
      <w:r w:rsidRPr="00E36ADC">
        <w:rPr>
          <w:sz w:val="22"/>
        </w:rPr>
        <w:t xml:space="preserve"> regulatory fees (not regulatory fees paid through multi-year wireless filings), and it is not a permanent exemption.  Rather, each regulatee will need to re-evaluate and re-calculate its regulatory fee liability each year in order to determine whether they meet the </w:t>
      </w:r>
      <w:r w:rsidRPr="00E36ADC">
        <w:rPr>
          <w:i/>
          <w:sz w:val="22"/>
        </w:rPr>
        <w:t xml:space="preserve">de miminis </w:t>
      </w:r>
      <w:r w:rsidRPr="00E36ADC">
        <w:rPr>
          <w:sz w:val="22"/>
        </w:rPr>
        <w:t>exemption established by the Commission’s annual regulatory fee order.  R</w:t>
      </w:r>
      <w:r w:rsidRPr="00E36ADC">
        <w:rPr>
          <w:spacing w:val="-3"/>
          <w:sz w:val="22"/>
        </w:rPr>
        <w:t xml:space="preserve">egulatees are responsible for calculating their total fee obligation to determine whether they qualify for this </w:t>
      </w:r>
      <w:r w:rsidRPr="00E36ADC">
        <w:rPr>
          <w:i/>
          <w:spacing w:val="-3"/>
          <w:sz w:val="22"/>
        </w:rPr>
        <w:t>de minimis</w:t>
      </w:r>
      <w:r w:rsidRPr="00E36ADC">
        <w:rPr>
          <w:spacing w:val="-3"/>
          <w:sz w:val="22"/>
        </w:rPr>
        <w:t xml:space="preserve"> exemption.  The Commission reserves the right to request documentation that supports a </w:t>
      </w:r>
      <w:r w:rsidRPr="00E36ADC">
        <w:rPr>
          <w:i/>
          <w:spacing w:val="-3"/>
          <w:sz w:val="22"/>
        </w:rPr>
        <w:t>de minimis</w:t>
      </w:r>
      <w:r w:rsidRPr="00E36ADC">
        <w:rPr>
          <w:spacing w:val="-3"/>
          <w:sz w:val="22"/>
        </w:rPr>
        <w:t xml:space="preserve"> exemption claim.</w:t>
      </w:r>
      <w:bookmarkEnd w:id="27"/>
    </w:p>
    <w:p w:rsidR="00703490" w:rsidP="00703490" w14:paraId="6F34A7A4" w14:textId="52102275">
      <w:pPr>
        <w:rPr>
          <w:rFonts w:ascii="Times New Roman" w:hAnsi="Times New Roman"/>
          <w:spacing w:val="-3"/>
          <w:sz w:val="22"/>
          <w:szCs w:val="24"/>
        </w:rPr>
      </w:pPr>
    </w:p>
    <w:p w:rsidR="00703490" w:rsidRPr="00C71464" w:rsidP="00703490" w14:paraId="5006C14A" w14:textId="77777777">
      <w:pPr>
        <w:rPr>
          <w:rFonts w:ascii="Times New Roman" w:hAnsi="Times New Roman"/>
          <w:sz w:val="22"/>
        </w:rPr>
      </w:pPr>
    </w:p>
    <w:p w:rsidR="002E2BF1" w:rsidRPr="003A79E9" w:rsidP="002E2BF1" w14:paraId="091C76AE" w14:textId="77777777">
      <w:pPr>
        <w:pStyle w:val="ParaNum0"/>
        <w:numPr>
          <w:ilvl w:val="0"/>
          <w:numId w:val="0"/>
        </w:numPr>
        <w:jc w:val="center"/>
        <w:rPr>
          <w:b/>
          <w:bCs/>
          <w:szCs w:val="22"/>
        </w:rPr>
      </w:pPr>
      <w:r w:rsidRPr="003A79E9">
        <w:rPr>
          <w:b/>
          <w:bCs/>
          <w:szCs w:val="22"/>
        </w:rPr>
        <w:t>-FCC-</w:t>
      </w:r>
    </w:p>
    <w:sectPr w:rsidSect="002E2BF1">
      <w:footerReference w:type="even" r:id="rId11"/>
      <w:footerReference w:type="default" r:id="rId12"/>
      <w:headerReference w:type="first" r:id="rId13"/>
      <w:type w:val="continuous"/>
      <w:pgSz w:w="12240" w:h="15840" w:code="1"/>
      <w:pgMar w:top="1440" w:right="864" w:bottom="864" w:left="1296"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08CF3424" w14:textId="15098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05C">
      <w:rPr>
        <w:rStyle w:val="PageNumber"/>
        <w:noProof/>
      </w:rPr>
      <w:t>2</w:t>
    </w:r>
    <w:r>
      <w:rPr>
        <w:rStyle w:val="PageNumber"/>
      </w:rPr>
      <w:fldChar w:fldCharType="end"/>
    </w:r>
  </w:p>
  <w:p w:rsidR="002E2BF1" w14:paraId="100FE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48D90F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7DC">
      <w:rPr>
        <w:rStyle w:val="PageNumber"/>
        <w:noProof/>
      </w:rPr>
      <w:t>3</w:t>
    </w:r>
    <w:r>
      <w:rPr>
        <w:rStyle w:val="PageNumber"/>
      </w:rPr>
      <w:fldChar w:fldCharType="end"/>
    </w:r>
  </w:p>
  <w:p w:rsidR="002E2BF1" w14:paraId="4A2140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3ACB" w14:paraId="4AB2CE6B" w14:textId="77777777">
      <w:r>
        <w:separator/>
      </w:r>
    </w:p>
  </w:footnote>
  <w:footnote w:type="continuationSeparator" w:id="1">
    <w:p w:rsidR="00DD3ACB" w14:paraId="19136B23" w14:textId="77777777">
      <w:r>
        <w:continuationSeparator/>
      </w:r>
    </w:p>
  </w:footnote>
  <w:footnote w:type="continuationNotice" w:id="2">
    <w:p w:rsidR="00DD3ACB" w14:paraId="76754E74" w14:textId="77777777"/>
  </w:footnote>
  <w:footnote w:id="3">
    <w:p w:rsidR="00ED6AC3" w:rsidRPr="00F748C1" w:rsidP="00ED6AC3" w14:paraId="0A5BADE3"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w:t>
      </w:r>
      <w:r>
        <w:t>A</w:t>
      </w:r>
      <w:r w:rsidRPr="00F748C1">
        <w:t xml:space="preserve">CH, and wire transfer payments will be accepted.  Please make sure that your electronic fee payment is made and the transaction is complete by the due date </w:t>
      </w:r>
      <w:r>
        <w:t>for</w:t>
      </w:r>
      <w:r w:rsidRPr="00F748C1">
        <w:t xml:space="preserve"> FY 202</w:t>
      </w:r>
      <w:r>
        <w:rPr>
          <w:lang w:val="en-US"/>
        </w:rPr>
        <w:t>3</w:t>
      </w:r>
      <w:r w:rsidRPr="00F748C1">
        <w:t xml:space="preserve"> regulatory fees.  </w:t>
      </w:r>
    </w:p>
  </w:footnote>
  <w:footnote w:id="4">
    <w:p w:rsidR="00BC1091" w:rsidP="00150A3D" w14:paraId="0A971E59" w14:textId="77777777">
      <w:pPr>
        <w:pStyle w:val="FootnoteText"/>
        <w:spacing w:after="120"/>
      </w:pPr>
      <w:r w:rsidRPr="00635D38">
        <w:rPr>
          <w:rStyle w:val="FootnoteReference"/>
        </w:rPr>
        <w:footnoteRef/>
      </w:r>
      <w:r w:rsidRPr="00635D38">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5">
    <w:p w:rsidR="00615A26" w:rsidRPr="00615A26" w14:paraId="3953CAC9" w14:textId="560CC11E">
      <w:pPr>
        <w:pStyle w:val="FootnoteText"/>
        <w:rPr>
          <w:lang w:val="en-US"/>
        </w:rPr>
      </w:pPr>
      <w:r>
        <w:rPr>
          <w:rStyle w:val="FootnoteReference"/>
        </w:rPr>
        <w:footnoteRef/>
      </w:r>
      <w:r>
        <w:t xml:space="preserve"> </w:t>
      </w:r>
      <w:r w:rsidRPr="00635D38">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rsidRPr="00150A3D">
        <w:rPr>
          <w:lang w:val="en-US"/>
        </w:rPr>
        <w:t xml:space="preserve">the Bureau of </w:t>
      </w:r>
      <w:r w:rsidRPr="00635D38">
        <w:t xml:space="preserve">Fiscal Service rules.  An amount owed that exceeds </w:t>
      </w:r>
      <w:r w:rsidRPr="00150A3D">
        <w:rPr>
          <w:lang w:val="en-US"/>
        </w:rPr>
        <w:t xml:space="preserve">the </w:t>
      </w:r>
      <w:r w:rsidRPr="00635D38">
        <w:t>$24,999.99</w:t>
      </w:r>
      <w:r w:rsidRPr="00150A3D">
        <w:rPr>
          <w:lang w:val="en-US"/>
        </w:rPr>
        <w:t xml:space="preserve"> maximum</w:t>
      </w:r>
      <w:r w:rsidRPr="00635D38">
        <w:t xml:space="preserve">, may not be split into two or more payment transactions in the same day by using one or multiple cards.  Also, an amount owed that exceeds the </w:t>
      </w:r>
      <w:r w:rsidRPr="00150A3D">
        <w:rPr>
          <w:lang w:val="en-US"/>
        </w:rPr>
        <w:t xml:space="preserve">$24,999.99 </w:t>
      </w:r>
      <w:r w:rsidRPr="00635D38">
        <w:t>maximum may not be split into two or more transactions over multiple days by using one or more cards.</w:t>
      </w:r>
      <w:r w:rsidRPr="00150A3D">
        <w:rPr>
          <w:lang w:val="en-US"/>
        </w:rPr>
        <w:t xml:space="preserve"> </w:t>
      </w:r>
      <w:r w:rsidRPr="00150A3D">
        <w:rPr>
          <w:i/>
          <w:lang w:val="en-US"/>
        </w:rPr>
        <w:t>Treasury Financial Manual</w:t>
      </w:r>
      <w:r w:rsidRPr="00150A3D">
        <w:rPr>
          <w:lang w:val="en-US"/>
        </w:rPr>
        <w:t xml:space="preserve">, Volume I, </w:t>
      </w:r>
      <w:r w:rsidRPr="00635D38">
        <w:rPr>
          <w:lang w:val="en-US"/>
        </w:rPr>
        <w:t>part</w:t>
      </w:r>
      <w:r w:rsidRPr="00150A3D">
        <w:rPr>
          <w:lang w:val="en-US"/>
        </w:rPr>
        <w:t xml:space="preserve"> 5, Chapter 7000, Section 7055.30, </w:t>
      </w:r>
      <w:r w:rsidRPr="00150A3D">
        <w:rPr>
          <w:i/>
          <w:lang w:val="en-US"/>
        </w:rPr>
        <w:t>Prohibition on Splitting Transactions</w:t>
      </w:r>
      <w:r w:rsidRPr="00150A3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7DC" w:rsidP="007F47DC" w14:paraId="2574F2D6"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7F47DC" w:rsidRPr="00F22398" w:rsidP="007F47DC" w14:paraId="1294B238" w14:textId="77777777">
    <w:pPr>
      <w:pStyle w:val="Header"/>
      <w:tabs>
        <w:tab w:val="clear" w:pos="4320"/>
        <w:tab w:val="clear" w:pos="8640"/>
      </w:tabs>
      <w:spacing w:before="40"/>
      <w:jc w:val="center"/>
      <w:rPr>
        <w:rFonts w:ascii="Times New Roman" w:hAnsi="Times New Roman"/>
        <w:b/>
        <w:kern w:val="28"/>
        <w:sz w:val="44"/>
        <w:szCs w:val="44"/>
      </w:rPr>
    </w:pPr>
  </w:p>
  <w:p w:rsidR="007F47DC" w:rsidP="007F47DC" w14:paraId="6D85C3D7"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77777777">
                          <w:pPr>
                            <w:rPr>
                              <w:rFonts w:ascii="Arial" w:hAnsi="Arial"/>
                              <w:b/>
                            </w:rPr>
                          </w:pPr>
                          <w:r>
                            <w:rPr>
                              <w:rFonts w:ascii="Arial" w:hAnsi="Arial"/>
                              <w:b/>
                            </w:rPr>
                            <w:t>Federal Communications Commission</w:t>
                          </w:r>
                        </w:p>
                        <w:p w:rsidR="007F47DC" w:rsidP="007F47DC" w14:textId="69EB0DAE">
                          <w:pPr>
                            <w:rPr>
                              <w:rFonts w:ascii="Arial" w:hAnsi="Arial"/>
                              <w:b/>
                            </w:rPr>
                          </w:pPr>
                          <w:r>
                            <w:rPr>
                              <w:rFonts w:ascii="Arial" w:hAnsi="Arial"/>
                              <w:b/>
                            </w:rPr>
                            <w:t xml:space="preserve">45 </w:t>
                          </w:r>
                          <w:r w:rsidR="00214DA7">
                            <w:rPr>
                              <w:rFonts w:ascii="Arial" w:hAnsi="Arial"/>
                              <w:b/>
                            </w:rPr>
                            <w:t>L Street, N.E.</w:t>
                          </w:r>
                        </w:p>
                        <w:p w:rsidR="007F47DC" w:rsidP="007F47D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F47DC" w:rsidP="007F47DC" w14:paraId="1CBFD361" w14:textId="77777777">
                    <w:pPr>
                      <w:rPr>
                        <w:rFonts w:ascii="Arial" w:hAnsi="Arial"/>
                        <w:b/>
                      </w:rPr>
                    </w:pPr>
                    <w:r>
                      <w:rPr>
                        <w:rFonts w:ascii="Arial" w:hAnsi="Arial"/>
                        <w:b/>
                      </w:rPr>
                      <w:t>Federal Communications Commission</w:t>
                    </w:r>
                  </w:p>
                  <w:p w:rsidR="007F47DC" w:rsidP="007F47DC" w14:paraId="061D024A" w14:textId="69EB0DAE">
                    <w:pPr>
                      <w:rPr>
                        <w:rFonts w:ascii="Arial" w:hAnsi="Arial"/>
                        <w:b/>
                      </w:rPr>
                    </w:pPr>
                    <w:r>
                      <w:rPr>
                        <w:rFonts w:ascii="Arial" w:hAnsi="Arial"/>
                        <w:b/>
                      </w:rPr>
                      <w:t xml:space="preserve">45 </w:t>
                    </w:r>
                    <w:r w:rsidR="00214DA7">
                      <w:rPr>
                        <w:rFonts w:ascii="Arial" w:hAnsi="Arial"/>
                        <w:b/>
                      </w:rPr>
                      <w:t>L Street, N.E.</w:t>
                    </w:r>
                  </w:p>
                  <w:p w:rsidR="007F47DC" w:rsidP="007F47DC" w14:paraId="21ED8064"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2677A395">
                          <w:pPr>
                            <w:spacing w:before="40"/>
                            <w:jc w:val="right"/>
                            <w:rPr>
                              <w:rFonts w:ascii="Arial" w:hAnsi="Arial"/>
                              <w:b/>
                              <w:sz w:val="16"/>
                            </w:rPr>
                          </w:pPr>
                          <w:r>
                            <w:rPr>
                              <w:rFonts w:ascii="Arial" w:hAnsi="Arial"/>
                              <w:b/>
                            </w:rPr>
                            <w:t>August</w:t>
                          </w:r>
                          <w:r w:rsidR="00D907F6">
                            <w:rPr>
                              <w:rFonts w:ascii="Arial" w:hAnsi="Arial"/>
                              <w:b/>
                            </w:rPr>
                            <w:t xml:space="preserve"> </w:t>
                          </w:r>
                          <w:r w:rsidR="00156978">
                            <w:rPr>
                              <w:rFonts w:ascii="Arial" w:hAnsi="Arial"/>
                              <w:b/>
                            </w:rPr>
                            <w:t>28</w:t>
                          </w:r>
                          <w:r w:rsidR="00110526">
                            <w:rPr>
                              <w:rFonts w:ascii="Arial" w:hAnsi="Arial"/>
                              <w:b/>
                            </w:rPr>
                            <w:t>,</w:t>
                          </w:r>
                          <w:r>
                            <w:rPr>
                              <w:rFonts w:ascii="Arial" w:hAnsi="Arial"/>
                              <w:b/>
                            </w:rPr>
                            <w:t xml:space="preserve"> 20</w:t>
                          </w:r>
                          <w:r w:rsidR="007B201B">
                            <w:rPr>
                              <w:rFonts w:ascii="Arial" w:hAnsi="Arial"/>
                              <w:b/>
                            </w:rPr>
                            <w:t>2</w:t>
                          </w:r>
                          <w:r>
                            <w:rPr>
                              <w:rFonts w:ascii="Arial" w:hAnsi="Arial"/>
                              <w:b/>
                            </w:rPr>
                            <w:t>3</w:t>
                          </w:r>
                        </w:p>
                        <w:p w:rsidR="007F47DC" w:rsidP="007F47D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7F47DC" w:rsidP="007F47DC" w14:paraId="0C1978E8" w14:textId="2677A395">
                    <w:pPr>
                      <w:spacing w:before="40"/>
                      <w:jc w:val="right"/>
                      <w:rPr>
                        <w:rFonts w:ascii="Arial" w:hAnsi="Arial"/>
                        <w:b/>
                        <w:sz w:val="16"/>
                      </w:rPr>
                    </w:pPr>
                    <w:r>
                      <w:rPr>
                        <w:rFonts w:ascii="Arial" w:hAnsi="Arial"/>
                        <w:b/>
                      </w:rPr>
                      <w:t>August</w:t>
                    </w:r>
                    <w:r w:rsidR="00D907F6">
                      <w:rPr>
                        <w:rFonts w:ascii="Arial" w:hAnsi="Arial"/>
                        <w:b/>
                      </w:rPr>
                      <w:t xml:space="preserve"> </w:t>
                    </w:r>
                    <w:r w:rsidR="00156978">
                      <w:rPr>
                        <w:rFonts w:ascii="Arial" w:hAnsi="Arial"/>
                        <w:b/>
                      </w:rPr>
                      <w:t>28</w:t>
                    </w:r>
                    <w:r w:rsidR="00110526">
                      <w:rPr>
                        <w:rFonts w:ascii="Arial" w:hAnsi="Arial"/>
                        <w:b/>
                      </w:rPr>
                      <w:t>,</w:t>
                    </w:r>
                    <w:r>
                      <w:rPr>
                        <w:rFonts w:ascii="Arial" w:hAnsi="Arial"/>
                        <w:b/>
                      </w:rPr>
                      <w:t xml:space="preserve"> 20</w:t>
                    </w:r>
                    <w:r w:rsidR="007B201B">
                      <w:rPr>
                        <w:rFonts w:ascii="Arial" w:hAnsi="Arial"/>
                        <w:b/>
                      </w:rPr>
                      <w:t>2</w:t>
                    </w:r>
                    <w:r>
                      <w:rPr>
                        <w:rFonts w:ascii="Arial" w:hAnsi="Arial"/>
                        <w:b/>
                      </w:rPr>
                      <w:t>3</w:t>
                    </w:r>
                  </w:p>
                  <w:p w:rsidR="007F47DC" w:rsidP="007F47DC" w14:paraId="484016A6"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2E2BF1" w14:paraId="3FB7037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00266"/>
    <w:multiLevelType w:val="hybridMultilevel"/>
    <w:tmpl w:val="18E68C1A"/>
    <w:lvl w:ilvl="0">
      <w:start w:va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0"/>
      <w:numFmt w:val="none"/>
      <w:lvlJc w:val="left"/>
      <w:pPr>
        <w:tabs>
          <w:tab w:val="num" w:pos="360"/>
        </w:tabs>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suff w:val="space"/>
      <w:lvlJc w:val="left"/>
    </w:lvl>
    <w:lvl w:ilvl="6">
      <w:start w:val="0"/>
      <w:numFmt w:val="decimal"/>
      <w:lvlJc w:val="left"/>
    </w:lvl>
    <w:lvl w:ilvl="7">
      <w:start w:val="0"/>
      <w:numFmt w:val="decimal"/>
      <w:lvlJc w:val="left"/>
    </w:lvl>
    <w:lvl w:ilvl="8">
      <w:start w:val="0"/>
      <w:numFmt w:val="decimal"/>
      <w:lvlJc w:val="left"/>
    </w:lvl>
  </w:abstractNum>
  <w:abstractNum w:abstractNumId="2">
    <w:nsid w:val="3BCD5C81"/>
    <w:multiLevelType w:val="hybridMultilevel"/>
    <w:tmpl w:val="0974E198"/>
    <w:lvl w:ilvl="0">
      <w:start w:val="0"/>
      <w:numFmt w:val="decimal"/>
      <w:lvlJc w:val="left"/>
    </w:lvl>
    <w:lvl w:ilvl="1">
      <w:start w:val="0"/>
      <w:numFmt w:val="decimal"/>
      <w:lvlText w:val="葠ﴰ࠵㘁࠷㬀࠼䌀ᙊ䠀*䩏䩑⩓漀(좗ÿ"/>
      <w:lvlJc w:val="left"/>
      <w:rPr>
        <w:rFonts w:ascii="Times New Roman" w:hAnsi="Times New Roman" w:hint="default"/>
        <w:b/>
        <w:i w:val="0"/>
        <w:sz w:val="22"/>
      </w:rPr>
    </w:lvl>
    <w:lvl w:ilvl="2">
      <w:start w:val="0"/>
      <w:numFmt w:val="none"/>
      <w:lvlJc w:val="left"/>
      <w:pPr>
        <w:tabs>
          <w:tab w:val="num" w:pos="360"/>
        </w:tabs>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3D0F1B3D"/>
    <w:multiLevelType w:val="singleLevel"/>
    <w:tmpl w:val="0902D07C"/>
    <w:lvl w:ilvl="0">
      <w:start w:val="0"/>
      <w:numFmt w:val="decimal"/>
      <w:pStyle w:val="Paranum"/>
      <w:lvlJc w:val="left"/>
    </w:lvl>
  </w:abstractNum>
  <w:abstractNum w:abstractNumId="4">
    <w:nsid w:val="5341241F"/>
    <w:multiLevelType w:val="singleLevel"/>
    <w:tmpl w:val="C0E46C6C"/>
    <w:lvl w:ilvl="0">
      <w:start w:val="0"/>
      <w:numFmt w:val="decimal"/>
      <w:pStyle w:val="NumberedList"/>
      <w:lvlJc w:val="left"/>
    </w:lvl>
  </w:abstractNum>
  <w:abstractNum w:abstractNumId="5">
    <w:nsid w:val="541F6B38"/>
    <w:multiLevelType w:val="multilevel"/>
    <w:tmpl w:val="9BCA1692"/>
    <w:lvl w:ilvl="0">
      <w:start w:val="0"/>
      <w:numFmt w:val="decimal"/>
      <w:pStyle w:val="Heading1"/>
      <w:lvlJc w:val="left"/>
    </w:lvl>
    <w:lvl w:ilvl="1">
      <w:start w:val="0"/>
      <w:numFmt w:val="decimal"/>
      <w:pStyle w:val="Heading2"/>
      <w:lvlJc w:val="left"/>
    </w:lvl>
    <w:lvl w:ilvl="2">
      <w:start w:val="0"/>
      <w:numFmt w:val="decimal"/>
      <w:pStyle w:val="Heading3"/>
      <w:lvlJc w:val="left"/>
    </w:lvl>
    <w:lvl w:ilvl="3">
      <w:start w:val="0"/>
      <w:numFmt w:val="decimal"/>
      <w:pStyle w:val="Heading4"/>
      <w:lvlJc w:val="left"/>
    </w:lvl>
    <w:lvl w:ilvl="4">
      <w:start w:val="0"/>
      <w:numFmt w:val="decimal"/>
      <w:pStyle w:val="Heading5"/>
      <w:lvlJc w:val="left"/>
    </w:lvl>
    <w:lvl w:ilvl="5">
      <w:start w:val="0"/>
      <w:numFmt w:val="decimal"/>
      <w:pStyle w:val="Heading6"/>
      <w:lvlJc w:val="left"/>
    </w:lvl>
    <w:lvl w:ilvl="6">
      <w:start w:val="0"/>
      <w:numFmt w:val="decimal"/>
      <w:lvlJc w:val="left"/>
    </w:lvl>
    <w:lvl w:ilvl="7">
      <w:start w:val="0"/>
      <w:numFmt w:val="decimal"/>
      <w:pStyle w:val="Heading7"/>
      <w:lvlJc w:val="left"/>
    </w:lvl>
    <w:lvl w:ilvl="8">
      <w:start w:val="0"/>
      <w:numFmt w:val="decimal"/>
      <w:pStyle w:val="Heading9"/>
      <w:lvlJc w:val="left"/>
    </w:lvl>
  </w:abstractNum>
  <w:abstractNum w:abstractNumId="6">
    <w:nsid w:val="565B2A60"/>
    <w:multiLevelType w:val="singleLevel"/>
    <w:tmpl w:val="04090001"/>
    <w:lvl w:ilvl="0">
      <w:start w:val="0"/>
      <w:numFmt w:val="decimal"/>
      <w:lvlJc w:val="left"/>
    </w:lvl>
  </w:abstractNum>
  <w:abstractNum w:abstractNumId="7">
    <w:nsid w:val="5704717D"/>
    <w:multiLevelType w:val="hybridMultilevel"/>
    <w:tmpl w:val="1760089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9BA0F8A"/>
    <w:multiLevelType w:val="singleLevel"/>
    <w:tmpl w:val="C03E86D2"/>
    <w:lvl w:ilvl="0">
      <w:start w:val="0"/>
      <w:numFmt w:val="decimal"/>
      <w:pStyle w:val="Bullet"/>
      <w:lvlJc w:val="left"/>
    </w:lvl>
  </w:abstractNum>
  <w:abstractNum w:abstractNumId="9">
    <w:nsid w:val="5D2B06DD"/>
    <w:multiLevelType w:val="multilevel"/>
    <w:tmpl w:val="E9F881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pStyle w:val="Heading8"/>
      <w:lvlJc w:val="left"/>
    </w:lvl>
    <w:lvl w:ilvl="8">
      <w:start w:val="0"/>
      <w:numFmt w:val="decimal"/>
      <w:lvlJc w:val="left"/>
    </w:lvl>
  </w:abstractNum>
  <w:abstractNum w:abstractNumId="10">
    <w:nsid w:val="61182925"/>
    <w:multiLevelType w:val="singleLevel"/>
    <w:tmpl w:val="763E8624"/>
    <w:lvl w:ilvl="0">
      <w:start w:val="0"/>
      <w:numFmt w:val="decimal"/>
      <w:pStyle w:val="ParaNum0"/>
      <w:lvlJc w:val="left"/>
    </w:lvl>
  </w:abstractNum>
  <w:abstractNum w:abstractNumId="11">
    <w:nsid w:val="6698188B"/>
    <w:multiLevelType w:val="hybridMultilevel"/>
    <w:tmpl w:val="631A315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C214538"/>
    <w:multiLevelType w:val="singleLevel"/>
    <w:tmpl w:val="04090001"/>
    <w:lvl w:ilvl="0">
      <w:start w:val="0"/>
      <w:numFmt w:val="decimal"/>
      <w:lvlJc w:val="left"/>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A5"/>
    <w:rsid w:val="000068D4"/>
    <w:rsid w:val="00012523"/>
    <w:rsid w:val="0001332D"/>
    <w:rsid w:val="00014942"/>
    <w:rsid w:val="000419F7"/>
    <w:rsid w:val="0004355B"/>
    <w:rsid w:val="00053B11"/>
    <w:rsid w:val="000A2B96"/>
    <w:rsid w:val="000A7D0B"/>
    <w:rsid w:val="000C4A44"/>
    <w:rsid w:val="000C59E9"/>
    <w:rsid w:val="000D67DB"/>
    <w:rsid w:val="000E516A"/>
    <w:rsid w:val="000F00EF"/>
    <w:rsid w:val="000F249A"/>
    <w:rsid w:val="00110526"/>
    <w:rsid w:val="00150A3D"/>
    <w:rsid w:val="00154FFD"/>
    <w:rsid w:val="00156978"/>
    <w:rsid w:val="001751C5"/>
    <w:rsid w:val="0019470D"/>
    <w:rsid w:val="0019541E"/>
    <w:rsid w:val="001A5C93"/>
    <w:rsid w:val="001C79BD"/>
    <w:rsid w:val="001F23CB"/>
    <w:rsid w:val="001F5AA4"/>
    <w:rsid w:val="001F6CA3"/>
    <w:rsid w:val="00200B45"/>
    <w:rsid w:val="0020704C"/>
    <w:rsid w:val="00212EDA"/>
    <w:rsid w:val="00214DA7"/>
    <w:rsid w:val="00220783"/>
    <w:rsid w:val="0022313B"/>
    <w:rsid w:val="0023505F"/>
    <w:rsid w:val="00262095"/>
    <w:rsid w:val="00263F1E"/>
    <w:rsid w:val="00273CAF"/>
    <w:rsid w:val="0027653B"/>
    <w:rsid w:val="00277D91"/>
    <w:rsid w:val="002A6618"/>
    <w:rsid w:val="002C2449"/>
    <w:rsid w:val="002D44D4"/>
    <w:rsid w:val="002E2BF1"/>
    <w:rsid w:val="002E3369"/>
    <w:rsid w:val="00306173"/>
    <w:rsid w:val="0031363E"/>
    <w:rsid w:val="003257D7"/>
    <w:rsid w:val="00340EE5"/>
    <w:rsid w:val="003702E3"/>
    <w:rsid w:val="00393D4A"/>
    <w:rsid w:val="003A0F84"/>
    <w:rsid w:val="003A17B3"/>
    <w:rsid w:val="003A79E9"/>
    <w:rsid w:val="003B6C91"/>
    <w:rsid w:val="003D572A"/>
    <w:rsid w:val="003F6723"/>
    <w:rsid w:val="0040614A"/>
    <w:rsid w:val="0041457E"/>
    <w:rsid w:val="00424B57"/>
    <w:rsid w:val="00425540"/>
    <w:rsid w:val="004608D7"/>
    <w:rsid w:val="0046744B"/>
    <w:rsid w:val="00472212"/>
    <w:rsid w:val="004866D2"/>
    <w:rsid w:val="004D2630"/>
    <w:rsid w:val="004D36DC"/>
    <w:rsid w:val="004E1F52"/>
    <w:rsid w:val="004F03AD"/>
    <w:rsid w:val="00502A59"/>
    <w:rsid w:val="00512CD0"/>
    <w:rsid w:val="00514027"/>
    <w:rsid w:val="00514F06"/>
    <w:rsid w:val="005170DC"/>
    <w:rsid w:val="00527035"/>
    <w:rsid w:val="005308FB"/>
    <w:rsid w:val="00541EE5"/>
    <w:rsid w:val="00576A96"/>
    <w:rsid w:val="00580E27"/>
    <w:rsid w:val="005B3BF7"/>
    <w:rsid w:val="005E01B7"/>
    <w:rsid w:val="005E37B1"/>
    <w:rsid w:val="005E565D"/>
    <w:rsid w:val="005E6180"/>
    <w:rsid w:val="00603926"/>
    <w:rsid w:val="00615A26"/>
    <w:rsid w:val="0062575A"/>
    <w:rsid w:val="00630FC5"/>
    <w:rsid w:val="00635D38"/>
    <w:rsid w:val="00675368"/>
    <w:rsid w:val="00684C75"/>
    <w:rsid w:val="006A39FA"/>
    <w:rsid w:val="006D12CB"/>
    <w:rsid w:val="00703490"/>
    <w:rsid w:val="00735857"/>
    <w:rsid w:val="00740480"/>
    <w:rsid w:val="00777F91"/>
    <w:rsid w:val="00781948"/>
    <w:rsid w:val="007832DF"/>
    <w:rsid w:val="00787659"/>
    <w:rsid w:val="007928FE"/>
    <w:rsid w:val="00793FB1"/>
    <w:rsid w:val="007B201B"/>
    <w:rsid w:val="007C5FCE"/>
    <w:rsid w:val="007D754E"/>
    <w:rsid w:val="007E28FD"/>
    <w:rsid w:val="007F025E"/>
    <w:rsid w:val="007F47DC"/>
    <w:rsid w:val="00803BA6"/>
    <w:rsid w:val="00806158"/>
    <w:rsid w:val="00824CC1"/>
    <w:rsid w:val="008311F2"/>
    <w:rsid w:val="00865852"/>
    <w:rsid w:val="0087126D"/>
    <w:rsid w:val="0087658C"/>
    <w:rsid w:val="008816C4"/>
    <w:rsid w:val="00886959"/>
    <w:rsid w:val="008903F9"/>
    <w:rsid w:val="00890A85"/>
    <w:rsid w:val="00892B2F"/>
    <w:rsid w:val="008C0772"/>
    <w:rsid w:val="008C2E9A"/>
    <w:rsid w:val="008E1439"/>
    <w:rsid w:val="008E6083"/>
    <w:rsid w:val="009162FD"/>
    <w:rsid w:val="00960B9E"/>
    <w:rsid w:val="00965C87"/>
    <w:rsid w:val="0097105C"/>
    <w:rsid w:val="009720EB"/>
    <w:rsid w:val="00982A71"/>
    <w:rsid w:val="00991CFE"/>
    <w:rsid w:val="009B3623"/>
    <w:rsid w:val="00A06161"/>
    <w:rsid w:val="00A45005"/>
    <w:rsid w:val="00A93697"/>
    <w:rsid w:val="00A97465"/>
    <w:rsid w:val="00AE1690"/>
    <w:rsid w:val="00B07D92"/>
    <w:rsid w:val="00B30701"/>
    <w:rsid w:val="00B42C12"/>
    <w:rsid w:val="00B53F2E"/>
    <w:rsid w:val="00B70DCF"/>
    <w:rsid w:val="00B827E6"/>
    <w:rsid w:val="00BB164C"/>
    <w:rsid w:val="00BC1091"/>
    <w:rsid w:val="00BD1C71"/>
    <w:rsid w:val="00BD7801"/>
    <w:rsid w:val="00BF7DEE"/>
    <w:rsid w:val="00C0161E"/>
    <w:rsid w:val="00C13974"/>
    <w:rsid w:val="00C26FB5"/>
    <w:rsid w:val="00C33A1F"/>
    <w:rsid w:val="00C42C39"/>
    <w:rsid w:val="00C65948"/>
    <w:rsid w:val="00C71464"/>
    <w:rsid w:val="00C75770"/>
    <w:rsid w:val="00C802B3"/>
    <w:rsid w:val="00C92D3A"/>
    <w:rsid w:val="00CA5105"/>
    <w:rsid w:val="00CB1B0E"/>
    <w:rsid w:val="00CC0191"/>
    <w:rsid w:val="00CF396B"/>
    <w:rsid w:val="00CF3E70"/>
    <w:rsid w:val="00D106B8"/>
    <w:rsid w:val="00D21900"/>
    <w:rsid w:val="00D237F6"/>
    <w:rsid w:val="00D23B8D"/>
    <w:rsid w:val="00D534D3"/>
    <w:rsid w:val="00D6076D"/>
    <w:rsid w:val="00D818A5"/>
    <w:rsid w:val="00D86C25"/>
    <w:rsid w:val="00D907F6"/>
    <w:rsid w:val="00DC146D"/>
    <w:rsid w:val="00DD36B2"/>
    <w:rsid w:val="00DD3ACB"/>
    <w:rsid w:val="00DE2AD7"/>
    <w:rsid w:val="00E01F03"/>
    <w:rsid w:val="00E14AF6"/>
    <w:rsid w:val="00E200C2"/>
    <w:rsid w:val="00E36ADC"/>
    <w:rsid w:val="00E4626B"/>
    <w:rsid w:val="00E507D0"/>
    <w:rsid w:val="00E5765F"/>
    <w:rsid w:val="00E748BB"/>
    <w:rsid w:val="00E83210"/>
    <w:rsid w:val="00EB7078"/>
    <w:rsid w:val="00EB7495"/>
    <w:rsid w:val="00ED0D02"/>
    <w:rsid w:val="00ED6AC3"/>
    <w:rsid w:val="00EF1AE7"/>
    <w:rsid w:val="00F22398"/>
    <w:rsid w:val="00F26D75"/>
    <w:rsid w:val="00F33EFA"/>
    <w:rsid w:val="00F62C2D"/>
    <w:rsid w:val="00F70485"/>
    <w:rsid w:val="00F748C1"/>
    <w:rsid w:val="00F80E1D"/>
    <w:rsid w:val="00F831D8"/>
    <w:rsid w:val="00F85966"/>
    <w:rsid w:val="00F95385"/>
    <w:rsid w:val="00F97AD8"/>
    <w:rsid w:val="00FA5D2B"/>
    <w:rsid w:val="00FB127B"/>
    <w:rsid w:val="00FC3F46"/>
    <w:rsid w:val="00FE5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DEB442"/>
  <w15:chartTrackingRefBased/>
  <w15:docId w15:val="{19FAFAC8-7852-499A-8A2C-A0C41617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3"/>
      </w:numPr>
      <w:spacing w:after="2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spacing w:after="2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E Funotenzeichen,A,Appel note de bas de p,FR,Footnote Reference/,Footnote Reference1,Ref,Style 1,Style 12,Style 124,Style 13,Style 17,Style 20,Style 34,Style 4,Style 6,Style 7,Style 9,callout,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 w:type="paragraph" w:styleId="Revision">
    <w:name w:val="Revision"/>
    <w:hidden/>
    <w:uiPriority w:val="99"/>
    <w:semiHidden/>
    <w:rsid w:val="00212EDA"/>
    <w:rPr>
      <w:rFonts w:ascii="Times Roman" w:hAnsi="Times Roman"/>
    </w:rPr>
  </w:style>
  <w:style w:type="character" w:styleId="UnresolvedMention">
    <w:name w:val="Unresolved Mention"/>
    <w:basedOn w:val="DefaultParagraphFont"/>
    <w:uiPriority w:val="99"/>
    <w:semiHidden/>
    <w:unhideWhenUsed/>
    <w:rsid w:val="00D23B8D"/>
    <w:rPr>
      <w:color w:val="605E5C"/>
      <w:shd w:val="clear" w:color="auto" w:fill="E1DFDD"/>
    </w:rPr>
  </w:style>
  <w:style w:type="paragraph" w:styleId="NormalWeb">
    <w:name w:val="Normal (Web)"/>
    <w:basedOn w:val="Normal"/>
    <w:rsid w:val="00C0161E"/>
    <w:pPr>
      <w:widowControl/>
      <w:spacing w:before="100" w:beforeAutospacing="1" w:after="100" w:afterAutospacing="1"/>
    </w:pPr>
    <w:rPr>
      <w:rFonts w:ascii="Times New Roman" w:hAnsi="Times New Roman"/>
      <w:color w:val="000000"/>
      <w:sz w:val="24"/>
      <w:szCs w:val="24"/>
    </w:rPr>
  </w:style>
  <w:style w:type="character" w:styleId="Emphasis">
    <w:name w:val="Emphasis"/>
    <w:basedOn w:val="DefaultParagraphFont"/>
    <w:uiPriority w:val="20"/>
    <w:qFormat/>
    <w:rsid w:val="00630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mailto:Roland.Helvajian@fcc.gov" TargetMode="External" /><Relationship Id="rId9" Type="http://schemas.openxmlformats.org/officeDocument/2006/relationships/hyperlink" Target="mailto:RROGWireFaxes@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