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jc w:val="center"/>
        <w:tblLook w:val="0000"/>
      </w:tblPr>
      <w:tblGrid>
        <w:gridCol w:w="8640"/>
      </w:tblGrid>
      <w:tr w14:paraId="530794D5" w14:textId="77777777" w:rsidTr="78D743A6">
        <w:tblPrEx>
          <w:tblW w:w="0" w:type="auto"/>
          <w:jc w:val="center"/>
          <w:tblLook w:val="0000"/>
        </w:tblPrEx>
        <w:trPr>
          <w:trHeight w:val="2181"/>
          <w:jc w:val="center"/>
        </w:trPr>
        <w:tc>
          <w:tcPr>
            <w:tcW w:w="8856" w:type="dxa"/>
          </w:tcPr>
          <w:p w:rsidR="00FF232D" w:rsidRPr="00876394" w:rsidP="00C11C39" w14:paraId="65C9C5D2" w14:textId="77777777">
            <w:pPr>
              <w:jc w:val="center"/>
              <w:rPr>
                <w:b/>
              </w:rPr>
            </w:pPr>
            <w:r w:rsidRPr="00876394">
              <w:rPr>
                <w:b/>
                <w:i/>
                <w:noProof/>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876394" w:rsidP="00C11C39" w14:paraId="08B6FE7C" w14:textId="77777777">
            <w:pPr>
              <w:rPr>
                <w:b/>
                <w:bCs/>
              </w:rPr>
            </w:pPr>
          </w:p>
          <w:p w:rsidR="007A44F8" w:rsidRPr="00876394" w:rsidP="00C11C39" w14:paraId="6F4D8275" w14:textId="39053512">
            <w:pPr>
              <w:rPr>
                <w:b/>
                <w:bCs/>
                <w:lang w:val="es-ES"/>
              </w:rPr>
            </w:pPr>
            <w:r w:rsidRPr="00876394">
              <w:rPr>
                <w:b/>
                <w:bCs/>
                <w:lang w:val="es-ES"/>
              </w:rPr>
              <w:t xml:space="preserve">Media </w:t>
            </w:r>
            <w:r w:rsidRPr="00876394" w:rsidR="00E41158">
              <w:rPr>
                <w:b/>
                <w:bCs/>
                <w:lang w:val="es-ES"/>
              </w:rPr>
              <w:t>C</w:t>
            </w:r>
            <w:r w:rsidRPr="00876394">
              <w:rPr>
                <w:b/>
                <w:bCs/>
                <w:lang w:val="es-ES"/>
              </w:rPr>
              <w:t>ontac</w:t>
            </w:r>
            <w:r w:rsidRPr="00876394" w:rsidR="00E41158">
              <w:rPr>
                <w:b/>
                <w:bCs/>
                <w:lang w:val="es-ES"/>
              </w:rPr>
              <w:t>t</w:t>
            </w:r>
            <w:r w:rsidRPr="00876394" w:rsidR="00E41158">
              <w:rPr>
                <w:b/>
                <w:bCs/>
                <w:lang w:val="es-ES"/>
              </w:rPr>
              <w:t xml:space="preserve">: </w:t>
            </w:r>
          </w:p>
          <w:p w:rsidR="00D35F91" w:rsidRPr="00876394" w:rsidP="00C11C39" w14:paraId="00D6237A" w14:textId="16D2F654">
            <w:r w:rsidRPr="00876394">
              <w:t xml:space="preserve">Michael Sweeney, </w:t>
            </w:r>
            <w:r w:rsidRPr="00876394" w:rsidR="00400CCA">
              <w:t>(202) 418-1087</w:t>
            </w:r>
          </w:p>
          <w:p w:rsidR="00FF232D" w:rsidRPr="00876394" w:rsidP="00C11C39" w14:paraId="15A3C9C4" w14:textId="1F36AF64">
            <w:pPr>
              <w:rPr>
                <w:bCs/>
                <w:lang w:val="es-ES"/>
              </w:rPr>
            </w:pPr>
            <w:r w:rsidRPr="00876394">
              <w:t>Michael</w:t>
            </w:r>
            <w:r w:rsidRPr="00876394" w:rsidR="00D70D3A">
              <w:t>.</w:t>
            </w:r>
            <w:r w:rsidRPr="00876394">
              <w:t>Sweeney</w:t>
            </w:r>
            <w:r w:rsidRPr="00876394" w:rsidR="00D35F91">
              <w:t>@fcc.gov</w:t>
            </w:r>
          </w:p>
          <w:p w:rsidR="007A44F8" w:rsidRPr="00876394" w:rsidP="00C11C39" w14:paraId="47802371" w14:textId="77777777">
            <w:pPr>
              <w:rPr>
                <w:bCs/>
                <w:lang w:val="es-ES"/>
              </w:rPr>
            </w:pPr>
          </w:p>
          <w:p w:rsidR="007A44F8" w:rsidRPr="00876394" w:rsidP="00C11C39" w14:paraId="19DC8B95" w14:textId="77777777">
            <w:pPr>
              <w:rPr>
                <w:b/>
              </w:rPr>
            </w:pPr>
            <w:r w:rsidRPr="00876394">
              <w:rPr>
                <w:b/>
              </w:rPr>
              <w:t>For Immediate Release</w:t>
            </w:r>
          </w:p>
          <w:p w:rsidR="007A44F8" w:rsidRPr="00876394" w:rsidP="00C11C39" w14:paraId="3CE38B53" w14:textId="77777777">
            <w:pPr>
              <w:jc w:val="center"/>
              <w:rPr>
                <w:b/>
                <w:bCs/>
              </w:rPr>
            </w:pPr>
          </w:p>
          <w:p w:rsidR="00876394" w:rsidRPr="00876394" w:rsidP="78D743A6" w14:paraId="082407D8" w14:textId="07513A86">
            <w:pPr>
              <w:jc w:val="center"/>
              <w:rPr>
                <w:sz w:val="22"/>
                <w:szCs w:val="22"/>
              </w:rPr>
            </w:pPr>
            <w:bookmarkStart w:id="0" w:name="_Hlk2002227"/>
            <w:r w:rsidRPr="78D743A6">
              <w:rPr>
                <w:b/>
                <w:bCs/>
              </w:rPr>
              <w:t>COMMISSIONER SIMINGTON CALLS FOR ROBUST US CYBER TRUST MARK</w:t>
            </w:r>
          </w:p>
          <w:p w:rsidR="78D743A6" w:rsidP="78D743A6" w14:paraId="72BC41B8" w14:textId="20AF6920">
            <w:pPr>
              <w:jc w:val="center"/>
              <w:rPr>
                <w:b/>
                <w:bCs/>
              </w:rPr>
            </w:pPr>
          </w:p>
          <w:p w:rsidR="00876394" w:rsidRPr="00876394" w:rsidP="00876394" w14:paraId="694DAC61" w14:textId="02A0364F">
            <w:pPr>
              <w:spacing w:after="240"/>
            </w:pPr>
            <w:r w:rsidRPr="78D743A6">
              <w:rPr>
                <w:b/>
                <w:bCs/>
              </w:rPr>
              <w:t>WASHINGTON, D.C., December 6, 2023—</w:t>
            </w:r>
            <w:r>
              <w:t>Today, Commissioner Simington expressed his hope that the US Cyber Trust Mark program will help transform the currently dismal connected device security landscape. He called for the program to have robust requirements, especially that manufacturers make legally binding commitments to maintaining the security of their products after the time of sale. He said that absent such binding, ongoing commitments, the label would be yet another cybersecurity standard that fails to meaningfully improve the security landscape. He also warned that allowing the US Cyber Trust Mark to serve as a safe harbor for negligent practices, or to otherwise preempt state law, would undermine incentives for device manufacturers to be vigilant about security threats.    </w:t>
            </w:r>
          </w:p>
          <w:p w:rsidR="0009481B" w:rsidRPr="00876394" w:rsidP="0009481B" w14:paraId="7A243534" w14:textId="77777777">
            <w:pPr>
              <w:pStyle w:val="NormalWeb"/>
              <w:shd w:val="clear" w:color="auto" w:fill="FFFFFF"/>
              <w:rPr>
                <w:b/>
                <w:bCs/>
              </w:rPr>
            </w:pPr>
          </w:p>
          <w:p w:rsidR="004F0F1F" w:rsidRPr="00876394" w:rsidP="00C11C39" w14:paraId="6B3C1057" w14:textId="60C53190">
            <w:pPr>
              <w:ind w:right="72"/>
              <w:jc w:val="center"/>
            </w:pPr>
            <w:r w:rsidRPr="00876394">
              <w:t>###</w:t>
            </w:r>
          </w:p>
          <w:bookmarkEnd w:id="0"/>
          <w:p w:rsidR="00E644FE" w:rsidRPr="00876394" w:rsidP="00C11C39" w14:paraId="7A4BDD2D" w14:textId="77777777">
            <w:pPr>
              <w:ind w:right="72"/>
              <w:jc w:val="center"/>
              <w:rPr>
                <w:b/>
                <w:bCs/>
              </w:rPr>
            </w:pPr>
            <w:r w:rsidRPr="00876394">
              <w:rPr>
                <w:b/>
                <w:bCs/>
              </w:rPr>
              <w:br/>
              <w:t>Office of Media Relations: (202) 418-0500</w:t>
            </w:r>
          </w:p>
          <w:p w:rsidR="00850E26" w:rsidRPr="00876394" w:rsidP="00C11C39" w14:paraId="4B71060D" w14:textId="77777777">
            <w:pPr>
              <w:ind w:right="72"/>
              <w:jc w:val="center"/>
              <w:rPr>
                <w:b/>
                <w:bCs/>
              </w:rPr>
            </w:pPr>
            <w:r w:rsidRPr="00876394">
              <w:rPr>
                <w:b/>
                <w:bCs/>
              </w:rPr>
              <w:t xml:space="preserve">ASL </w:t>
            </w:r>
            <w:r w:rsidRPr="00876394">
              <w:rPr>
                <w:b/>
                <w:bCs/>
              </w:rPr>
              <w:t>Videophone: (844) 432-2275</w:t>
            </w:r>
          </w:p>
          <w:p w:rsidR="00E644FE" w:rsidRPr="00876394" w:rsidP="00C11C39" w14:paraId="4A02008E" w14:textId="77777777">
            <w:pPr>
              <w:ind w:right="72"/>
              <w:jc w:val="center"/>
              <w:rPr>
                <w:b/>
                <w:bCs/>
              </w:rPr>
            </w:pPr>
            <w:r w:rsidRPr="00876394">
              <w:rPr>
                <w:b/>
                <w:bCs/>
              </w:rPr>
              <w:t>TTY: (888) 835-5322</w:t>
            </w:r>
          </w:p>
          <w:p w:rsidR="00CC5E08" w:rsidRPr="00876394" w:rsidP="00C11C39" w14:paraId="49DC2DA3" w14:textId="77777777">
            <w:pPr>
              <w:ind w:right="72"/>
              <w:jc w:val="center"/>
              <w:rPr>
                <w:b/>
                <w:bCs/>
              </w:rPr>
            </w:pPr>
            <w:r w:rsidRPr="00876394">
              <w:rPr>
                <w:b/>
                <w:bCs/>
              </w:rPr>
              <w:t>Twitter: @FCC</w:t>
            </w:r>
          </w:p>
          <w:p w:rsidR="00CC5E08" w:rsidRPr="00876394" w:rsidP="00C11C39" w14:paraId="1ECFAF31" w14:textId="77777777">
            <w:pPr>
              <w:ind w:right="72"/>
              <w:jc w:val="center"/>
              <w:rPr>
                <w:rStyle w:val="Hyperlink"/>
                <w:b/>
                <w:bCs/>
                <w:color w:val="auto"/>
              </w:rPr>
            </w:pPr>
            <w:r w:rsidRPr="00876394">
              <w:rPr>
                <w:b/>
              </w:rPr>
              <w:t>www.fcc.gov/media-relations</w:t>
            </w:r>
            <w:r w:rsidRPr="00876394">
              <w:rPr>
                <w:b/>
                <w:bCs/>
              </w:rPr>
              <w:t xml:space="preserve">  </w:t>
            </w:r>
          </w:p>
          <w:p w:rsidR="0069420F" w:rsidRPr="00876394" w:rsidP="00C11C39" w14:paraId="2080B0A3" w14:textId="77777777">
            <w:pPr>
              <w:ind w:right="72"/>
              <w:jc w:val="center"/>
              <w:rPr>
                <w:b/>
                <w:bCs/>
              </w:rPr>
            </w:pPr>
          </w:p>
          <w:p w:rsidR="00EE0E90" w:rsidRPr="00876394" w:rsidP="00C11C39" w14:paraId="04051BC9" w14:textId="77777777">
            <w:pPr>
              <w:ind w:right="72"/>
              <w:jc w:val="center"/>
              <w:rPr>
                <w:bCs/>
                <w:i/>
              </w:rPr>
            </w:pPr>
            <w:r w:rsidRPr="00876394">
              <w:rPr>
                <w:bCs/>
                <w:i/>
              </w:rPr>
              <w:t xml:space="preserve">This is an unofficial announcement of Commission action.  Release of the full text of a Commission order constitutes official action.  See MCI v. FCC, 515 F.2d </w:t>
            </w:r>
            <w:r w:rsidRPr="00876394">
              <w:rPr>
                <w:bCs/>
                <w:i/>
              </w:rPr>
              <w:t>385 (D.C. C</w:t>
            </w:r>
            <w:r w:rsidRPr="00876394" w:rsidR="00796365">
              <w:rPr>
                <w:bCs/>
                <w:i/>
              </w:rPr>
              <w:t>i</w:t>
            </w:r>
            <w:r w:rsidRPr="00876394">
              <w:rPr>
                <w:bCs/>
                <w:i/>
              </w:rPr>
              <w:t>r. 1974).</w:t>
            </w:r>
          </w:p>
        </w:tc>
      </w:tr>
      <w:tr w14:paraId="3B8115F4" w14:textId="77777777" w:rsidTr="78D743A6">
        <w:tblPrEx>
          <w:tblW w:w="0" w:type="auto"/>
          <w:jc w:val="center"/>
          <w:tblLook w:val="0000"/>
        </w:tblPrEx>
        <w:trPr>
          <w:trHeight w:val="2181"/>
          <w:jc w:val="center"/>
        </w:trPr>
        <w:tc>
          <w:tcPr>
            <w:tcW w:w="8856" w:type="dxa"/>
          </w:tcPr>
          <w:p w:rsidR="00876394" w:rsidRPr="00876394" w:rsidP="00C11C39" w14:paraId="5BF0AF47" w14:textId="77777777">
            <w:pPr>
              <w:jc w:val="center"/>
              <w:rPr>
                <w:b/>
                <w:i/>
                <w:noProof/>
              </w:rPr>
            </w:pPr>
          </w:p>
        </w:tc>
      </w:tr>
    </w:tbl>
    <w:p w:rsidR="00D24C3D" w:rsidRPr="007528A5" w:rsidP="00C11C39" w14:paraId="64E58CAA"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BF"/>
    <w:rsid w:val="00006F90"/>
    <w:rsid w:val="00032FAC"/>
    <w:rsid w:val="00040127"/>
    <w:rsid w:val="00040826"/>
    <w:rsid w:val="00050013"/>
    <w:rsid w:val="00092E4D"/>
    <w:rsid w:val="0009481B"/>
    <w:rsid w:val="000B193D"/>
    <w:rsid w:val="000C18DC"/>
    <w:rsid w:val="000C3FBB"/>
    <w:rsid w:val="000D15D9"/>
    <w:rsid w:val="000D70E5"/>
    <w:rsid w:val="000D7C91"/>
    <w:rsid w:val="00123176"/>
    <w:rsid w:val="001577C4"/>
    <w:rsid w:val="00166A77"/>
    <w:rsid w:val="001812EE"/>
    <w:rsid w:val="001934DD"/>
    <w:rsid w:val="001B0068"/>
    <w:rsid w:val="001C55E3"/>
    <w:rsid w:val="001C79C7"/>
    <w:rsid w:val="001D3AD9"/>
    <w:rsid w:val="00231494"/>
    <w:rsid w:val="00244FDB"/>
    <w:rsid w:val="00263EC7"/>
    <w:rsid w:val="00285C36"/>
    <w:rsid w:val="002951C6"/>
    <w:rsid w:val="002A6716"/>
    <w:rsid w:val="002D4ED4"/>
    <w:rsid w:val="002F6497"/>
    <w:rsid w:val="00310105"/>
    <w:rsid w:val="00313AAF"/>
    <w:rsid w:val="003202C8"/>
    <w:rsid w:val="00333ECD"/>
    <w:rsid w:val="00350090"/>
    <w:rsid w:val="00374BD6"/>
    <w:rsid w:val="00394DAF"/>
    <w:rsid w:val="003B39C6"/>
    <w:rsid w:val="003B5E3F"/>
    <w:rsid w:val="003F6C38"/>
    <w:rsid w:val="00400CCA"/>
    <w:rsid w:val="00412BC6"/>
    <w:rsid w:val="00426518"/>
    <w:rsid w:val="0044661E"/>
    <w:rsid w:val="00466041"/>
    <w:rsid w:val="00475A77"/>
    <w:rsid w:val="00480943"/>
    <w:rsid w:val="00482564"/>
    <w:rsid w:val="00484BF8"/>
    <w:rsid w:val="004A729A"/>
    <w:rsid w:val="004C1B21"/>
    <w:rsid w:val="004D28AA"/>
    <w:rsid w:val="004D3957"/>
    <w:rsid w:val="004E6F7C"/>
    <w:rsid w:val="004F0F1F"/>
    <w:rsid w:val="00530B9F"/>
    <w:rsid w:val="00532B9E"/>
    <w:rsid w:val="005438DA"/>
    <w:rsid w:val="0055522A"/>
    <w:rsid w:val="00561591"/>
    <w:rsid w:val="0059696E"/>
    <w:rsid w:val="005B1F6E"/>
    <w:rsid w:val="005E5A8A"/>
    <w:rsid w:val="006137B0"/>
    <w:rsid w:val="00622103"/>
    <w:rsid w:val="00622537"/>
    <w:rsid w:val="00623AC7"/>
    <w:rsid w:val="00666C49"/>
    <w:rsid w:val="00671283"/>
    <w:rsid w:val="006910AB"/>
    <w:rsid w:val="0069420F"/>
    <w:rsid w:val="006A7D75"/>
    <w:rsid w:val="006B0A70"/>
    <w:rsid w:val="006C0AB0"/>
    <w:rsid w:val="006D693B"/>
    <w:rsid w:val="006E4A76"/>
    <w:rsid w:val="006F5731"/>
    <w:rsid w:val="006F6D66"/>
    <w:rsid w:val="00713FBD"/>
    <w:rsid w:val="007366F1"/>
    <w:rsid w:val="007528A5"/>
    <w:rsid w:val="00757724"/>
    <w:rsid w:val="007957A4"/>
    <w:rsid w:val="00796365"/>
    <w:rsid w:val="007A44F8"/>
    <w:rsid w:val="007D5A41"/>
    <w:rsid w:val="007D7FF1"/>
    <w:rsid w:val="007F042E"/>
    <w:rsid w:val="00820FCC"/>
    <w:rsid w:val="00850B22"/>
    <w:rsid w:val="00850E26"/>
    <w:rsid w:val="00876394"/>
    <w:rsid w:val="00893C3B"/>
    <w:rsid w:val="008A3940"/>
    <w:rsid w:val="008F37A3"/>
    <w:rsid w:val="00921F3E"/>
    <w:rsid w:val="00926FA2"/>
    <w:rsid w:val="00932C8D"/>
    <w:rsid w:val="00952B6C"/>
    <w:rsid w:val="00986C92"/>
    <w:rsid w:val="009A7C55"/>
    <w:rsid w:val="009C6A5C"/>
    <w:rsid w:val="009E549D"/>
    <w:rsid w:val="009F19CA"/>
    <w:rsid w:val="009F4FC7"/>
    <w:rsid w:val="009F5884"/>
    <w:rsid w:val="00A01AF4"/>
    <w:rsid w:val="00A056C8"/>
    <w:rsid w:val="00A11B1F"/>
    <w:rsid w:val="00A225A9"/>
    <w:rsid w:val="00A301C2"/>
    <w:rsid w:val="00A45DDB"/>
    <w:rsid w:val="00A62F3E"/>
    <w:rsid w:val="00A668A3"/>
    <w:rsid w:val="00A72FBF"/>
    <w:rsid w:val="00A81203"/>
    <w:rsid w:val="00A85D5E"/>
    <w:rsid w:val="00AA3010"/>
    <w:rsid w:val="00AB2561"/>
    <w:rsid w:val="00B0318D"/>
    <w:rsid w:val="00B21693"/>
    <w:rsid w:val="00B5058B"/>
    <w:rsid w:val="00B57131"/>
    <w:rsid w:val="00BB397B"/>
    <w:rsid w:val="00BB4E29"/>
    <w:rsid w:val="00BD0C37"/>
    <w:rsid w:val="00C11C39"/>
    <w:rsid w:val="00C134FB"/>
    <w:rsid w:val="00C36027"/>
    <w:rsid w:val="00C65399"/>
    <w:rsid w:val="00C8009E"/>
    <w:rsid w:val="00C953AC"/>
    <w:rsid w:val="00CA1394"/>
    <w:rsid w:val="00CC5E08"/>
    <w:rsid w:val="00CF72FB"/>
    <w:rsid w:val="00CF75D9"/>
    <w:rsid w:val="00D13775"/>
    <w:rsid w:val="00D219DB"/>
    <w:rsid w:val="00D23729"/>
    <w:rsid w:val="00D24C3D"/>
    <w:rsid w:val="00D35F91"/>
    <w:rsid w:val="00D63677"/>
    <w:rsid w:val="00D70D3A"/>
    <w:rsid w:val="00D72DE3"/>
    <w:rsid w:val="00D75814"/>
    <w:rsid w:val="00D921CF"/>
    <w:rsid w:val="00DA7B44"/>
    <w:rsid w:val="00DB04EA"/>
    <w:rsid w:val="00DD316F"/>
    <w:rsid w:val="00E129DE"/>
    <w:rsid w:val="00E33DED"/>
    <w:rsid w:val="00E41158"/>
    <w:rsid w:val="00E53B3F"/>
    <w:rsid w:val="00E644FE"/>
    <w:rsid w:val="00E71FCD"/>
    <w:rsid w:val="00E9158C"/>
    <w:rsid w:val="00EE0E90"/>
    <w:rsid w:val="00F127FF"/>
    <w:rsid w:val="00F35FC0"/>
    <w:rsid w:val="00F42E0E"/>
    <w:rsid w:val="00F61155"/>
    <w:rsid w:val="00F67C4B"/>
    <w:rsid w:val="00F73F3C"/>
    <w:rsid w:val="00F9049D"/>
    <w:rsid w:val="00FB049E"/>
    <w:rsid w:val="00FE4199"/>
    <w:rsid w:val="00FF232D"/>
    <w:rsid w:val="00FF54B6"/>
    <w:rsid w:val="0767983F"/>
    <w:rsid w:val="0C3B0962"/>
    <w:rsid w:val="0DD6D9C3"/>
    <w:rsid w:val="245B42F2"/>
    <w:rsid w:val="36279807"/>
    <w:rsid w:val="3EF2E398"/>
    <w:rsid w:val="47E179B8"/>
    <w:rsid w:val="51885BFE"/>
    <w:rsid w:val="54A6D463"/>
    <w:rsid w:val="54B7131B"/>
    <w:rsid w:val="5B1615E7"/>
    <w:rsid w:val="64DA8140"/>
    <w:rsid w:val="6564097C"/>
    <w:rsid w:val="6A5DED57"/>
    <w:rsid w:val="6B77EF36"/>
    <w:rsid w:val="6CCFF798"/>
    <w:rsid w:val="78D743A6"/>
    <w:rsid w:val="7C24E597"/>
    <w:rsid w:val="7F5C86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6C86CB"/>
  <w15:docId w15:val="{2320E21F-74D4-4839-9C18-7C861D75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4F0F1F"/>
    <w:rPr>
      <w:sz w:val="24"/>
      <w:szCs w:val="24"/>
    </w:rPr>
  </w:style>
  <w:style w:type="paragraph" w:styleId="Heading2">
    <w:name w:val="heading 2"/>
    <w:basedOn w:val="Normal"/>
    <w:link w:val="Heading2Char"/>
    <w:uiPriority w:val="9"/>
    <w:qFormat/>
    <w:rsid w:val="00412BC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B75AB7"/>
    <w:rPr>
      <w:rFonts w:ascii="Segoe UI" w:hAnsi="Segoe UI" w:cs="Segoe UI"/>
      <w:sz w:val="18"/>
      <w:szCs w:val="18"/>
    </w:rPr>
  </w:style>
  <w:style w:type="character" w:customStyle="1" w:styleId="BalloonTextChar">
    <w:name w:val="Balloon Text Char"/>
    <w:basedOn w:val="DefaultParagraphFont"/>
    <w:link w:val="BalloonText"/>
    <w:semiHidden/>
    <w:rsid w:val="00B75AB7"/>
    <w:rPr>
      <w:rFonts w:ascii="Segoe UI" w:hAnsi="Segoe UI" w:cs="Segoe UI"/>
      <w:sz w:val="18"/>
      <w:szCs w:val="18"/>
    </w:rPr>
  </w:style>
  <w:style w:type="character" w:styleId="CommentReference">
    <w:name w:val="annotation reference"/>
    <w:basedOn w:val="DefaultParagraphFont"/>
    <w:semiHidden/>
    <w:unhideWhenUsed/>
    <w:rsid w:val="00BB397B"/>
    <w:rPr>
      <w:sz w:val="16"/>
      <w:szCs w:val="16"/>
    </w:rPr>
  </w:style>
  <w:style w:type="paragraph" w:styleId="CommentText">
    <w:name w:val="annotation text"/>
    <w:basedOn w:val="Normal"/>
    <w:link w:val="CommentTextChar"/>
    <w:semiHidden/>
    <w:unhideWhenUsed/>
    <w:rsid w:val="00BB397B"/>
    <w:rPr>
      <w:sz w:val="20"/>
      <w:szCs w:val="20"/>
    </w:rPr>
  </w:style>
  <w:style w:type="character" w:customStyle="1" w:styleId="CommentTextChar">
    <w:name w:val="Comment Text Char"/>
    <w:basedOn w:val="DefaultParagraphFont"/>
    <w:link w:val="CommentText"/>
    <w:semiHidden/>
    <w:rsid w:val="00BB397B"/>
  </w:style>
  <w:style w:type="paragraph" w:styleId="CommentSubject">
    <w:name w:val="annotation subject"/>
    <w:basedOn w:val="CommentText"/>
    <w:next w:val="CommentText"/>
    <w:link w:val="CommentSubjectChar"/>
    <w:semiHidden/>
    <w:unhideWhenUsed/>
    <w:rsid w:val="00BB397B"/>
    <w:rPr>
      <w:b/>
      <w:bCs/>
    </w:rPr>
  </w:style>
  <w:style w:type="character" w:customStyle="1" w:styleId="CommentSubjectChar">
    <w:name w:val="Comment Subject Char"/>
    <w:basedOn w:val="CommentTextChar"/>
    <w:link w:val="CommentSubject"/>
    <w:semiHidden/>
    <w:rsid w:val="00BB397B"/>
    <w:rPr>
      <w:b/>
      <w:bCs/>
    </w:rPr>
  </w:style>
  <w:style w:type="paragraph" w:customStyle="1" w:styleId="xmsonormal">
    <w:name w:val="x_msonormal"/>
    <w:basedOn w:val="Normal"/>
    <w:uiPriority w:val="99"/>
    <w:semiHidden/>
    <w:rsid w:val="00244FDB"/>
    <w:rPr>
      <w:rFonts w:ascii="Calibri" w:hAnsi="Calibri" w:eastAsiaTheme="minorHAnsi"/>
      <w:sz w:val="22"/>
      <w:szCs w:val="22"/>
    </w:rPr>
  </w:style>
  <w:style w:type="character" w:customStyle="1" w:styleId="Heading2Char">
    <w:name w:val="Heading 2 Char"/>
    <w:basedOn w:val="DefaultParagraphFont"/>
    <w:link w:val="Heading2"/>
    <w:uiPriority w:val="9"/>
    <w:rsid w:val="00412BC6"/>
    <w:rPr>
      <w:b/>
      <w:bCs/>
      <w:sz w:val="36"/>
      <w:szCs w:val="36"/>
    </w:rPr>
  </w:style>
  <w:style w:type="character" w:styleId="Strong">
    <w:name w:val="Strong"/>
    <w:basedOn w:val="DefaultParagraphFont"/>
    <w:uiPriority w:val="22"/>
    <w:qFormat/>
    <w:rsid w:val="00412BC6"/>
    <w:rPr>
      <w:b/>
      <w:bCs/>
    </w:rPr>
  </w:style>
  <w:style w:type="paragraph" w:customStyle="1" w:styleId="Default">
    <w:name w:val="Default"/>
    <w:rsid w:val="007F042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