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3575A" w14:paraId="055AFD2D" w14:textId="77777777">
      <w:pPr>
        <w:jc w:val="center"/>
        <w:rPr>
          <w:b/>
          <w:snapToGrid/>
        </w:rPr>
      </w:pPr>
      <w:r>
        <w:rPr>
          <w:b/>
        </w:rPr>
        <w:t>Before the</w:t>
      </w:r>
    </w:p>
    <w:p w:rsidR="0083575A" w14:paraId="0EAF5AFF" w14:textId="77777777">
      <w:pPr>
        <w:jc w:val="center"/>
        <w:rPr>
          <w:b/>
        </w:rPr>
      </w:pPr>
      <w:r>
        <w:rPr>
          <w:b/>
        </w:rPr>
        <w:t>Federal Communications Commission</w:t>
      </w:r>
    </w:p>
    <w:p w:rsidR="0083575A" w14:paraId="78429A08"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83575A" w14:paraId="2E1C11CC" w14:textId="77777777"/>
    <w:p w:rsidR="0083575A" w14:paraId="05E38E50" w14:textId="77777777"/>
    <w:tbl>
      <w:tblPr>
        <w:tblW w:w="0" w:type="auto"/>
        <w:tblLayout w:type="fixed"/>
        <w:tblLook w:val="04A0"/>
      </w:tblPr>
      <w:tblGrid>
        <w:gridCol w:w="4698"/>
        <w:gridCol w:w="720"/>
        <w:gridCol w:w="4230"/>
      </w:tblGrid>
      <w:tr w14:paraId="64D02571" w14:textId="77777777">
        <w:tblPrEx>
          <w:tblW w:w="0" w:type="auto"/>
          <w:tblLayout w:type="fixed"/>
          <w:tblLook w:val="04A0"/>
        </w:tblPrEx>
        <w:tc>
          <w:tcPr>
            <w:tcW w:w="4698" w:type="dxa"/>
          </w:tcPr>
          <w:p w:rsidR="0083575A" w14:paraId="05D74651" w14:textId="77777777">
            <w:pPr>
              <w:ind w:right="-18"/>
            </w:pPr>
            <w:r>
              <w:t>In the Matter of</w:t>
            </w:r>
          </w:p>
          <w:p w:rsidR="0083575A" w14:paraId="2EB14E32" w14:textId="77777777">
            <w:pPr>
              <w:ind w:right="-18"/>
            </w:pPr>
          </w:p>
          <w:p w:rsidR="0083575A" w14:paraId="6311938D" w14:textId="65A24570">
            <w:pPr>
              <w:ind w:right="-18"/>
            </w:pPr>
            <w:r w:rsidRPr="00B00B74">
              <w:rPr>
                <w:spacing w:val="-2"/>
                <w:szCs w:val="22"/>
              </w:rPr>
              <w:t>Pro</w:t>
            </w:r>
            <w:r w:rsidR="00AC7D06">
              <w:rPr>
                <w:spacing w:val="-2"/>
                <w:szCs w:val="22"/>
              </w:rPr>
              <w:t>moting Telehealth in Rural America</w:t>
            </w:r>
          </w:p>
        </w:tc>
        <w:tc>
          <w:tcPr>
            <w:tcW w:w="720" w:type="dxa"/>
          </w:tcPr>
          <w:p w:rsidR="0083575A" w14:paraId="34567BB0" w14:textId="77777777">
            <w:pPr>
              <w:rPr>
                <w:b/>
              </w:rPr>
            </w:pPr>
            <w:r>
              <w:rPr>
                <w:b/>
              </w:rPr>
              <w:t>)</w:t>
            </w:r>
          </w:p>
          <w:p w:rsidR="0083575A" w14:paraId="74D3E541" w14:textId="77777777">
            <w:pPr>
              <w:rPr>
                <w:b/>
              </w:rPr>
            </w:pPr>
            <w:r>
              <w:rPr>
                <w:b/>
              </w:rPr>
              <w:t>)</w:t>
            </w:r>
          </w:p>
          <w:p w:rsidR="0083575A" w14:paraId="000ED20C" w14:textId="77777777">
            <w:pPr>
              <w:rPr>
                <w:b/>
              </w:rPr>
            </w:pPr>
            <w:r>
              <w:rPr>
                <w:b/>
              </w:rPr>
              <w:t>)</w:t>
            </w:r>
          </w:p>
          <w:p w:rsidR="0083575A" w14:paraId="1D4FC94D" w14:textId="5CF02D61">
            <w:pPr>
              <w:rPr>
                <w:b/>
              </w:rPr>
            </w:pPr>
            <w:r>
              <w:rPr>
                <w:b/>
              </w:rPr>
              <w:t>)</w:t>
            </w:r>
          </w:p>
          <w:p w:rsidR="0083575A" w14:paraId="18EA4BE4" w14:textId="77777777">
            <w:pPr>
              <w:rPr>
                <w:b/>
              </w:rPr>
            </w:pPr>
          </w:p>
        </w:tc>
        <w:tc>
          <w:tcPr>
            <w:tcW w:w="4230" w:type="dxa"/>
          </w:tcPr>
          <w:p w:rsidR="0083575A" w14:paraId="6F6E3727" w14:textId="77777777"/>
          <w:p w:rsidR="0083575A" w14:paraId="7246BE63" w14:textId="77777777"/>
          <w:p w:rsidR="0083575A" w:rsidRPr="00BB2221" w14:paraId="4B5DB406" w14:textId="25C35FC3">
            <w:r w:rsidRPr="00BB2221">
              <w:t xml:space="preserve">WC Docket No. </w:t>
            </w:r>
            <w:r w:rsidR="00AC7D06">
              <w:t>17-310</w:t>
            </w:r>
          </w:p>
        </w:tc>
      </w:tr>
    </w:tbl>
    <w:p w:rsidR="0083575A" w14:paraId="4FCD61B9" w14:textId="53D2C784">
      <w:pPr>
        <w:spacing w:before="120"/>
        <w:jc w:val="center"/>
        <w:rPr>
          <w:b/>
          <w:spacing w:val="-2"/>
        </w:rPr>
      </w:pPr>
      <w:r>
        <w:rPr>
          <w:b/>
          <w:spacing w:val="-2"/>
        </w:rPr>
        <w:t>ERRATUM</w:t>
      </w:r>
    </w:p>
    <w:p w:rsidR="0083575A" w14:paraId="152ACB8E" w14:textId="77777777">
      <w:pPr>
        <w:tabs>
          <w:tab w:val="left" w:pos="5760"/>
        </w:tabs>
        <w:rPr>
          <w:b/>
        </w:rPr>
      </w:pPr>
    </w:p>
    <w:p w:rsidR="0083575A" w14:paraId="25CFB5CB" w14:textId="12F2ACE5">
      <w:pPr>
        <w:jc w:val="right"/>
        <w:rPr>
          <w:b/>
        </w:rPr>
      </w:pPr>
      <w:r>
        <w:rPr>
          <w:b/>
        </w:rPr>
        <w:t xml:space="preserve">Released:  </w:t>
      </w:r>
      <w:r w:rsidR="00AC7D06">
        <w:rPr>
          <w:b/>
        </w:rPr>
        <w:t xml:space="preserve">December </w:t>
      </w:r>
      <w:r w:rsidR="00D54513">
        <w:rPr>
          <w:b/>
        </w:rPr>
        <w:t>26</w:t>
      </w:r>
      <w:r w:rsidR="003658D9">
        <w:rPr>
          <w:b/>
        </w:rPr>
        <w:t>, 2023</w:t>
      </w:r>
    </w:p>
    <w:p w:rsidR="0083575A" w14:paraId="2C7DF0DC" w14:textId="77777777">
      <w:pPr>
        <w:tabs>
          <w:tab w:val="left" w:pos="5760"/>
        </w:tabs>
        <w:rPr>
          <w:b/>
        </w:rPr>
      </w:pPr>
    </w:p>
    <w:p w:rsidR="00BB2221" w:rsidP="00BB2221" w14:paraId="7374329D" w14:textId="77777777">
      <w:pPr>
        <w:tabs>
          <w:tab w:val="left" w:pos="5760"/>
        </w:tabs>
      </w:pPr>
      <w:r>
        <w:t xml:space="preserve">By the </w:t>
      </w:r>
      <w:r>
        <w:rPr>
          <w:spacing w:val="-2"/>
        </w:rPr>
        <w:t>Chief, Wireline Competition Bureau:</w:t>
      </w:r>
    </w:p>
    <w:p w:rsidR="00BB2221" w:rsidP="00BB2221" w14:paraId="4BC6A70C" w14:textId="77777777"/>
    <w:p w:rsidR="00434C8B" w:rsidP="00275189" w14:paraId="3CDD3E5A" w14:textId="4A0838F4">
      <w:pPr>
        <w:pStyle w:val="ParaNum"/>
        <w:numPr>
          <w:ilvl w:val="0"/>
          <w:numId w:val="0"/>
        </w:numPr>
        <w:ind w:firstLine="720"/>
      </w:pPr>
      <w:r>
        <w:t xml:space="preserve">On </w:t>
      </w:r>
      <w:r w:rsidR="009E3522">
        <w:t xml:space="preserve">December 14, </w:t>
      </w:r>
      <w:r>
        <w:t>202</w:t>
      </w:r>
      <w:r w:rsidR="00D27B9F">
        <w:t>3</w:t>
      </w:r>
      <w:r>
        <w:t xml:space="preserve">, the Commission released a </w:t>
      </w:r>
      <w:r w:rsidR="009E3522">
        <w:rPr>
          <w:i/>
          <w:iCs/>
        </w:rPr>
        <w:t>Third Report and Order</w:t>
      </w:r>
      <w:r>
        <w:t>, FCC 2</w:t>
      </w:r>
      <w:r w:rsidR="00D27B9F">
        <w:t>3</w:t>
      </w:r>
      <w:r>
        <w:t>-</w:t>
      </w:r>
      <w:r w:rsidR="009E3522">
        <w:t>110</w:t>
      </w:r>
      <w:r>
        <w:t xml:space="preserve">, in the above captioned proceeding.  This Erratum </w:t>
      </w:r>
      <w:r w:rsidR="00A64CC7">
        <w:t>amends</w:t>
      </w:r>
      <w:r>
        <w:t xml:space="preserve"> the </w:t>
      </w:r>
      <w:r w:rsidR="00B404B4">
        <w:rPr>
          <w:i/>
          <w:iCs/>
        </w:rPr>
        <w:t>Third Report and Order</w:t>
      </w:r>
      <w:r w:rsidR="00C62884">
        <w:rPr>
          <w:i/>
          <w:iCs/>
        </w:rPr>
        <w:t xml:space="preserve"> </w:t>
      </w:r>
      <w:r w:rsidR="00B404B4">
        <w:t xml:space="preserve">as </w:t>
      </w:r>
      <w:r>
        <w:t>indicated below:</w:t>
      </w:r>
    </w:p>
    <w:p w:rsidR="00F72F39" w:rsidP="00933086" w14:paraId="0F6CF471" w14:textId="79003E89">
      <w:pPr>
        <w:pStyle w:val="Heading6"/>
        <w:numPr>
          <w:ilvl w:val="0"/>
          <w:numId w:val="10"/>
        </w:numPr>
        <w:tabs>
          <w:tab w:val="clear" w:pos="4320"/>
        </w:tabs>
        <w:ind w:left="0" w:firstLine="360"/>
        <w:rPr>
          <w:b w:val="0"/>
          <w:bCs/>
        </w:rPr>
      </w:pPr>
      <w:r w:rsidRPr="006114F1">
        <w:rPr>
          <w:b w:val="0"/>
          <w:bCs/>
        </w:rPr>
        <w:t>Paragraph</w:t>
      </w:r>
      <w:r w:rsidR="00CA2244">
        <w:rPr>
          <w:b w:val="0"/>
          <w:bCs/>
        </w:rPr>
        <w:t xml:space="preserve"> 39 is </w:t>
      </w:r>
      <w:r w:rsidR="00A64CC7">
        <w:rPr>
          <w:b w:val="0"/>
          <w:bCs/>
        </w:rPr>
        <w:t>corrected to read as follows</w:t>
      </w:r>
      <w:r w:rsidR="00600ABF">
        <w:rPr>
          <w:b w:val="0"/>
          <w:bCs/>
        </w:rPr>
        <w:t xml:space="preserve">: </w:t>
      </w:r>
    </w:p>
    <w:p w:rsidR="00733F8F" w:rsidP="00933086" w14:paraId="4E2D63A6" w14:textId="5F720566">
      <w:pPr>
        <w:spacing w:after="120"/>
        <w:ind w:left="1080" w:firstLine="360"/>
      </w:pPr>
      <w:r>
        <w:t>“39.</w:t>
      </w:r>
      <w:r w:rsidR="00A64CC7">
        <w:tab/>
      </w:r>
      <w:r>
        <w:t>The Commission has determined, and the Administrator of the Office of Information and Regulatory Affairs, Office of Management and Budget, concurs, that this rule is non-major under the Congressional Review Act, 5 U.S.C. § 804(2).  The Commission will send a copy of this Third Report and Order to Congress and the Government Accountability Office pursuant to 5 U.S.C. § 801(a)(1)(A).</w:t>
      </w:r>
      <w:r w:rsidR="00B723F0">
        <w:t>”</w:t>
      </w:r>
    </w:p>
    <w:p w:rsidR="00B723F0" w:rsidP="00933086" w14:paraId="03FC5C32" w14:textId="0A89AAA6">
      <w:pPr>
        <w:pStyle w:val="ListParagraph"/>
        <w:numPr>
          <w:ilvl w:val="0"/>
          <w:numId w:val="10"/>
        </w:numPr>
        <w:spacing w:after="120"/>
        <w:ind w:left="0" w:firstLine="360"/>
        <w:contextualSpacing w:val="0"/>
      </w:pPr>
      <w:r>
        <w:t xml:space="preserve">Paragraph 44 is </w:t>
      </w:r>
      <w:r w:rsidR="00A64CC7">
        <w:t>corrected to read as follows</w:t>
      </w:r>
      <w:r>
        <w:t>:</w:t>
      </w:r>
    </w:p>
    <w:p w:rsidR="00B723F0" w:rsidP="00933086" w14:paraId="6E48ACDE" w14:textId="387764DF">
      <w:pPr>
        <w:keepNext/>
        <w:widowControl/>
        <w:spacing w:after="120"/>
        <w:ind w:left="1080" w:firstLine="360"/>
      </w:pPr>
      <w:r>
        <w:t>“44.</w:t>
      </w:r>
      <w:r w:rsidR="00A64CC7">
        <w:tab/>
      </w:r>
      <w:r w:rsidRPr="0056785F">
        <w:t>IT IS FURTHER ORDERED, that pursuant to the authority contained in sections 1 through 4, 201 through 205, 254, 303(r), and 403 of the Communications Act of 1934, as amended, 47 U.S.C. §§ 151-154, 201-205, 254, 303(r), and 403, and section 706 of the Telecommunications Act of 1996, 47 U.S.C. § 1302, Part 54 of the Commission’s rules, 47 CFR Part 54, is AMENDED as set forth in Appendix A, and such rule amendments shall be effective (30) days after the publication of the Third Report and Order in the Federal Register, except that sections 54.601(b), 54.601(c), 54.622(e)(1)(</w:t>
      </w:r>
      <w:r w:rsidRPr="0056785F">
        <w:t>i</w:t>
      </w:r>
      <w:r w:rsidRPr="0056785F">
        <w:t xml:space="preserve">)-(ii), </w:t>
      </w:r>
      <w:r w:rsidR="00ED2206">
        <w:t>and 54.622(</w:t>
      </w:r>
      <w:r w:rsidR="00ED2206">
        <w:t>i</w:t>
      </w:r>
      <w:r w:rsidR="00ED2206">
        <w:t xml:space="preserve">)(3)(iv), </w:t>
      </w:r>
      <w:r w:rsidRPr="0056785F">
        <w:t xml:space="preserve">which may contain new or modified information collection requirements, will not become effective until the Office of Management and Budget completes any required review under the Paperwork Reduction Act.  In addition, section 54.604 will not become effective until the later of: (1) 30 days after the publication of the Third Report and Order in the Federal Register; or (2) after the Office of Management and Budget completes any required review under the Paperwork Reduction Act associated with changes to that rule adopted in the </w:t>
      </w:r>
      <w:r w:rsidRPr="0056785F">
        <w:rPr>
          <w:i/>
          <w:iCs/>
        </w:rPr>
        <w:t>Promoting Telehealth Order on Reconsideration</w:t>
      </w:r>
      <w:r w:rsidRPr="0056785F">
        <w:rPr>
          <w:iCs/>
        </w:rPr>
        <w:t>.</w:t>
      </w:r>
      <w:r w:rsidR="00197D3A">
        <w:rPr>
          <w:iCs/>
        </w:rPr>
        <w:t xml:space="preserve">  </w:t>
      </w:r>
      <w:r w:rsidRPr="0056785F">
        <w:t xml:space="preserve">The Commission directs the Wireline Competition Bureau to publish a notice in the </w:t>
      </w:r>
      <w:r w:rsidRPr="0056785F">
        <w:rPr>
          <w:i/>
          <w:iCs/>
        </w:rPr>
        <w:t>Federal Register</w:t>
      </w:r>
      <w:r w:rsidRPr="0056785F">
        <w:t xml:space="preserve"> announcing completion of such reviews and the relevant effective dates</w:t>
      </w:r>
      <w:r w:rsidR="00ED4AD9">
        <w:t>.</w:t>
      </w:r>
      <w:r w:rsidR="00A64CC7">
        <w:t>”</w:t>
      </w:r>
    </w:p>
    <w:p w:rsidR="00E46E9D" w:rsidP="00933086" w14:paraId="5F646BC1" w14:textId="20DA11D0">
      <w:pPr>
        <w:pStyle w:val="Heading1"/>
        <w:widowControl/>
        <w:numPr>
          <w:ilvl w:val="0"/>
          <w:numId w:val="0"/>
        </w:numPr>
        <w:suppressAutoHyphens w:val="0"/>
        <w:spacing w:after="0"/>
        <w:rPr>
          <w:b w:val="0"/>
          <w:caps w:val="0"/>
          <w:spacing w:val="-2"/>
        </w:rPr>
      </w:pPr>
    </w:p>
    <w:p w:rsidR="00BB2221" w:rsidP="00933086" w14:paraId="7BEB0A04" w14:textId="01EDF157">
      <w:pPr>
        <w:pStyle w:val="Heading1"/>
        <w:widowControl/>
        <w:numPr>
          <w:ilvl w:val="0"/>
          <w:numId w:val="0"/>
        </w:numPr>
        <w:suppressAutoHyphens w:val="0"/>
        <w:spacing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003029E8">
        <w:rPr>
          <w:b w:val="0"/>
          <w:caps w:val="0"/>
          <w:spacing w:val="-2"/>
        </w:rPr>
        <w:tab/>
      </w:r>
      <w:r>
        <w:rPr>
          <w:rFonts w:ascii="Times New Roman" w:hAnsi="Times New Roman"/>
          <w:b w:val="0"/>
          <w:caps w:val="0"/>
          <w:spacing w:val="-2"/>
        </w:rPr>
        <w:t>FEDERAL COMMUNICATIONS COMMISSION</w:t>
      </w:r>
    </w:p>
    <w:p w:rsidR="00BB2221" w:rsidP="00933086" w14:paraId="02EC3F1B" w14:textId="77777777">
      <w:pPr>
        <w:pStyle w:val="Heading1"/>
        <w:widowControl/>
        <w:numPr>
          <w:ilvl w:val="0"/>
          <w:numId w:val="0"/>
        </w:numPr>
        <w:suppressAutoHyphens w:val="0"/>
        <w:spacing w:after="0"/>
        <w:rPr>
          <w:rFonts w:ascii="Times New Roman" w:hAnsi="Times New Roman"/>
          <w:b w:val="0"/>
          <w:caps w:val="0"/>
          <w:spacing w:val="-2"/>
        </w:rPr>
      </w:pPr>
    </w:p>
    <w:p w:rsidR="00BB2221" w:rsidP="00933086" w14:paraId="3C3DA7D4" w14:textId="77777777">
      <w:pPr>
        <w:pStyle w:val="ParaNum"/>
        <w:keepNext/>
        <w:widowControl/>
        <w:numPr>
          <w:ilvl w:val="0"/>
          <w:numId w:val="0"/>
        </w:numPr>
        <w:spacing w:after="0"/>
      </w:pPr>
    </w:p>
    <w:p w:rsidR="00434C8B" w:rsidP="00933086" w14:paraId="4F3F8433" w14:textId="77777777">
      <w:pPr>
        <w:pStyle w:val="ParaNum"/>
        <w:keepNext/>
        <w:widowControl/>
        <w:numPr>
          <w:ilvl w:val="0"/>
          <w:numId w:val="0"/>
        </w:numPr>
        <w:spacing w:after="0"/>
      </w:pPr>
    </w:p>
    <w:p w:rsidR="00E46E9D" w:rsidP="00933086" w14:paraId="1F2E71D4" w14:textId="77777777">
      <w:pPr>
        <w:pStyle w:val="Heading1"/>
        <w:widowControl/>
        <w:numPr>
          <w:ilvl w:val="0"/>
          <w:numId w:val="0"/>
        </w:numPr>
        <w:suppressAutoHyphens w:val="0"/>
        <w:spacing w:after="0"/>
      </w:pPr>
    </w:p>
    <w:p w:rsidR="00A82FF4" w:rsidRPr="00777D1D" w:rsidP="00933086" w14:paraId="073CEBFC" w14:textId="6411EFEE">
      <w:pPr>
        <w:pStyle w:val="Heading1"/>
        <w:widowControl/>
        <w:numPr>
          <w:ilvl w:val="0"/>
          <w:numId w:val="0"/>
        </w:numPr>
        <w:suppressAutoHyphens w:val="0"/>
        <w:spacing w:after="0"/>
        <w:rPr>
          <w:rFonts w:ascii="Times New Roman" w:hAnsi="Times New Roman"/>
          <w:b w:val="0"/>
          <w:bCs/>
          <w:caps w:val="0"/>
          <w:spacing w:val="-2"/>
        </w:rPr>
      </w:pPr>
      <w:r>
        <w:tab/>
      </w:r>
      <w:r>
        <w:tab/>
      </w:r>
      <w:r>
        <w:tab/>
      </w:r>
      <w:r>
        <w:tab/>
      </w:r>
      <w:r>
        <w:tab/>
      </w:r>
      <w:r>
        <w:tab/>
      </w:r>
      <w:r>
        <w:rPr>
          <w:rFonts w:ascii="Times New Roman" w:hAnsi="Times New Roman"/>
          <w:b w:val="0"/>
          <w:bCs/>
          <w:caps w:val="0"/>
        </w:rPr>
        <w:t>Trent B. Harkrader</w:t>
      </w:r>
      <w:r w:rsidRPr="00777D1D">
        <w:rPr>
          <w:rFonts w:ascii="Times New Roman" w:hAnsi="Times New Roman"/>
          <w:b w:val="0"/>
          <w:bCs/>
          <w:caps w:val="0"/>
          <w:spacing w:val="-2"/>
        </w:rPr>
        <w:t xml:space="preserve"> </w:t>
      </w:r>
    </w:p>
    <w:p w:rsidR="00A82FF4" w:rsidP="00933086" w14:paraId="4735CEC1" w14:textId="77777777">
      <w:pPr>
        <w:pStyle w:val="Heading1"/>
        <w:widowControl/>
        <w:numPr>
          <w:ilvl w:val="0"/>
          <w:numId w:val="0"/>
        </w:numPr>
        <w:suppressAutoHyphens w:val="0"/>
        <w:spacing w:after="0"/>
        <w:rPr>
          <w:rFonts w:ascii="Times New Roman" w:hAnsi="Times New Roman"/>
          <w:b w:val="0"/>
          <w:bCs/>
          <w:caps w:val="0"/>
        </w:rPr>
      </w:pP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rPr>
        <w:t>Chief</w:t>
      </w:r>
    </w:p>
    <w:p w:rsidR="0083575A" w:rsidP="00933086" w14:paraId="544BBA05" w14:textId="2DDC8E0C">
      <w:pPr>
        <w:pStyle w:val="ParaNum"/>
        <w:numPr>
          <w:ilvl w:val="0"/>
          <w:numId w:val="0"/>
        </w:numPr>
      </w:pPr>
      <w:r>
        <w:tab/>
      </w:r>
      <w:r>
        <w:tab/>
      </w:r>
      <w:r>
        <w:tab/>
      </w:r>
      <w:r>
        <w:tab/>
      </w:r>
      <w:r>
        <w:tab/>
      </w:r>
      <w:r>
        <w:tab/>
      </w:r>
      <w:r w:rsidR="00A82FF4">
        <w:t>Wireline Competition Bureau</w:t>
      </w:r>
    </w:p>
    <w:sectPr w:rsidSect="00933086">
      <w:headerReference w:type="even" r:id="rId4"/>
      <w:headerReference w:type="default" r:id="rId5"/>
      <w:footerReference w:type="even" r:id="rId6"/>
      <w:footerReference w:type="default" r:id="rId7"/>
      <w:headerReference w:type="first" r:id="rId8"/>
      <w:footerReference w:type="first" r:id="rId9"/>
      <w:footnotePr>
        <w:numStart w:val="100"/>
      </w:footnotePr>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75A" w14:paraId="65941392" w14:textId="77777777">
    <w:pPr>
      <w:pStyle w:val="Footer"/>
      <w:framePr w:wrap="around" w:vAnchor="text" w:hAnchor="margin" w:xAlign="center" w:y="1"/>
    </w:pPr>
    <w:r>
      <w:fldChar w:fldCharType="begin"/>
    </w:r>
    <w:r>
      <w:instrText xml:space="preserve">PAGE  </w:instrText>
    </w:r>
    <w:r w:rsidR="00D54513">
      <w:fldChar w:fldCharType="separate"/>
    </w:r>
    <w:r>
      <w:fldChar w:fldCharType="end"/>
    </w:r>
  </w:p>
  <w:p w:rsidR="0083575A" w14:paraId="7CBFB2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75A" w:rsidP="00D54513" w14:paraId="5452EA15" w14:textId="02DF7701">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75A" w:rsidP="00E46E9D" w14:paraId="4D5F57FF" w14:textId="77777777">
    <w:pPr>
      <w:pStyle w:val="Footer"/>
      <w:tabs>
        <w:tab w:val="clear" w:pos="4320"/>
        <w:tab w:val="center" w:pos="4680"/>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E9D" w:rsidP="009E7EBE" w14:paraId="18D506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75A" w:rsidP="009E7EBE" w14:paraId="0AFCC180" w14:textId="25A8E7EF">
    <w:pPr>
      <w:pStyle w:val="Header"/>
    </w:pPr>
    <w:r>
      <w:tab/>
      <w:t>Federal Communications Commission</w:t>
    </w:r>
    <w:r>
      <w:tab/>
    </w:r>
  </w:p>
  <w:p w:rsidR="0083575A" w14:paraId="1D980F9D" w14:textId="383B9DB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96817206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3575A" w14:paraId="6D9BB1C8"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75A" w:rsidP="009E7EBE" w14:paraId="51F4A6A5" w14:textId="7317822E">
    <w:pPr>
      <w:pStyle w:val="Header"/>
    </w:pPr>
    <w:r>
      <w:tab/>
      <w:t>Federal Communications Commission</w:t>
    </w:r>
    <w:r>
      <w:tab/>
    </w:r>
  </w:p>
  <w:p w:rsidR="0083575A" w:rsidP="009E7EBE" w14:paraId="31A9E108" w14:textId="0FA18670">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6350"/>
              <wp:wrapNone/>
              <wp:docPr id="1549244868"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C4452C"/>
    <w:multiLevelType w:val="hybridMultilevel"/>
    <w:tmpl w:val="BB8EE5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5471D12"/>
    <w:multiLevelType w:val="hybridMultilevel"/>
    <w:tmpl w:val="E8BE47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F6B10EF"/>
    <w:multiLevelType w:val="hybridMultilevel"/>
    <w:tmpl w:val="F1FA8C4C"/>
    <w:lvl w:ilvl="0">
      <w:start w:val="1"/>
      <w:numFmt w:val="decimal"/>
      <w:lvlText w:val="%1."/>
      <w:lvlJc w:val="left"/>
      <w:pPr>
        <w:ind w:left="0" w:firstLine="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Start w:val="100"/>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21"/>
    <w:rsid w:val="00037592"/>
    <w:rsid w:val="00043A63"/>
    <w:rsid w:val="00072F89"/>
    <w:rsid w:val="00133736"/>
    <w:rsid w:val="00157921"/>
    <w:rsid w:val="00165AFC"/>
    <w:rsid w:val="0019577D"/>
    <w:rsid w:val="00197D3A"/>
    <w:rsid w:val="00217CC7"/>
    <w:rsid w:val="0022333D"/>
    <w:rsid w:val="00223D18"/>
    <w:rsid w:val="002512D1"/>
    <w:rsid w:val="00262FF5"/>
    <w:rsid w:val="00267222"/>
    <w:rsid w:val="002672D7"/>
    <w:rsid w:val="00275189"/>
    <w:rsid w:val="002C0E5D"/>
    <w:rsid w:val="0030224A"/>
    <w:rsid w:val="003029E8"/>
    <w:rsid w:val="00334B7D"/>
    <w:rsid w:val="0035532A"/>
    <w:rsid w:val="003658D9"/>
    <w:rsid w:val="00371464"/>
    <w:rsid w:val="003942D7"/>
    <w:rsid w:val="003D48B8"/>
    <w:rsid w:val="00434C8B"/>
    <w:rsid w:val="00464449"/>
    <w:rsid w:val="0047443A"/>
    <w:rsid w:val="00475168"/>
    <w:rsid w:val="004979BA"/>
    <w:rsid w:val="004B6631"/>
    <w:rsid w:val="004E18AA"/>
    <w:rsid w:val="004F6F20"/>
    <w:rsid w:val="005545B9"/>
    <w:rsid w:val="00565BDD"/>
    <w:rsid w:val="0056785F"/>
    <w:rsid w:val="0059531E"/>
    <w:rsid w:val="00600ABF"/>
    <w:rsid w:val="00604E9E"/>
    <w:rsid w:val="006114F1"/>
    <w:rsid w:val="0063088C"/>
    <w:rsid w:val="00650EE9"/>
    <w:rsid w:val="006B72CC"/>
    <w:rsid w:val="006B7371"/>
    <w:rsid w:val="00733F8F"/>
    <w:rsid w:val="00742D48"/>
    <w:rsid w:val="00766C0C"/>
    <w:rsid w:val="00777D1D"/>
    <w:rsid w:val="007908C0"/>
    <w:rsid w:val="007A635B"/>
    <w:rsid w:val="00806F34"/>
    <w:rsid w:val="00817338"/>
    <w:rsid w:val="008210E2"/>
    <w:rsid w:val="0083575A"/>
    <w:rsid w:val="008837B4"/>
    <w:rsid w:val="008D2CD5"/>
    <w:rsid w:val="00933086"/>
    <w:rsid w:val="00975E9B"/>
    <w:rsid w:val="009E3522"/>
    <w:rsid w:val="009E7EBE"/>
    <w:rsid w:val="009F46DD"/>
    <w:rsid w:val="009F7C31"/>
    <w:rsid w:val="00A13F82"/>
    <w:rsid w:val="00A64CC7"/>
    <w:rsid w:val="00A819A2"/>
    <w:rsid w:val="00A82FF4"/>
    <w:rsid w:val="00AB106F"/>
    <w:rsid w:val="00AC7D06"/>
    <w:rsid w:val="00AF6894"/>
    <w:rsid w:val="00B00B74"/>
    <w:rsid w:val="00B404B4"/>
    <w:rsid w:val="00B723F0"/>
    <w:rsid w:val="00B837F6"/>
    <w:rsid w:val="00BA347E"/>
    <w:rsid w:val="00BB2221"/>
    <w:rsid w:val="00BD64B7"/>
    <w:rsid w:val="00BE1C62"/>
    <w:rsid w:val="00C04449"/>
    <w:rsid w:val="00C62884"/>
    <w:rsid w:val="00C63BC8"/>
    <w:rsid w:val="00C82C5C"/>
    <w:rsid w:val="00CA2244"/>
    <w:rsid w:val="00CA2FD0"/>
    <w:rsid w:val="00CB5298"/>
    <w:rsid w:val="00CF1ECF"/>
    <w:rsid w:val="00D026BF"/>
    <w:rsid w:val="00D13254"/>
    <w:rsid w:val="00D24BB3"/>
    <w:rsid w:val="00D27B9F"/>
    <w:rsid w:val="00D32A63"/>
    <w:rsid w:val="00D54513"/>
    <w:rsid w:val="00D55D6D"/>
    <w:rsid w:val="00D94630"/>
    <w:rsid w:val="00E36CD0"/>
    <w:rsid w:val="00E46E9D"/>
    <w:rsid w:val="00E74223"/>
    <w:rsid w:val="00E9018A"/>
    <w:rsid w:val="00EC1A56"/>
    <w:rsid w:val="00EC648B"/>
    <w:rsid w:val="00ED2206"/>
    <w:rsid w:val="00ED4AD9"/>
    <w:rsid w:val="00F222B9"/>
    <w:rsid w:val="00F263CB"/>
    <w:rsid w:val="00F2643B"/>
    <w:rsid w:val="00F72F39"/>
    <w:rsid w:val="00F7412C"/>
    <w:rsid w:val="00FD7294"/>
    <w:rsid w:val="00FF7E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498961"/>
  <w15:chartTrackingRefBased/>
  <w15:docId w15:val="{688A8D50-78F6-423A-9C06-83DAF018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fn Char,fn Char1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9E7EB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rsid w:val="006B7371"/>
    <w:rPr>
      <w:rFonts w:ascii="Segoe UI" w:hAnsi="Segoe UI" w:cs="Segoe UI"/>
      <w:sz w:val="18"/>
      <w:szCs w:val="18"/>
    </w:rPr>
  </w:style>
  <w:style w:type="character" w:customStyle="1" w:styleId="BalloonTextChar">
    <w:name w:val="Balloon Text Char"/>
    <w:basedOn w:val="DefaultParagraphFont"/>
    <w:link w:val="BalloonText"/>
    <w:rsid w:val="006B7371"/>
    <w:rPr>
      <w:rFonts w:ascii="Segoe UI" w:hAnsi="Segoe UI" w:cs="Segoe UI"/>
      <w:snapToGrid w:val="0"/>
      <w:kern w:val="28"/>
      <w:sz w:val="18"/>
      <w:szCs w:val="18"/>
    </w:rPr>
  </w:style>
  <w:style w:type="character" w:customStyle="1" w:styleId="ParaNumChar">
    <w:name w:val="ParaNum Char"/>
    <w:link w:val="ParaNum"/>
    <w:locked/>
    <w:rsid w:val="00A82FF4"/>
    <w:rPr>
      <w:snapToGrid w:val="0"/>
      <w:kern w:val="28"/>
      <w:sz w:val="22"/>
    </w:rPr>
  </w:style>
  <w:style w:type="paragraph" w:styleId="ListParagraph">
    <w:name w:val="List Paragraph"/>
    <w:basedOn w:val="Normal"/>
    <w:uiPriority w:val="34"/>
    <w:qFormat/>
    <w:rsid w:val="002512D1"/>
    <w:pPr>
      <w:ind w:left="720"/>
      <w:contextualSpacing/>
    </w:p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fn Char1"/>
    <w:basedOn w:val="DefaultParagraphFont"/>
    <w:link w:val="FootnoteText"/>
    <w:rsid w:val="00F2643B"/>
  </w:style>
  <w:style w:type="character" w:styleId="CommentReference">
    <w:name w:val="annotation reference"/>
    <w:basedOn w:val="DefaultParagraphFont"/>
    <w:rsid w:val="00C04449"/>
    <w:rPr>
      <w:sz w:val="16"/>
      <w:szCs w:val="16"/>
    </w:rPr>
  </w:style>
  <w:style w:type="paragraph" w:styleId="CommentText">
    <w:name w:val="annotation text"/>
    <w:basedOn w:val="Normal"/>
    <w:link w:val="CommentTextChar"/>
    <w:rsid w:val="00C04449"/>
    <w:rPr>
      <w:sz w:val="20"/>
    </w:rPr>
  </w:style>
  <w:style w:type="character" w:customStyle="1" w:styleId="CommentTextChar">
    <w:name w:val="Comment Text Char"/>
    <w:basedOn w:val="DefaultParagraphFont"/>
    <w:link w:val="CommentText"/>
    <w:rsid w:val="00C04449"/>
    <w:rPr>
      <w:snapToGrid w:val="0"/>
      <w:kern w:val="28"/>
    </w:rPr>
  </w:style>
  <w:style w:type="paragraph" w:styleId="CommentSubject">
    <w:name w:val="annotation subject"/>
    <w:basedOn w:val="CommentText"/>
    <w:next w:val="CommentText"/>
    <w:link w:val="CommentSubjectChar"/>
    <w:rsid w:val="00C04449"/>
    <w:rPr>
      <w:b/>
      <w:bCs/>
    </w:rPr>
  </w:style>
  <w:style w:type="character" w:customStyle="1" w:styleId="CommentSubjectChar">
    <w:name w:val="Comment Subject Char"/>
    <w:basedOn w:val="CommentTextChar"/>
    <w:link w:val="CommentSubject"/>
    <w:rsid w:val="00C04449"/>
    <w:rPr>
      <w:b/>
      <w:bCs/>
      <w:snapToGrid w:val="0"/>
      <w:kern w:val="28"/>
    </w:rPr>
  </w:style>
  <w:style w:type="paragraph" w:styleId="Revision">
    <w:name w:val="Revision"/>
    <w:hidden/>
    <w:uiPriority w:val="99"/>
    <w:semiHidden/>
    <w:rsid w:val="0019577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Hayley.Steffen\AppData\Local\Microsoft\Windows\INetCache\Content.Outlook\MIAISHE2\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