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52747" w:rsidRPr="00F273AA" w:rsidP="00F52747" w14:paraId="2784D77E" w14:textId="77777777">
      <w:pPr>
        <w:jc w:val="center"/>
        <w:rPr>
          <w:b/>
          <w:bCs/>
          <w:szCs w:val="22"/>
        </w:rPr>
      </w:pPr>
      <w:r w:rsidRPr="00F273AA">
        <w:rPr>
          <w:b/>
          <w:bCs/>
          <w:szCs w:val="22"/>
        </w:rPr>
        <w:t>STATEMENT OF</w:t>
      </w:r>
    </w:p>
    <w:p w:rsidR="00F52747" w:rsidRPr="00F273AA" w:rsidP="00F52747" w14:paraId="2784D77F" w14:textId="6E994717">
      <w:pPr>
        <w:jc w:val="center"/>
        <w:rPr>
          <w:b/>
          <w:bCs/>
          <w:szCs w:val="22"/>
        </w:rPr>
      </w:pPr>
      <w:r>
        <w:rPr>
          <w:b/>
          <w:bCs/>
          <w:szCs w:val="22"/>
        </w:rPr>
        <w:t>CHAIRWOMAN</w:t>
      </w:r>
      <w:r w:rsidRPr="00F273AA">
        <w:rPr>
          <w:b/>
          <w:bCs/>
          <w:szCs w:val="22"/>
        </w:rPr>
        <w:t xml:space="preserve"> JESSICA ROSENWORCEL</w:t>
      </w:r>
    </w:p>
    <w:p w:rsidR="00F52747" w:rsidRPr="00F273AA" w:rsidP="00F52747" w14:paraId="2784D781" w14:textId="77777777">
      <w:pPr>
        <w:jc w:val="center"/>
        <w:rPr>
          <w:b/>
          <w:bCs/>
          <w:szCs w:val="22"/>
        </w:rPr>
      </w:pPr>
    </w:p>
    <w:p w:rsidR="00F52747" w:rsidRPr="00F273AA" w:rsidP="00F52747" w14:paraId="2784D782" w14:textId="78227D0D">
      <w:pPr>
        <w:rPr>
          <w:szCs w:val="22"/>
        </w:rPr>
      </w:pPr>
      <w:r w:rsidRPr="00F273AA">
        <w:rPr>
          <w:szCs w:val="22"/>
        </w:rPr>
        <w:t>Re:</w:t>
      </w:r>
      <w:r w:rsidRPr="00F273AA">
        <w:rPr>
          <w:szCs w:val="22"/>
        </w:rPr>
        <w:tab/>
      </w:r>
      <w:r w:rsidRPr="00F273AA">
        <w:rPr>
          <w:i/>
          <w:iCs/>
          <w:szCs w:val="22"/>
        </w:rPr>
        <w:t>Mitigation of Orbital Debris in the New Space Age</w:t>
      </w:r>
      <w:r w:rsidRPr="00F273AA">
        <w:rPr>
          <w:szCs w:val="22"/>
        </w:rPr>
        <w:t>, IB Docket No. 18-313</w:t>
      </w:r>
    </w:p>
    <w:p w:rsidR="00677FB9" w:rsidP="00677FB9" w14:paraId="6E3F3E55" w14:textId="77777777">
      <w:pPr>
        <w:rPr>
          <w:b/>
          <w:bCs/>
          <w:szCs w:val="22"/>
        </w:rPr>
      </w:pPr>
      <w:r w:rsidRPr="00F273AA">
        <w:rPr>
          <w:b/>
          <w:bCs/>
          <w:szCs w:val="22"/>
        </w:rPr>
        <w:tab/>
      </w:r>
    </w:p>
    <w:p w:rsidR="00A36E04" w:rsidP="00A36E04" w14:paraId="30BCF31B" w14:textId="1D91AB80">
      <w:pPr>
        <w:ind w:firstLine="720"/>
        <w:rPr>
          <w:szCs w:val="22"/>
        </w:rPr>
      </w:pPr>
      <w:r w:rsidRPr="00C30468">
        <w:rPr>
          <w:szCs w:val="22"/>
        </w:rPr>
        <w:t>Today we take the next step in our Space Innovation agenda</w:t>
      </w:r>
      <w:r>
        <w:rPr>
          <w:szCs w:val="22"/>
        </w:rPr>
        <w:t xml:space="preserve">.  We </w:t>
      </w:r>
      <w:r w:rsidR="00107B79">
        <w:rPr>
          <w:szCs w:val="22"/>
        </w:rPr>
        <w:t xml:space="preserve">make clear we are supporting </w:t>
      </w:r>
      <w:r>
        <w:rPr>
          <w:szCs w:val="22"/>
        </w:rPr>
        <w:t xml:space="preserve"> sustainable </w:t>
      </w:r>
      <w:r w:rsidR="00107B79">
        <w:rPr>
          <w:szCs w:val="22"/>
        </w:rPr>
        <w:t xml:space="preserve">skies and a growing space economy.  </w:t>
      </w:r>
    </w:p>
    <w:p w:rsidR="00123819" w:rsidP="00334D71" w14:paraId="71CE3F33" w14:textId="77777777">
      <w:pPr>
        <w:ind w:firstLine="720"/>
        <w:rPr>
          <w:szCs w:val="22"/>
        </w:rPr>
      </w:pPr>
    </w:p>
    <w:p w:rsidR="00123819" w:rsidP="00334D71" w14:paraId="769F56EF" w14:textId="4455B61C">
      <w:pPr>
        <w:ind w:firstLine="720"/>
        <w:rPr>
          <w:szCs w:val="22"/>
        </w:rPr>
      </w:pPr>
      <w:r>
        <w:rPr>
          <w:szCs w:val="22"/>
        </w:rPr>
        <w:t xml:space="preserve">Both of these things matter—and to understand why, a little history helps.  </w:t>
      </w:r>
      <w:r w:rsidR="00806D10">
        <w:rPr>
          <w:szCs w:val="22"/>
        </w:rPr>
        <w:t>It</w:t>
      </w:r>
      <w:r w:rsidR="00E06227">
        <w:rPr>
          <w:szCs w:val="22"/>
        </w:rPr>
        <w:t xml:space="preserve"> </w:t>
      </w:r>
      <w:r w:rsidR="0046701A">
        <w:rPr>
          <w:szCs w:val="22"/>
        </w:rPr>
        <w:t xml:space="preserve">was </w:t>
      </w:r>
      <w:r>
        <w:rPr>
          <w:szCs w:val="22"/>
        </w:rPr>
        <w:t xml:space="preserve">roughly </w:t>
      </w:r>
      <w:r>
        <w:rPr>
          <w:szCs w:val="22"/>
        </w:rPr>
        <w:t xml:space="preserve">six decades ago that the first space age took off.  Since that time, humanity has put more than 10,000 satellites into our skies.  More than half of those </w:t>
      </w:r>
      <w:r w:rsidR="00AB39C9">
        <w:rPr>
          <w:szCs w:val="22"/>
        </w:rPr>
        <w:t xml:space="preserve">satellites </w:t>
      </w:r>
      <w:r>
        <w:rPr>
          <w:szCs w:val="22"/>
        </w:rPr>
        <w:t>are now defunct.  Ma</w:t>
      </w:r>
      <w:r w:rsidR="00AB39C9">
        <w:rPr>
          <w:szCs w:val="22"/>
        </w:rPr>
        <w:t>n</w:t>
      </w:r>
      <w:r>
        <w:rPr>
          <w:szCs w:val="22"/>
        </w:rPr>
        <w:t>y of them were launched with the understanding that the heavens were vast</w:t>
      </w:r>
      <w:r w:rsidR="00AB39C9">
        <w:rPr>
          <w:szCs w:val="22"/>
        </w:rPr>
        <w:t xml:space="preserve"> and we</w:t>
      </w:r>
      <w:r>
        <w:rPr>
          <w:szCs w:val="22"/>
        </w:rPr>
        <w:t xml:space="preserve"> could just abandon these devices circumnavigating the globe</w:t>
      </w:r>
      <w:r w:rsidR="00AB39C9">
        <w:rPr>
          <w:szCs w:val="22"/>
        </w:rPr>
        <w:t xml:space="preserve">.  </w:t>
      </w:r>
      <w:r w:rsidR="00806D10">
        <w:rPr>
          <w:szCs w:val="22"/>
        </w:rPr>
        <w:t>At the time</w:t>
      </w:r>
      <w:r w:rsidR="00AB39C9">
        <w:rPr>
          <w:szCs w:val="22"/>
        </w:rPr>
        <w:t>, we thought it was cheaper to do that than take th</w:t>
      </w:r>
      <w:r w:rsidR="00C32D32">
        <w:rPr>
          <w:szCs w:val="22"/>
        </w:rPr>
        <w:t>is debris</w:t>
      </w:r>
      <w:r w:rsidR="00AB39C9">
        <w:rPr>
          <w:szCs w:val="22"/>
        </w:rPr>
        <w:t xml:space="preserve"> out of orbit.  But we were wrong.</w:t>
      </w:r>
    </w:p>
    <w:p w:rsidR="00AB39C9" w:rsidP="00334D71" w14:paraId="74BD32BC" w14:textId="77777777">
      <w:pPr>
        <w:ind w:firstLine="720"/>
        <w:rPr>
          <w:szCs w:val="22"/>
        </w:rPr>
      </w:pPr>
    </w:p>
    <w:p w:rsidR="00806D10" w:rsidP="00C32D32" w14:paraId="143132FF" w14:textId="7E88E481">
      <w:pPr>
        <w:ind w:firstLine="720"/>
        <w:rPr>
          <w:szCs w:val="22"/>
        </w:rPr>
      </w:pPr>
      <w:r>
        <w:rPr>
          <w:szCs w:val="22"/>
        </w:rPr>
        <w:t xml:space="preserve">We know this </w:t>
      </w:r>
      <w:r w:rsidR="00107B79">
        <w:rPr>
          <w:szCs w:val="22"/>
        </w:rPr>
        <w:t xml:space="preserve">now </w:t>
      </w:r>
      <w:r>
        <w:rPr>
          <w:szCs w:val="22"/>
        </w:rPr>
        <w:t xml:space="preserve">because the </w:t>
      </w:r>
      <w:r w:rsidR="00AB39C9">
        <w:rPr>
          <w:szCs w:val="22"/>
        </w:rPr>
        <w:t xml:space="preserve">second space age is </w:t>
      </w:r>
      <w:r>
        <w:rPr>
          <w:szCs w:val="22"/>
        </w:rPr>
        <w:t>here</w:t>
      </w:r>
      <w:r w:rsidR="00C32D32">
        <w:rPr>
          <w:szCs w:val="22"/>
        </w:rPr>
        <w:t>—and it</w:t>
      </w:r>
      <w:r>
        <w:rPr>
          <w:szCs w:val="22"/>
        </w:rPr>
        <w:t xml:space="preserve"> is an opportunity to </w:t>
      </w:r>
      <w:r w:rsidR="00107B79">
        <w:rPr>
          <w:szCs w:val="22"/>
        </w:rPr>
        <w:t xml:space="preserve">get </w:t>
      </w:r>
      <w:r>
        <w:rPr>
          <w:szCs w:val="22"/>
        </w:rPr>
        <w:t xml:space="preserve">this right.  </w:t>
      </w:r>
      <w:r w:rsidR="00C32D32">
        <w:rPr>
          <w:szCs w:val="22"/>
        </w:rPr>
        <w:t>At the moment, w</w:t>
      </w:r>
      <w:r>
        <w:rPr>
          <w:szCs w:val="22"/>
        </w:rPr>
        <w:t xml:space="preserve">e have </w:t>
      </w:r>
      <w:r>
        <w:rPr>
          <w:szCs w:val="22"/>
        </w:rPr>
        <w:t xml:space="preserve">applications </w:t>
      </w:r>
      <w:r w:rsidR="00107B79">
        <w:rPr>
          <w:szCs w:val="22"/>
        </w:rPr>
        <w:t xml:space="preserve">for </w:t>
      </w:r>
      <w:r>
        <w:rPr>
          <w:szCs w:val="22"/>
        </w:rPr>
        <w:t xml:space="preserve">more than 56,000 satellites pending before this agency.  That is more than five times the number launched since the beginning of the first space age.  So if we want space activity to continue to grow, we need to care for our skies and make sure operators clean up after themselves.  </w:t>
      </w:r>
      <w:r w:rsidR="00C32D32">
        <w:rPr>
          <w:szCs w:val="22"/>
        </w:rPr>
        <w:t xml:space="preserve">This is because </w:t>
      </w:r>
      <w:r>
        <w:rPr>
          <w:szCs w:val="22"/>
        </w:rPr>
        <w:t xml:space="preserve">when </w:t>
      </w:r>
      <w:r w:rsidR="004765D8">
        <w:rPr>
          <w:szCs w:val="22"/>
        </w:rPr>
        <w:t xml:space="preserve">defunct devices are left up in </w:t>
      </w:r>
      <w:r w:rsidR="00A36E04">
        <w:rPr>
          <w:szCs w:val="22"/>
        </w:rPr>
        <w:t>orbit</w:t>
      </w:r>
      <w:r>
        <w:rPr>
          <w:szCs w:val="22"/>
        </w:rPr>
        <w:t xml:space="preserve">, it </w:t>
      </w:r>
      <w:r>
        <w:rPr>
          <w:szCs w:val="22"/>
        </w:rPr>
        <w:t>increases</w:t>
      </w:r>
      <w:r>
        <w:rPr>
          <w:szCs w:val="22"/>
        </w:rPr>
        <w:t xml:space="preserve"> the risk of collision and malfunction</w:t>
      </w:r>
      <w:r>
        <w:rPr>
          <w:szCs w:val="22"/>
        </w:rPr>
        <w:t xml:space="preserve"> in </w:t>
      </w:r>
      <w:r w:rsidR="004765D8">
        <w:rPr>
          <w:szCs w:val="22"/>
        </w:rPr>
        <w:t>every system</w:t>
      </w:r>
      <w:r>
        <w:rPr>
          <w:szCs w:val="22"/>
        </w:rPr>
        <w:t xml:space="preserve"> </w:t>
      </w:r>
      <w:r w:rsidR="004765D8">
        <w:rPr>
          <w:szCs w:val="22"/>
        </w:rPr>
        <w:t>that counts on</w:t>
      </w:r>
      <w:r>
        <w:rPr>
          <w:szCs w:val="22"/>
        </w:rPr>
        <w:t xml:space="preserve"> satellites</w:t>
      </w:r>
      <w:r w:rsidR="00C32D32">
        <w:rPr>
          <w:szCs w:val="22"/>
        </w:rPr>
        <w:t xml:space="preserve">.  </w:t>
      </w:r>
      <w:r w:rsidR="004765D8">
        <w:rPr>
          <w:szCs w:val="22"/>
        </w:rPr>
        <w:t>Orbital debris degrades the</w:t>
      </w:r>
      <w:r w:rsidR="00C32D32">
        <w:rPr>
          <w:szCs w:val="22"/>
        </w:rPr>
        <w:t xml:space="preserve"> environment for all future space activity.  So the policies we put in place to address </w:t>
      </w:r>
      <w:r w:rsidR="004765D8">
        <w:rPr>
          <w:szCs w:val="22"/>
        </w:rPr>
        <w:t>it</w:t>
      </w:r>
      <w:r w:rsidR="00C32D32">
        <w:rPr>
          <w:szCs w:val="22"/>
        </w:rPr>
        <w:t xml:space="preserve"> matter.</w:t>
      </w:r>
      <w:r>
        <w:rPr>
          <w:szCs w:val="22"/>
        </w:rPr>
        <w:t xml:space="preserve"> </w:t>
      </w:r>
    </w:p>
    <w:p w:rsidR="00806D10" w:rsidP="00806D10" w14:paraId="538A0742" w14:textId="77777777">
      <w:pPr>
        <w:ind w:firstLine="720"/>
        <w:rPr>
          <w:szCs w:val="22"/>
        </w:rPr>
      </w:pPr>
    </w:p>
    <w:p w:rsidR="00806D10" w:rsidP="00806D10" w14:paraId="08D3D071" w14:textId="070134AE">
      <w:pPr>
        <w:ind w:firstLine="720"/>
        <w:rPr>
          <w:szCs w:val="22"/>
        </w:rPr>
      </w:pPr>
      <w:r>
        <w:rPr>
          <w:szCs w:val="22"/>
        </w:rPr>
        <w:t>To demonstrate this, let me offer</w:t>
      </w:r>
      <w:r>
        <w:rPr>
          <w:szCs w:val="22"/>
        </w:rPr>
        <w:t xml:space="preserve"> an example of just how </w:t>
      </w:r>
      <w:r w:rsidR="00C32D32">
        <w:rPr>
          <w:szCs w:val="22"/>
        </w:rPr>
        <w:t>dangerous it is to leave debris in our skies</w:t>
      </w:r>
      <w:r>
        <w:rPr>
          <w:szCs w:val="22"/>
        </w:rPr>
        <w:t xml:space="preserve">.  Consider </w:t>
      </w:r>
      <w:r w:rsidR="00C32D32">
        <w:rPr>
          <w:szCs w:val="22"/>
        </w:rPr>
        <w:t>the story of a single screwdriver.  Four decades ago, a screwdriver slipped out of an astronaut’s grasp.  It has been circling in low earth orbit at up to 21,600 miles an hour ever since.  That is ten times faster than a bullet with the punch of a hand grenade.</w:t>
      </w:r>
      <w:r w:rsidR="004765D8">
        <w:rPr>
          <w:szCs w:val="22"/>
        </w:rPr>
        <w:t xml:space="preserve">  </w:t>
      </w:r>
      <w:r w:rsidR="00A36E04">
        <w:rPr>
          <w:szCs w:val="22"/>
        </w:rPr>
        <w:t xml:space="preserve">So </w:t>
      </w:r>
      <w:r w:rsidR="004765D8">
        <w:rPr>
          <w:szCs w:val="22"/>
        </w:rPr>
        <w:t>even an innocuous screwdriver</w:t>
      </w:r>
      <w:r w:rsidR="00F037C6">
        <w:rPr>
          <w:szCs w:val="22"/>
        </w:rPr>
        <w:t xml:space="preserve"> in our skies</w:t>
      </w:r>
      <w:r w:rsidR="004765D8">
        <w:rPr>
          <w:szCs w:val="22"/>
        </w:rPr>
        <w:t xml:space="preserve"> can wreak havoc.</w:t>
      </w:r>
    </w:p>
    <w:p w:rsidR="004765D8" w:rsidP="00806D10" w14:paraId="42172F8A" w14:textId="77777777">
      <w:pPr>
        <w:ind w:firstLine="720"/>
        <w:rPr>
          <w:szCs w:val="22"/>
        </w:rPr>
      </w:pPr>
    </w:p>
    <w:p w:rsidR="00F037C6" w:rsidP="00806D10" w14:paraId="3C82AED7" w14:textId="26E7C380">
      <w:pPr>
        <w:ind w:firstLine="720"/>
        <w:rPr>
          <w:szCs w:val="22"/>
        </w:rPr>
      </w:pPr>
      <w:r>
        <w:rPr>
          <w:szCs w:val="22"/>
        </w:rPr>
        <w:t xml:space="preserve">At </w:t>
      </w:r>
      <w:r>
        <w:rPr>
          <w:szCs w:val="22"/>
        </w:rPr>
        <w:t>the FCC</w:t>
      </w:r>
      <w:r>
        <w:rPr>
          <w:szCs w:val="22"/>
        </w:rPr>
        <w:t xml:space="preserve">, we address satellites and not screwdrivers.  But the example is still potent.  It </w:t>
      </w:r>
      <w:r>
        <w:rPr>
          <w:szCs w:val="22"/>
        </w:rPr>
        <w:t xml:space="preserve">makes clear that if we are in the business of authorizing space activity with satellites, we need to do so in a way that </w:t>
      </w:r>
      <w:r w:rsidR="001065B1">
        <w:rPr>
          <w:szCs w:val="22"/>
        </w:rPr>
        <w:t xml:space="preserve">decreases the risk of collision and increases opportunities in space.  </w:t>
      </w:r>
    </w:p>
    <w:p w:rsidR="00AB39C9" w:rsidP="00806D10" w14:paraId="43A8E903" w14:textId="77777777">
      <w:pPr>
        <w:rPr>
          <w:szCs w:val="22"/>
        </w:rPr>
      </w:pPr>
    </w:p>
    <w:p w:rsidR="00AB39C9" w:rsidP="00334D71" w14:paraId="118C992C" w14:textId="544E9D93">
      <w:pPr>
        <w:ind w:firstLine="720"/>
        <w:rPr>
          <w:szCs w:val="22"/>
        </w:rPr>
      </w:pPr>
      <w:r>
        <w:rPr>
          <w:szCs w:val="22"/>
        </w:rPr>
        <w:t>This is why</w:t>
      </w:r>
      <w:r w:rsidR="00806D10">
        <w:rPr>
          <w:szCs w:val="22"/>
        </w:rPr>
        <w:t xml:space="preserve"> </w:t>
      </w:r>
      <w:r w:rsidR="00F037C6">
        <w:rPr>
          <w:szCs w:val="22"/>
        </w:rPr>
        <w:t>as part of our Space Innovation agenda</w:t>
      </w:r>
      <w:r w:rsidR="00806D10">
        <w:rPr>
          <w:szCs w:val="22"/>
        </w:rPr>
        <w:t xml:space="preserve">, </w:t>
      </w:r>
      <w:r w:rsidR="00F037C6">
        <w:rPr>
          <w:szCs w:val="22"/>
        </w:rPr>
        <w:t xml:space="preserve">the FCC </w:t>
      </w:r>
      <w:r w:rsidR="00806D10">
        <w:rPr>
          <w:szCs w:val="22"/>
        </w:rPr>
        <w:t xml:space="preserve">put in place rules that </w:t>
      </w:r>
      <w:r w:rsidR="001065B1">
        <w:rPr>
          <w:szCs w:val="22"/>
        </w:rPr>
        <w:t xml:space="preserve">reduce </w:t>
      </w:r>
      <w:r w:rsidR="00806D10">
        <w:rPr>
          <w:szCs w:val="22"/>
        </w:rPr>
        <w:t>by 80 percent the amount</w:t>
      </w:r>
      <w:r w:rsidR="00F037C6">
        <w:rPr>
          <w:szCs w:val="22"/>
        </w:rPr>
        <w:t xml:space="preserve"> of time satellite operators have to deorbit retired satellites.  To understand what this means in practice, it used to be that operators of low-earth orbiting satellites could just leave them in our skies for 25 years after their useful life.  We have cut that time down to five years.  This is big because it helps reduce the risk of collisions that can cause space communications failures.  </w:t>
      </w:r>
    </w:p>
    <w:p w:rsidR="00F037C6" w:rsidP="00334D71" w14:paraId="3ACAE2DB" w14:textId="652665FE">
      <w:pPr>
        <w:ind w:firstLine="720"/>
        <w:rPr>
          <w:szCs w:val="22"/>
        </w:rPr>
      </w:pPr>
    </w:p>
    <w:p w:rsidR="00F037C6" w:rsidP="00334D71" w14:paraId="2C865C3D" w14:textId="21645865">
      <w:pPr>
        <w:ind w:firstLine="720"/>
        <w:rPr>
          <w:szCs w:val="22"/>
        </w:rPr>
      </w:pPr>
      <w:r>
        <w:rPr>
          <w:szCs w:val="22"/>
        </w:rPr>
        <w:t xml:space="preserve">It is also why </w:t>
      </w:r>
      <w:r w:rsidR="001D4145">
        <w:rPr>
          <w:szCs w:val="22"/>
        </w:rPr>
        <w:t>as part of our</w:t>
      </w:r>
      <w:r>
        <w:rPr>
          <w:szCs w:val="22"/>
        </w:rPr>
        <w:t xml:space="preserve"> Space Innovation agenda, the FCC is holding operators accountable when they do not comply with our orbital debris </w:t>
      </w:r>
      <w:r w:rsidR="0046701A">
        <w:rPr>
          <w:szCs w:val="22"/>
        </w:rPr>
        <w:t>policies</w:t>
      </w:r>
      <w:r>
        <w:rPr>
          <w:szCs w:val="22"/>
        </w:rPr>
        <w:t xml:space="preserve">.  In fact, last year we announced the first-ever enforcement action against a company for its failure to comply with a satellite de-orbiting plan.  </w:t>
      </w:r>
    </w:p>
    <w:p w:rsidR="00AB39C9" w:rsidP="00334D71" w14:paraId="2A6ED4E1" w14:textId="77777777">
      <w:pPr>
        <w:ind w:firstLine="720"/>
        <w:rPr>
          <w:szCs w:val="22"/>
        </w:rPr>
      </w:pPr>
    </w:p>
    <w:p w:rsidR="00AF02F6" w:rsidP="00202A3B" w14:paraId="1DB98C33" w14:textId="724D7A33">
      <w:pPr>
        <w:rPr>
          <w:szCs w:val="22"/>
        </w:rPr>
      </w:pPr>
      <w:r>
        <w:rPr>
          <w:szCs w:val="22"/>
        </w:rPr>
        <w:tab/>
      </w:r>
      <w:bookmarkStart w:id="0" w:name="_Hlk157067872"/>
      <w:r>
        <w:rPr>
          <w:szCs w:val="22"/>
        </w:rPr>
        <w:t>It is also why we are taking this action today</w:t>
      </w:r>
      <w:bookmarkEnd w:id="0"/>
      <w:r>
        <w:rPr>
          <w:szCs w:val="22"/>
        </w:rPr>
        <w:t xml:space="preserve">.  In this decision </w:t>
      </w:r>
      <w:r w:rsidR="001D4145">
        <w:rPr>
          <w:szCs w:val="22"/>
        </w:rPr>
        <w:t xml:space="preserve">we reaffirm the updates we made earlier to our orbital debris mitigation rules and offer additional guidance for satellite operators </w:t>
      </w:r>
      <w:r w:rsidR="00350BE4">
        <w:rPr>
          <w:szCs w:val="22"/>
        </w:rPr>
        <w:t>deploying</w:t>
      </w:r>
      <w:r w:rsidR="001D4145">
        <w:rPr>
          <w:szCs w:val="22"/>
        </w:rPr>
        <w:t xml:space="preserve"> </w:t>
      </w:r>
      <w:r w:rsidR="00350BE4">
        <w:rPr>
          <w:szCs w:val="22"/>
        </w:rPr>
        <w:t>their</w:t>
      </w:r>
      <w:r w:rsidR="001D4145">
        <w:rPr>
          <w:szCs w:val="22"/>
        </w:rPr>
        <w:t xml:space="preserve"> systems.  </w:t>
      </w:r>
      <w:r w:rsidR="0046701A">
        <w:rPr>
          <w:szCs w:val="22"/>
        </w:rPr>
        <w:t>Among other things, we provide clear examples to assist with compliance with reporting requirements for maneuverability a</w:t>
      </w:r>
      <w:r w:rsidR="00350BE4">
        <w:rPr>
          <w:szCs w:val="22"/>
        </w:rPr>
        <w:t xml:space="preserve">nd the use of </w:t>
      </w:r>
      <w:r w:rsidR="0046701A">
        <w:rPr>
          <w:szCs w:val="22"/>
        </w:rPr>
        <w:t xml:space="preserve">detachable deployment devices.  </w:t>
      </w:r>
      <w:r w:rsidR="00A36E04">
        <w:rPr>
          <w:szCs w:val="22"/>
        </w:rPr>
        <w:t>In short, we</w:t>
      </w:r>
      <w:r w:rsidR="001D4145">
        <w:rPr>
          <w:szCs w:val="22"/>
        </w:rPr>
        <w:t xml:space="preserve"> are reinforcing our commitment to space sustainability.  </w:t>
      </w:r>
      <w:bookmarkStart w:id="1" w:name="_Hlk157067845"/>
      <w:r w:rsidR="00A36E04">
        <w:rPr>
          <w:szCs w:val="22"/>
        </w:rPr>
        <w:t>That is because it</w:t>
      </w:r>
      <w:r w:rsidR="00C31E6F">
        <w:rPr>
          <w:szCs w:val="22"/>
        </w:rPr>
        <w:t xml:space="preserve"> is</w:t>
      </w:r>
      <w:r w:rsidR="001D4145">
        <w:rPr>
          <w:szCs w:val="22"/>
        </w:rPr>
        <w:t xml:space="preserve"> a fundamental part of our Space Innovation agenda.</w:t>
      </w:r>
      <w:bookmarkEnd w:id="1"/>
    </w:p>
    <w:p w:rsidR="001D4145" w:rsidP="00202A3B" w14:paraId="78058BA0" w14:textId="77777777">
      <w:pPr>
        <w:rPr>
          <w:szCs w:val="22"/>
        </w:rPr>
      </w:pPr>
    </w:p>
    <w:p w:rsidR="001D4145" w:rsidP="00202A3B" w14:paraId="7CE56589" w14:textId="57C12CE3">
      <w:pPr>
        <w:rPr>
          <w:szCs w:val="22"/>
        </w:rPr>
      </w:pPr>
      <w:r>
        <w:rPr>
          <w:szCs w:val="22"/>
        </w:rPr>
        <w:tab/>
        <w:t>But we are not stopping</w:t>
      </w:r>
      <w:r w:rsidR="00107B79">
        <w:rPr>
          <w:szCs w:val="22"/>
        </w:rPr>
        <w:t xml:space="preserve"> here.  We </w:t>
      </w:r>
      <w:r w:rsidR="00A36E04">
        <w:rPr>
          <w:szCs w:val="22"/>
        </w:rPr>
        <w:t>recognize supporting</w:t>
      </w:r>
      <w:r>
        <w:rPr>
          <w:szCs w:val="22"/>
        </w:rPr>
        <w:t xml:space="preserve"> the second space age </w:t>
      </w:r>
      <w:r w:rsidR="00107B79">
        <w:rPr>
          <w:szCs w:val="22"/>
        </w:rPr>
        <w:t>means</w:t>
      </w:r>
      <w:r>
        <w:rPr>
          <w:szCs w:val="22"/>
        </w:rPr>
        <w:t xml:space="preserve"> more than </w:t>
      </w:r>
      <w:r w:rsidR="00107B79">
        <w:rPr>
          <w:szCs w:val="22"/>
        </w:rPr>
        <w:t xml:space="preserve">just </w:t>
      </w:r>
      <w:r>
        <w:rPr>
          <w:szCs w:val="22"/>
        </w:rPr>
        <w:t xml:space="preserve">addressing future </w:t>
      </w:r>
      <w:r w:rsidR="001065B1">
        <w:rPr>
          <w:szCs w:val="22"/>
        </w:rPr>
        <w:t xml:space="preserve">satellite </w:t>
      </w:r>
      <w:r>
        <w:rPr>
          <w:szCs w:val="22"/>
        </w:rPr>
        <w:t>debris</w:t>
      </w:r>
      <w:r w:rsidR="00107B79">
        <w:rPr>
          <w:szCs w:val="22"/>
        </w:rPr>
        <w:t xml:space="preserve">, it requires </w:t>
      </w:r>
      <w:r>
        <w:rPr>
          <w:szCs w:val="22"/>
        </w:rPr>
        <w:t>clean</w:t>
      </w:r>
      <w:r w:rsidR="00350BE4">
        <w:rPr>
          <w:szCs w:val="22"/>
        </w:rPr>
        <w:t>ing</w:t>
      </w:r>
      <w:r>
        <w:rPr>
          <w:szCs w:val="22"/>
        </w:rPr>
        <w:t xml:space="preserve"> up existing debris.  That is why yesterday I shared with my colleagues a new proposal for licensing space stations engaged in in-space servicing, assembly, and manufacturing.  This framework will include support for </w:t>
      </w:r>
      <w:r w:rsidR="00A36E04">
        <w:rPr>
          <w:szCs w:val="22"/>
        </w:rPr>
        <w:t>a range</w:t>
      </w:r>
      <w:r w:rsidR="001065B1">
        <w:rPr>
          <w:szCs w:val="22"/>
        </w:rPr>
        <w:t xml:space="preserve"> of </w:t>
      </w:r>
      <w:r>
        <w:rPr>
          <w:szCs w:val="22"/>
        </w:rPr>
        <w:t>new technologies</w:t>
      </w:r>
      <w:r w:rsidR="001065B1">
        <w:rPr>
          <w:szCs w:val="22"/>
        </w:rPr>
        <w:t xml:space="preserve">, </w:t>
      </w:r>
      <w:r w:rsidR="001065B1">
        <w:rPr>
          <w:szCs w:val="22"/>
        </w:rPr>
        <w:t xml:space="preserve">including ones that will </w:t>
      </w:r>
      <w:r>
        <w:rPr>
          <w:szCs w:val="22"/>
        </w:rPr>
        <w:t xml:space="preserve">help collect and remove </w:t>
      </w:r>
      <w:r w:rsidR="001065B1">
        <w:rPr>
          <w:szCs w:val="22"/>
        </w:rPr>
        <w:t xml:space="preserve">space </w:t>
      </w:r>
      <w:r>
        <w:rPr>
          <w:szCs w:val="22"/>
        </w:rPr>
        <w:t xml:space="preserve">debris.  </w:t>
      </w:r>
      <w:r w:rsidR="001065B1">
        <w:rPr>
          <w:szCs w:val="22"/>
        </w:rPr>
        <w:t xml:space="preserve">I look forward to working with them on its adoption. </w:t>
      </w:r>
      <w:r>
        <w:rPr>
          <w:szCs w:val="22"/>
        </w:rPr>
        <w:t xml:space="preserve"> </w:t>
      </w:r>
    </w:p>
    <w:p w:rsidR="00202A3B" w:rsidP="001065B1" w14:paraId="731D72B5" w14:textId="77777777">
      <w:pPr>
        <w:rPr>
          <w:szCs w:val="22"/>
        </w:rPr>
      </w:pPr>
    </w:p>
    <w:p w:rsidR="00350BE4" w:rsidRPr="00E61682" w:rsidP="00350BE4" w14:paraId="3FB8BF53" w14:textId="77777777">
      <w:pPr>
        <w:rPr>
          <w:szCs w:val="22"/>
        </w:rPr>
      </w:pPr>
      <w:r>
        <w:tab/>
      </w:r>
      <w:r w:rsidRPr="00C30468">
        <w:rPr>
          <w:szCs w:val="22"/>
        </w:rPr>
        <w:t xml:space="preserve">Thank you to </w:t>
      </w:r>
      <w:r>
        <w:rPr>
          <w:szCs w:val="22"/>
        </w:rPr>
        <w:t>staff behind this effort</w:t>
      </w:r>
      <w:r w:rsidRPr="00C30468">
        <w:rPr>
          <w:szCs w:val="22"/>
        </w:rPr>
        <w:t xml:space="preserve">, including </w:t>
      </w:r>
      <w:r w:rsidRPr="00E61682">
        <w:rPr>
          <w:szCs w:val="22"/>
        </w:rPr>
        <w:t xml:space="preserve">Julie Kearney, Troy Tanner, Karl Kensinger, Scott Mackoul, Jeanette Kennedy, Merissa Velez, Guillermo Belt, Jeanine Poltronieri, Alexandra Horn, Samuel Karty, and Sankar Persaud from the Space Bureau; Jason </w:t>
      </w:r>
      <w:r w:rsidRPr="00E61682">
        <w:rPr>
          <w:szCs w:val="22"/>
        </w:rPr>
        <w:t>Koslofsky</w:t>
      </w:r>
      <w:r w:rsidRPr="00E61682">
        <w:rPr>
          <w:szCs w:val="22"/>
        </w:rPr>
        <w:t xml:space="preserve">, Josh </w:t>
      </w:r>
      <w:r w:rsidRPr="00E61682">
        <w:rPr>
          <w:szCs w:val="22"/>
        </w:rPr>
        <w:t>Zeldis</w:t>
      </w:r>
      <w:r w:rsidRPr="00E61682">
        <w:rPr>
          <w:szCs w:val="22"/>
        </w:rPr>
        <w:t>, and Neal McNeil from the Enforcement Bureau; and Anjali Singh, Chin Yoo, David Konczal, and Deborah Broderson from the Office of General Counsel.</w:t>
      </w:r>
    </w:p>
    <w:p w:rsidR="00D641D3" w:rsidP="00350BE4" w14:paraId="2784D78C" w14:textId="2D90BBFA"/>
    <w:sectPr w:rsidSect="00FB4EB8">
      <w:headerReference w:type="first" r:id="rId4"/>
      <w:endnotePr>
        <w:numFmt w:val="decimal"/>
      </w:endnotePr>
      <w:pgSz w:w="12240" w:h="15840" w:code="1"/>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okmarkStart w:id="2" w:name="_Hlk38615833"/>
  <w:bookmarkStart w:id="3" w:name="_Hlk38615834"/>
  <w:bookmarkStart w:id="4" w:name="_Hlk38615936"/>
  <w:bookmarkStart w:id="5" w:name="_Hlk38615937"/>
  <w:bookmarkStart w:id="6" w:name="_Hlk38616051"/>
  <w:bookmarkStart w:id="7" w:name="_Hlk38616052"/>
  <w:bookmarkStart w:id="8" w:name="_Hlk38616056"/>
  <w:bookmarkStart w:id="9" w:name="_Hlk38616057"/>
  <w:bookmarkStart w:id="10" w:name="_Hlk38616224"/>
  <w:bookmarkStart w:id="11" w:name="_Hlk38616225"/>
  <w:p w:rsidR="00F52747" w:rsidRPr="00F52747" w:rsidP="00F52747" w14:paraId="2784D78D" w14:textId="6B1668A9">
    <w:pPr>
      <w:pStyle w:val="Header"/>
      <w:rPr>
        <w:b/>
        <w:bCs/>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r>
    <w:r w:rsidRPr="00F52747">
      <w:rPr>
        <w:b/>
        <w:bCs/>
      </w:rPr>
      <w:t>Federal Communications Commission</w:t>
    </w:r>
    <w:r w:rsidRPr="00F52747">
      <w:rPr>
        <w:b/>
        <w:bCs/>
      </w:rPr>
      <w:tab/>
    </w:r>
    <w:r w:rsidRPr="00F52747">
      <w:rPr>
        <w:b/>
        <w:bCs/>
        <w:spacing w:val="-2"/>
      </w:rPr>
      <w:t xml:space="preserve">FCC  </w:t>
    </w:r>
    <w:bookmarkEnd w:id="2"/>
    <w:bookmarkEnd w:id="3"/>
    <w:bookmarkEnd w:id="4"/>
    <w:bookmarkEnd w:id="5"/>
    <w:bookmarkEnd w:id="6"/>
    <w:bookmarkEnd w:id="7"/>
    <w:bookmarkEnd w:id="8"/>
    <w:bookmarkEnd w:id="9"/>
    <w:bookmarkEnd w:id="10"/>
    <w:bookmarkEnd w:id="11"/>
    <w:r w:rsidR="0009658C">
      <w:rPr>
        <w:b/>
        <w:bCs/>
        <w:spacing w:val="-2"/>
      </w:rPr>
      <w:t>2</w:t>
    </w:r>
    <w:r w:rsidR="00F832C5">
      <w:rPr>
        <w:b/>
        <w:bCs/>
        <w:spacing w:val="-2"/>
      </w:rPr>
      <w:t>4-</w:t>
    </w:r>
    <w:r w:rsidR="0009658C">
      <w:rPr>
        <w:b/>
        <w:bCs/>
        <w:spacing w:val="-2"/>
      </w:rPr>
      <w:t>6</w:t>
    </w:r>
  </w:p>
  <w:p w:rsidR="00F52747" w14:paraId="2784D78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1A2793"/>
    <w:multiLevelType w:val="hybridMultilevel"/>
    <w:tmpl w:val="D2F6D2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747"/>
    <w:rsid w:val="00043AE4"/>
    <w:rsid w:val="000714FC"/>
    <w:rsid w:val="0009658C"/>
    <w:rsid w:val="001065B1"/>
    <w:rsid w:val="00107B79"/>
    <w:rsid w:val="001103F8"/>
    <w:rsid w:val="00123819"/>
    <w:rsid w:val="001D4145"/>
    <w:rsid w:val="00202A3B"/>
    <w:rsid w:val="00240676"/>
    <w:rsid w:val="00334D71"/>
    <w:rsid w:val="00350BE4"/>
    <w:rsid w:val="0046701A"/>
    <w:rsid w:val="004765D8"/>
    <w:rsid w:val="004A6C63"/>
    <w:rsid w:val="004E5136"/>
    <w:rsid w:val="005A043A"/>
    <w:rsid w:val="005E5385"/>
    <w:rsid w:val="00677FB9"/>
    <w:rsid w:val="006F7AA2"/>
    <w:rsid w:val="00745006"/>
    <w:rsid w:val="007D723D"/>
    <w:rsid w:val="00806D10"/>
    <w:rsid w:val="008C5B56"/>
    <w:rsid w:val="008F53C7"/>
    <w:rsid w:val="00A028BA"/>
    <w:rsid w:val="00A339F3"/>
    <w:rsid w:val="00A36E04"/>
    <w:rsid w:val="00A436CE"/>
    <w:rsid w:val="00AB39C9"/>
    <w:rsid w:val="00AF02F6"/>
    <w:rsid w:val="00BE1C19"/>
    <w:rsid w:val="00C30468"/>
    <w:rsid w:val="00C31E6F"/>
    <w:rsid w:val="00C32D32"/>
    <w:rsid w:val="00CB195C"/>
    <w:rsid w:val="00D641D3"/>
    <w:rsid w:val="00DA6C10"/>
    <w:rsid w:val="00E00835"/>
    <w:rsid w:val="00E06227"/>
    <w:rsid w:val="00E126BE"/>
    <w:rsid w:val="00E61682"/>
    <w:rsid w:val="00F037C6"/>
    <w:rsid w:val="00F273AA"/>
    <w:rsid w:val="00F42FCC"/>
    <w:rsid w:val="00F52747"/>
    <w:rsid w:val="00F832C5"/>
    <w:rsid w:val="00FB4EB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784D77E"/>
  <w15:chartTrackingRefBased/>
  <w15:docId w15:val="{FE51D8B3-0D1B-4D43-9D52-B89C46D1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747"/>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2747"/>
    <w:pPr>
      <w:tabs>
        <w:tab w:val="center" w:pos="4680"/>
        <w:tab w:val="right" w:pos="9360"/>
      </w:tabs>
    </w:pPr>
  </w:style>
  <w:style w:type="character" w:customStyle="1" w:styleId="HeaderChar">
    <w:name w:val="Header Char"/>
    <w:basedOn w:val="DefaultParagraphFont"/>
    <w:link w:val="Header"/>
    <w:rsid w:val="00F52747"/>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F52747"/>
    <w:pPr>
      <w:tabs>
        <w:tab w:val="center" w:pos="4680"/>
        <w:tab w:val="right" w:pos="9360"/>
      </w:tabs>
    </w:pPr>
  </w:style>
  <w:style w:type="character" w:customStyle="1" w:styleId="FooterChar">
    <w:name w:val="Footer Char"/>
    <w:basedOn w:val="DefaultParagraphFont"/>
    <w:link w:val="Footer"/>
    <w:uiPriority w:val="99"/>
    <w:rsid w:val="00F52747"/>
    <w:rPr>
      <w:rFonts w:ascii="Times New Roman" w:eastAsia="Times New Roman" w:hAnsi="Times New Roman" w:cs="Times New Roman"/>
      <w:snapToGrid w:val="0"/>
      <w:kern w:val="28"/>
      <w:szCs w:val="20"/>
    </w:rPr>
  </w:style>
  <w:style w:type="paragraph" w:styleId="ListParagraph">
    <w:name w:val="List Paragraph"/>
    <w:basedOn w:val="Normal"/>
    <w:uiPriority w:val="34"/>
    <w:qFormat/>
    <w:rsid w:val="00F42FCC"/>
    <w:pPr>
      <w:ind w:left="720"/>
      <w:contextualSpacing/>
    </w:pPr>
  </w:style>
  <w:style w:type="paragraph" w:styleId="Revision">
    <w:name w:val="Revision"/>
    <w:hidden/>
    <w:uiPriority w:val="99"/>
    <w:semiHidden/>
    <w:rsid w:val="00C31E6F"/>
    <w:pPr>
      <w:spacing w:after="0" w:line="240" w:lineRule="auto"/>
    </w:pPr>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