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777BA" w14:paraId="24975BA9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C777BA" w14:paraId="5DA4241B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C777BA" w14:paraId="7D0A051C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C777BA" w14:paraId="0472F332" w14:textId="77777777"/>
    <w:p w:rsidR="00C777BA" w14:paraId="48E8678E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381F7D40" w14:textId="7777777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C777BA" w14:paraId="16D99ABD" w14:textId="77777777">
            <w:pPr>
              <w:ind w:right="-18"/>
            </w:pPr>
            <w:r>
              <w:t>In the Matter of</w:t>
            </w:r>
          </w:p>
          <w:p w:rsidR="00C777BA" w14:paraId="35120A92" w14:textId="77777777">
            <w:pPr>
              <w:ind w:right="-18"/>
            </w:pPr>
          </w:p>
          <w:p w:rsidR="004C6586" w:rsidRPr="008223EC" w:rsidP="004C6586" w14:paraId="410C0FB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223EC">
              <w:rPr>
                <w:spacing w:val="-2"/>
              </w:rPr>
              <w:t>Connect America Fund</w:t>
            </w:r>
          </w:p>
          <w:p w:rsidR="004C6586" w:rsidRPr="008223EC" w:rsidP="004C6586" w14:paraId="06C33EA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6586" w:rsidRPr="008223EC" w:rsidP="004C6586" w14:paraId="0B47C42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223EC">
              <w:rPr>
                <w:spacing w:val="-2"/>
              </w:rPr>
              <w:t>Alaska Connect Fund</w:t>
            </w:r>
          </w:p>
          <w:p w:rsidR="004C6586" w:rsidRPr="008223EC" w:rsidP="004C6586" w14:paraId="5B3D793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6586" w:rsidRPr="008223EC" w:rsidP="004C6586" w14:paraId="60610E4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223EC">
              <w:rPr>
                <w:spacing w:val="-2"/>
              </w:rPr>
              <w:t>Universal Service Reform – Mobility Fund</w:t>
            </w:r>
          </w:p>
          <w:p w:rsidR="004C6586" w:rsidRPr="008223EC" w:rsidP="004C6586" w14:paraId="066D699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4C6586" w:rsidRPr="008223EC" w:rsidP="004C6586" w14:paraId="2E78E81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223EC">
              <w:rPr>
                <w:spacing w:val="-2"/>
              </w:rPr>
              <w:t>ETC Annual Reports and Certifications</w:t>
            </w:r>
          </w:p>
          <w:p w:rsidR="004C6586" w:rsidRPr="008223EC" w:rsidP="004C6586" w14:paraId="6F6C046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6586" w:rsidRPr="008223EC" w:rsidP="004C6586" w14:paraId="1DF1EC0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223EC">
              <w:rPr>
                <w:spacing w:val="-2"/>
              </w:rPr>
              <w:t>Telecommunications Carriers Eligible to</w:t>
            </w:r>
          </w:p>
          <w:p w:rsidR="004C6586" w:rsidRPr="008223EC" w:rsidP="004C6586" w14:paraId="64F80E0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223EC">
              <w:rPr>
                <w:spacing w:val="-2"/>
              </w:rPr>
              <w:t>Receive Universal Service Support</w:t>
            </w:r>
          </w:p>
          <w:p w:rsidR="00C777BA" w14:paraId="102C4893" w14:textId="464ADCF9">
            <w:pPr>
              <w:ind w:right="-18"/>
            </w:pPr>
          </w:p>
        </w:tc>
        <w:tc>
          <w:tcPr>
            <w:tcW w:w="720" w:type="dxa"/>
          </w:tcPr>
          <w:p w:rsidR="00C777BA" w14:paraId="0DE8F876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3D907E2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6B44ED0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4E46AC6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085059A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0D8C805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62252CB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C6586" w14:paraId="7178CAC8" w14:textId="42085829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C6586" w14:paraId="6DB84B6A" w14:textId="5232047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C6586" w14:paraId="179BF149" w14:textId="54844EF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C6586" w14:paraId="2111BC5B" w14:textId="4073B9C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C6586" w14:paraId="4A19898C" w14:textId="50BE8F22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C777BA" w14:paraId="4730C2B7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C777BA" w14:paraId="34AAD1B4" w14:textId="77777777"/>
          <w:p w:rsidR="00C777BA" w14:paraId="183BBD76" w14:textId="77777777"/>
          <w:p w:rsidR="00C777BA" w14:paraId="46E00DE4" w14:textId="77777777"/>
          <w:p w:rsidR="004C6586" w:rsidRPr="008223EC" w:rsidP="004C6586" w14:paraId="27EDC649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 w:rsidRPr="008223EC">
              <w:rPr>
                <w:spacing w:val="-2"/>
              </w:rPr>
              <w:t>WC Docket No. 10-90</w:t>
            </w:r>
          </w:p>
          <w:p w:rsidR="004C6586" w:rsidRPr="008223EC" w:rsidP="004C6586" w14:paraId="67DCAD58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4C6586" w:rsidRPr="008223EC" w:rsidP="004C6586" w14:paraId="17F2E61B" w14:textId="77777777">
            <w:pPr>
              <w:pStyle w:val="TOAHeading"/>
              <w:rPr>
                <w:spacing w:val="-2"/>
              </w:rPr>
            </w:pPr>
            <w:r w:rsidRPr="008223EC">
              <w:rPr>
                <w:spacing w:val="-2"/>
              </w:rPr>
              <w:t>WC Docket No. 23-328</w:t>
            </w:r>
          </w:p>
          <w:p w:rsidR="004C6586" w:rsidRPr="008223EC" w:rsidP="004C6586" w14:paraId="5C726B2E" w14:textId="77777777">
            <w:pPr>
              <w:pStyle w:val="TOAHeading"/>
              <w:rPr>
                <w:spacing w:val="-2"/>
              </w:rPr>
            </w:pPr>
          </w:p>
          <w:p w:rsidR="004C6586" w:rsidRPr="008223EC" w:rsidP="004C6586" w14:paraId="2C86A798" w14:textId="77777777">
            <w:pPr>
              <w:pStyle w:val="TOAHeading"/>
              <w:rPr>
                <w:spacing w:val="-2"/>
              </w:rPr>
            </w:pPr>
            <w:r w:rsidRPr="008223EC">
              <w:rPr>
                <w:spacing w:val="-2"/>
              </w:rPr>
              <w:t>WT Docket No. 10-208</w:t>
            </w:r>
          </w:p>
          <w:p w:rsidR="004C6586" w:rsidRPr="008223EC" w:rsidP="004C6586" w14:paraId="44D82A91" w14:textId="77777777">
            <w:pPr>
              <w:pStyle w:val="TOAHeading"/>
              <w:rPr>
                <w:spacing w:val="-2"/>
              </w:rPr>
            </w:pPr>
          </w:p>
          <w:p w:rsidR="004C6586" w:rsidRPr="008223EC" w:rsidP="004C6586" w14:paraId="33E5C6EE" w14:textId="77777777">
            <w:pPr>
              <w:pStyle w:val="TOAHeading"/>
              <w:rPr>
                <w:spacing w:val="-2"/>
              </w:rPr>
            </w:pPr>
            <w:r w:rsidRPr="008223EC">
              <w:rPr>
                <w:spacing w:val="-2"/>
              </w:rPr>
              <w:t>WC Docket No. 14-58</w:t>
            </w:r>
          </w:p>
          <w:p w:rsidR="004C6586" w:rsidRPr="008223EC" w:rsidP="004C6586" w14:paraId="110D7287" w14:textId="77777777">
            <w:pPr>
              <w:pStyle w:val="TOAHeading"/>
              <w:rPr>
                <w:spacing w:val="-2"/>
              </w:rPr>
            </w:pPr>
          </w:p>
          <w:p w:rsidR="004C6586" w:rsidRPr="008223EC" w:rsidP="004C6586" w14:paraId="4BEF6542" w14:textId="77777777">
            <w:pPr>
              <w:pStyle w:val="TOAHeading"/>
              <w:rPr>
                <w:spacing w:val="-2"/>
              </w:rPr>
            </w:pPr>
            <w:r w:rsidRPr="008223EC">
              <w:rPr>
                <w:spacing w:val="-2"/>
              </w:rPr>
              <w:t>WC Docket No. 09-197</w:t>
            </w:r>
          </w:p>
          <w:p w:rsidR="00C777BA" w14:paraId="1C81BC3F" w14:textId="0D58EFA2">
            <w:pPr>
              <w:rPr>
                <w:b/>
              </w:rPr>
            </w:pPr>
          </w:p>
        </w:tc>
      </w:tr>
    </w:tbl>
    <w:p w:rsidR="00C777BA" w14:paraId="2B14DB37" w14:textId="77777777"/>
    <w:p w:rsidR="00C777BA" w14:paraId="5A2A9416" w14:textId="28AB440E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C777BA" w14:paraId="2E7FF84B" w14:textId="77777777">
      <w:pPr>
        <w:tabs>
          <w:tab w:val="left" w:pos="5760"/>
        </w:tabs>
        <w:rPr>
          <w:b/>
        </w:rPr>
      </w:pPr>
    </w:p>
    <w:p w:rsidR="00C777BA" w14:paraId="7E652916" w14:textId="08586887">
      <w:pPr>
        <w:jc w:val="right"/>
        <w:rPr>
          <w:b/>
        </w:rPr>
      </w:pPr>
      <w:r>
        <w:rPr>
          <w:b/>
        </w:rPr>
        <w:t xml:space="preserve">Released:  </w:t>
      </w:r>
      <w:r w:rsidR="008A370D">
        <w:rPr>
          <w:b/>
        </w:rPr>
        <w:t xml:space="preserve">February </w:t>
      </w:r>
      <w:r w:rsidR="0063526D">
        <w:rPr>
          <w:b/>
        </w:rPr>
        <w:t>13</w:t>
      </w:r>
      <w:r w:rsidR="008A370D">
        <w:rPr>
          <w:b/>
        </w:rPr>
        <w:t>, 2024</w:t>
      </w:r>
    </w:p>
    <w:p w:rsidR="00C777BA" w14:paraId="09E63B04" w14:textId="77777777">
      <w:pPr>
        <w:tabs>
          <w:tab w:val="left" w:pos="5760"/>
        </w:tabs>
        <w:rPr>
          <w:b/>
        </w:rPr>
      </w:pPr>
    </w:p>
    <w:p w:rsidR="00C777BA" w14:paraId="6072AC0B" w14:textId="31E86C4F">
      <w:pPr>
        <w:tabs>
          <w:tab w:val="left" w:pos="5760"/>
        </w:tabs>
      </w:pPr>
      <w:r>
        <w:t xml:space="preserve">By the </w:t>
      </w:r>
      <w:r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C777BA" w14:paraId="2A3F068D" w14:textId="77777777"/>
    <w:p w:rsidR="00551BCB" w:rsidP="005F6D2D" w14:paraId="02342FE1" w14:textId="524AEC69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4C6586">
        <w:t xml:space="preserve">October 20, 2023, the Commission </w:t>
      </w:r>
      <w:r>
        <w:t xml:space="preserve">released a </w:t>
      </w:r>
      <w:r w:rsidR="004C6586">
        <w:t>Notice of Proposed Rulemaking and Report and Order</w:t>
      </w:r>
      <w:r w:rsidR="004C6586">
        <w:rPr>
          <w:iCs/>
        </w:rPr>
        <w:t>,</w:t>
      </w:r>
      <w:r>
        <w:rPr>
          <w:i/>
        </w:rPr>
        <w:t xml:space="preserve"> </w:t>
      </w:r>
      <w:r w:rsidRPr="004C6586" w:rsidR="004C6586">
        <w:rPr>
          <w:iCs/>
        </w:rPr>
        <w:t>FCC 23-87</w:t>
      </w:r>
      <w:r w:rsidR="001D6DF2">
        <w:rPr>
          <w:iCs/>
        </w:rPr>
        <w:t>, in the above captioned proceeding</w:t>
      </w:r>
      <w:r w:rsidR="00E942AF">
        <w:rPr>
          <w:iCs/>
        </w:rPr>
        <w:t>s</w:t>
      </w:r>
      <w:r w:rsidR="004C6586">
        <w:t xml:space="preserve">.  </w:t>
      </w:r>
      <w:r>
        <w:t xml:space="preserve">This Erratum </w:t>
      </w:r>
      <w:r w:rsidR="004C6586">
        <w:t xml:space="preserve">amends </w:t>
      </w:r>
      <w:r w:rsidR="001D6DF2">
        <w:t xml:space="preserve">the Final Rules in </w:t>
      </w:r>
      <w:r w:rsidRPr="00F24207" w:rsidR="004C6586">
        <w:t>Appendix B</w:t>
      </w:r>
      <w:r w:rsidR="00AF5318">
        <w:t xml:space="preserve"> </w:t>
      </w:r>
      <w:r w:rsidR="001D6DF2">
        <w:t xml:space="preserve">of the released document </w:t>
      </w:r>
      <w:r w:rsidR="00AF5318">
        <w:t xml:space="preserve">as </w:t>
      </w:r>
      <w:r w:rsidR="001D6DF2">
        <w:t>indicated below</w:t>
      </w:r>
      <w:r w:rsidR="0019077E">
        <w:t>:</w:t>
      </w:r>
    </w:p>
    <w:p w:rsidR="0019077E" w:rsidP="005F6D2D" w14:paraId="10EB7982" w14:textId="57D3305C">
      <w:pPr>
        <w:pStyle w:val="ParaNum"/>
        <w:numPr>
          <w:ilvl w:val="0"/>
          <w:numId w:val="8"/>
        </w:numPr>
        <w:tabs>
          <w:tab w:val="left" w:pos="720"/>
        </w:tabs>
        <w:ind w:left="0" w:firstLine="360"/>
      </w:pPr>
      <w:r>
        <w:t xml:space="preserve">In </w:t>
      </w:r>
      <w:r>
        <w:t xml:space="preserve">paragraph (i) of section 54.315(c)(4), add </w:t>
      </w:r>
      <w:r w:rsidR="00F24207">
        <w:t xml:space="preserve">3 asterisks </w:t>
      </w:r>
      <w:r>
        <w:t xml:space="preserve">“* * *” after </w:t>
      </w:r>
      <w:r w:rsidR="00F24207">
        <w:t>“</w:t>
      </w:r>
      <w:r>
        <w:t>54.320(d)</w:t>
      </w:r>
      <w:r w:rsidR="00F24207">
        <w:t>”</w:t>
      </w:r>
      <w:r w:rsidR="000F6F4D">
        <w:t>.</w:t>
      </w:r>
    </w:p>
    <w:p w:rsidR="0019077E" w:rsidP="005F6D2D" w14:paraId="20D60449" w14:textId="4D9CBE5C">
      <w:pPr>
        <w:pStyle w:val="ParaNum"/>
        <w:numPr>
          <w:ilvl w:val="0"/>
          <w:numId w:val="8"/>
        </w:numPr>
        <w:tabs>
          <w:tab w:val="left" w:pos="720"/>
        </w:tabs>
        <w:ind w:left="0" w:firstLine="360"/>
      </w:pPr>
      <w:r>
        <w:t>In paragraph (d)(2) of section 54.316, re</w:t>
      </w:r>
      <w:r w:rsidR="00F24207">
        <w:t xml:space="preserve">place paragraph letters </w:t>
      </w:r>
      <w:r>
        <w:t xml:space="preserve">(a), (b), and (c) </w:t>
      </w:r>
      <w:r w:rsidR="00F24207">
        <w:t>with</w:t>
      </w:r>
      <w:r>
        <w:t xml:space="preserve"> </w:t>
      </w:r>
      <w:r w:rsidR="00F24207">
        <w:t xml:space="preserve">numbers </w:t>
      </w:r>
      <w:r>
        <w:t>(i), (ii), and (iii)</w:t>
      </w:r>
      <w:r w:rsidR="00F24207">
        <w:t>.</w:t>
      </w:r>
    </w:p>
    <w:p w:rsidR="0019077E" w:rsidP="005F6D2D" w14:paraId="5446F299" w14:textId="165EC95F">
      <w:pPr>
        <w:pStyle w:val="ParaNum"/>
        <w:numPr>
          <w:ilvl w:val="0"/>
          <w:numId w:val="8"/>
        </w:numPr>
        <w:tabs>
          <w:tab w:val="left" w:pos="720"/>
        </w:tabs>
        <w:ind w:left="0" w:firstLine="360"/>
      </w:pPr>
      <w:r>
        <w:t xml:space="preserve">Add paragraph </w:t>
      </w:r>
      <w:r w:rsidR="001D6DF2">
        <w:t>“</w:t>
      </w:r>
      <w:r w:rsidR="008A370D">
        <w:t>20</w:t>
      </w:r>
      <w:r w:rsidR="001D6DF2">
        <w:t>”</w:t>
      </w:r>
      <w:r w:rsidR="008A370D">
        <w:t xml:space="preserve"> to read as follows:</w:t>
      </w:r>
    </w:p>
    <w:p w:rsidR="00551BCB" w:rsidP="005F6D2D" w14:paraId="5D59FF02" w14:textId="3BB1EA91">
      <w:pPr>
        <w:pStyle w:val="ParaNum"/>
        <w:numPr>
          <w:ilvl w:val="0"/>
          <w:numId w:val="0"/>
        </w:numPr>
        <w:tabs>
          <w:tab w:val="left" w:pos="1080"/>
        </w:tabs>
        <w:ind w:left="360" w:firstLine="360"/>
      </w:pPr>
      <w:r>
        <w:t>“</w:t>
      </w:r>
      <w:r>
        <w:t>20.</w:t>
      </w:r>
      <w:r>
        <w:tab/>
      </w:r>
      <w:r>
        <w:t>Amend § 54.1508 by revising the first sentence of paragraph (e)(1) to read as follows:</w:t>
      </w:r>
    </w:p>
    <w:p w:rsidR="00AF5318" w:rsidRPr="00AF5318" w:rsidP="005F6D2D" w14:paraId="7C6FF9C2" w14:textId="7E1357D9">
      <w:pPr>
        <w:pStyle w:val="ParaNum"/>
        <w:numPr>
          <w:ilvl w:val="0"/>
          <w:numId w:val="0"/>
        </w:numPr>
        <w:ind w:left="720"/>
        <w:rPr>
          <w:b/>
          <w:bCs/>
        </w:rPr>
      </w:pPr>
      <w:r w:rsidRPr="00AF5318">
        <w:rPr>
          <w:b/>
          <w:bCs/>
        </w:rPr>
        <w:t>§ 54.1508 Letter of credit for stage 2 fixed support recipients</w:t>
      </w:r>
    </w:p>
    <w:p w:rsidR="00406ABF" w:rsidP="005F6D2D" w14:paraId="11DF3C80" w14:textId="0AD59715">
      <w:pPr>
        <w:pStyle w:val="ParaNum"/>
        <w:numPr>
          <w:ilvl w:val="0"/>
          <w:numId w:val="0"/>
        </w:numPr>
        <w:ind w:left="720"/>
      </w:pPr>
      <w:r>
        <w:t>* * * * *</w:t>
      </w:r>
    </w:p>
    <w:p w:rsidR="00551BCB" w:rsidP="005F6D2D" w14:paraId="7867A2CC" w14:textId="7D1E6395">
      <w:pPr>
        <w:pStyle w:val="ParaNum"/>
        <w:numPr>
          <w:ilvl w:val="0"/>
          <w:numId w:val="0"/>
        </w:numPr>
        <w:ind w:left="720"/>
      </w:pPr>
      <w:r>
        <w:t xml:space="preserve">(e) * * * </w:t>
      </w:r>
    </w:p>
    <w:p w:rsidR="00551BCB" w:rsidP="005F6D2D" w14:paraId="2FEE24F7" w14:textId="71944654">
      <w:pPr>
        <w:pStyle w:val="ParaNum"/>
        <w:keepNext/>
        <w:widowControl/>
        <w:numPr>
          <w:ilvl w:val="0"/>
          <w:numId w:val="0"/>
        </w:numPr>
        <w:ind w:left="1080"/>
      </w:pPr>
      <w:r>
        <w:t>(</w:t>
      </w:r>
      <w:r w:rsidR="00406ABF">
        <w:t>1</w:t>
      </w:r>
      <w:r>
        <w:t xml:space="preserve">) </w:t>
      </w:r>
      <w:r w:rsidRPr="00551BCB">
        <w:t xml:space="preserve">Failure by a </w:t>
      </w:r>
      <w:r w:rsidRPr="00551BCB">
        <w:t>Uniendo</w:t>
      </w:r>
      <w:r w:rsidRPr="00551BCB">
        <w:t xml:space="preserve"> a Puerto Rico Fund and the Connect USVI Fund Stage 2 fixed support recipient to meet its service milestones as required by § 54.1506 will trigger reporting obligations and the withholding of support as described in § 54.320(</w:t>
      </w:r>
      <w:r w:rsidR="00C22CC2">
        <w:t>d</w:t>
      </w:r>
      <w:r w:rsidRPr="00551BCB">
        <w:t>)</w:t>
      </w:r>
      <w:r>
        <w:t>. * * *</w:t>
      </w:r>
      <w:r w:rsidR="008A370D">
        <w:t>”</w:t>
      </w:r>
    </w:p>
    <w:p w:rsidR="00551BCB" w:rsidRPr="008A370D" w:rsidP="005F6D2D" w14:paraId="20CCC539" w14:textId="78C78C4C">
      <w:pPr>
        <w:keepNext/>
        <w:widowControl/>
      </w:pPr>
    </w:p>
    <w:p w:rsidR="00C777BA" w:rsidRPr="005F6D2D" w:rsidP="005F6D2D" w14:paraId="2D346C43" w14:textId="77777777">
      <w:pPr>
        <w:keepNext/>
        <w:widowControl/>
        <w:rPr>
          <w:b/>
          <w:caps/>
        </w:rPr>
      </w:pP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  <w:t>FEDERAL COMMUNICATIONS COMMISSION</w:t>
      </w:r>
    </w:p>
    <w:p w:rsidR="00C777BA" w:rsidRPr="005F6D2D" w:rsidP="005F6D2D" w14:paraId="4F2A23C6" w14:textId="77777777">
      <w:pPr>
        <w:keepNext/>
        <w:widowControl/>
        <w:rPr>
          <w:b/>
          <w:caps/>
        </w:rPr>
      </w:pPr>
    </w:p>
    <w:p w:rsidR="00C777BA" w:rsidRPr="008A370D" w:rsidP="005F6D2D" w14:paraId="1EAB502D" w14:textId="77777777">
      <w:pPr>
        <w:keepNext/>
        <w:widowControl/>
      </w:pPr>
    </w:p>
    <w:p w:rsidR="00C777BA" w:rsidRPr="008A370D" w:rsidP="005F6D2D" w14:paraId="2D2FA1BF" w14:textId="77777777">
      <w:pPr>
        <w:keepNext/>
        <w:widowControl/>
      </w:pPr>
    </w:p>
    <w:p w:rsidR="00C777BA" w:rsidRPr="008A370D" w:rsidP="005F6D2D" w14:paraId="175CD63C" w14:textId="77777777">
      <w:pPr>
        <w:keepNext/>
        <w:widowControl/>
      </w:pPr>
    </w:p>
    <w:p w:rsidR="00C777BA" w:rsidRPr="005F6D2D" w:rsidP="005F6D2D" w14:paraId="5F9377F6" w14:textId="4437C1A8">
      <w:pPr>
        <w:keepNext/>
        <w:widowControl/>
        <w:rPr>
          <w:b/>
          <w:caps/>
        </w:rPr>
      </w:pP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 w:rsidR="00551BCB">
        <w:t>Trent Harkrader</w:t>
      </w:r>
      <w:r w:rsidRPr="005F6D2D">
        <w:t xml:space="preserve"> </w:t>
      </w:r>
    </w:p>
    <w:p w:rsidR="00C777BA" w:rsidRPr="005F6D2D" w:rsidP="005F6D2D" w14:paraId="376E131A" w14:textId="219468D8">
      <w:pPr>
        <w:keepNext/>
        <w:widowControl/>
        <w:rPr>
          <w:b/>
          <w:caps/>
        </w:rPr>
      </w:pP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 w:rsidR="00551BCB">
        <w:t>Bureau Chief</w:t>
      </w:r>
    </w:p>
    <w:p w:rsidR="004C6586" w14:paraId="547BB1F5" w14:textId="66658605"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>
        <w:tab/>
      </w:r>
      <w:r w:rsidRPr="005F6D2D" w:rsidR="00551BCB">
        <w:t>Wireline Competition Bureau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7BA" w14:paraId="19AEED6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C777BA" w14:paraId="66D5BB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7BA" w14:paraId="5E7EE9C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777BA" w14:paraId="45DA4424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7BA" w14:paraId="1608C75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7BA" w14:paraId="31B4FF64" w14:textId="77777777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C777BA" w14:paraId="07B65FFF" w14:textId="5E2C433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C777BA" w14:paraId="7A8D63B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7BA" w14:paraId="5CDA6716" w14:textId="4EC3E461">
    <w:pPr>
      <w:pStyle w:val="Header"/>
    </w:pPr>
    <w:r>
      <w:tab/>
      <w:t>Federal Communications Commission</w:t>
    </w:r>
    <w:r>
      <w:tab/>
      <w:t xml:space="preserve"> </w:t>
    </w:r>
  </w:p>
  <w:p w:rsidR="00C777BA" w14:paraId="41B1A955" w14:textId="071BBE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6266694"/>
    <w:multiLevelType w:val="hybridMultilevel"/>
    <w:tmpl w:val="33049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86"/>
    <w:rsid w:val="000519DC"/>
    <w:rsid w:val="000F3BD8"/>
    <w:rsid w:val="000F6F4D"/>
    <w:rsid w:val="00164BE7"/>
    <w:rsid w:val="0019077E"/>
    <w:rsid w:val="001A235F"/>
    <w:rsid w:val="001D6DF2"/>
    <w:rsid w:val="002659D7"/>
    <w:rsid w:val="002A2D8E"/>
    <w:rsid w:val="002E503F"/>
    <w:rsid w:val="00374847"/>
    <w:rsid w:val="00406ABF"/>
    <w:rsid w:val="004C6586"/>
    <w:rsid w:val="00551BCB"/>
    <w:rsid w:val="005B6325"/>
    <w:rsid w:val="005E2694"/>
    <w:rsid w:val="005F6D2D"/>
    <w:rsid w:val="0063526D"/>
    <w:rsid w:val="006C34B6"/>
    <w:rsid w:val="006D26DC"/>
    <w:rsid w:val="00722074"/>
    <w:rsid w:val="008223EC"/>
    <w:rsid w:val="008A370D"/>
    <w:rsid w:val="009122D2"/>
    <w:rsid w:val="00913BD1"/>
    <w:rsid w:val="009C5BFB"/>
    <w:rsid w:val="00AE7945"/>
    <w:rsid w:val="00AF5318"/>
    <w:rsid w:val="00C22CC2"/>
    <w:rsid w:val="00C77559"/>
    <w:rsid w:val="00C777BA"/>
    <w:rsid w:val="00CE1F9C"/>
    <w:rsid w:val="00E378D7"/>
    <w:rsid w:val="00E942AF"/>
    <w:rsid w:val="00F24207"/>
    <w:rsid w:val="00FA6D89"/>
    <w:rsid w:val="00FB14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A11A45"/>
  <w15:chartTrackingRefBased/>
  <w15:docId w15:val="{E2B3445A-F11A-41DA-8233-615EDB0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A370D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