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13C80" w:rsidRPr="00465AA8" w:rsidP="00C13C80" w14:paraId="7D10BACA" w14:textId="77777777">
      <w:pPr>
        <w:jc w:val="center"/>
        <w:rPr>
          <w:b/>
          <w:snapToGrid/>
          <w:szCs w:val="22"/>
        </w:rPr>
      </w:pPr>
      <w:bookmarkStart w:id="0" w:name="_Toc147150080"/>
      <w:bookmarkStart w:id="1" w:name="_Toc150423897"/>
      <w:bookmarkStart w:id="2" w:name="_Hlk82008716"/>
      <w:r w:rsidRPr="00465AA8">
        <w:rPr>
          <w:b/>
          <w:szCs w:val="22"/>
        </w:rPr>
        <w:t>Before the</w:t>
      </w:r>
    </w:p>
    <w:p w:rsidR="00C13C80" w:rsidRPr="00465AA8" w:rsidP="00C13C80" w14:paraId="05DAC143" w14:textId="77777777">
      <w:pPr>
        <w:jc w:val="center"/>
        <w:rPr>
          <w:b/>
          <w:szCs w:val="22"/>
        </w:rPr>
      </w:pPr>
      <w:r w:rsidRPr="00465AA8">
        <w:rPr>
          <w:b/>
          <w:szCs w:val="22"/>
        </w:rPr>
        <w:t>Federal Communications Commission</w:t>
      </w:r>
    </w:p>
    <w:p w:rsidR="00C13C80" w:rsidRPr="00465AA8" w:rsidP="00C13C80" w14:paraId="3434CDC7" w14:textId="77777777">
      <w:pPr>
        <w:jc w:val="center"/>
        <w:rPr>
          <w:b/>
          <w:szCs w:val="22"/>
        </w:rPr>
      </w:pPr>
      <w:r w:rsidRPr="00465AA8">
        <w:rPr>
          <w:b/>
          <w:szCs w:val="22"/>
        </w:rPr>
        <w:t>Washington, D.C. 20554</w:t>
      </w:r>
    </w:p>
    <w:p w:rsidR="00C13C80" w:rsidRPr="00465AA8" w:rsidP="00C13C80" w14:paraId="68C72C19" w14:textId="77777777">
      <w:pPr>
        <w:rPr>
          <w:szCs w:val="22"/>
        </w:rPr>
      </w:pPr>
    </w:p>
    <w:tbl>
      <w:tblPr>
        <w:tblW w:w="0" w:type="auto"/>
        <w:tblLayout w:type="fixed"/>
        <w:tblLook w:val="04A0"/>
      </w:tblPr>
      <w:tblGrid>
        <w:gridCol w:w="4698"/>
        <w:gridCol w:w="720"/>
        <w:gridCol w:w="4230"/>
      </w:tblGrid>
      <w:tr w14:paraId="416AD5B1" w14:textId="77777777" w:rsidTr="006C6A78">
        <w:tblPrEx>
          <w:tblW w:w="0" w:type="auto"/>
          <w:tblLayout w:type="fixed"/>
          <w:tblLook w:val="04A0"/>
        </w:tblPrEx>
        <w:tc>
          <w:tcPr>
            <w:tcW w:w="4698" w:type="dxa"/>
          </w:tcPr>
          <w:p w:rsidR="00C13C80" w:rsidRPr="00465AA8" w:rsidP="006C6A78" w14:paraId="3BF3AEFF" w14:textId="77777777">
            <w:pPr>
              <w:ind w:right="-18"/>
              <w:rPr>
                <w:szCs w:val="22"/>
              </w:rPr>
            </w:pPr>
            <w:r w:rsidRPr="00465AA8">
              <w:rPr>
                <w:szCs w:val="22"/>
              </w:rPr>
              <w:t>In the Matter of</w:t>
            </w:r>
          </w:p>
          <w:p w:rsidR="00C13C80" w:rsidRPr="00465AA8" w:rsidP="006C6A78" w14:paraId="0E8D4667" w14:textId="77777777">
            <w:pPr>
              <w:ind w:right="-18"/>
              <w:rPr>
                <w:szCs w:val="22"/>
              </w:rPr>
            </w:pPr>
          </w:p>
          <w:p w:rsidR="00C13C80" w:rsidRPr="00465AA8" w:rsidP="006C6A78" w14:paraId="5CD2A81F" w14:textId="77777777">
            <w:pPr>
              <w:ind w:right="-18"/>
              <w:rPr>
                <w:szCs w:val="22"/>
              </w:rPr>
            </w:pPr>
            <w:r>
              <w:rPr>
                <w:szCs w:val="22"/>
              </w:rPr>
              <w:t>Modernizing and Expanding Access to the 70/80/90 GHz Bands</w:t>
            </w:r>
          </w:p>
        </w:tc>
        <w:tc>
          <w:tcPr>
            <w:tcW w:w="720" w:type="dxa"/>
          </w:tcPr>
          <w:p w:rsidR="00C13C80" w:rsidRPr="00465AA8" w:rsidP="006C6A78" w14:paraId="18888AC6" w14:textId="77777777">
            <w:pPr>
              <w:rPr>
                <w:b/>
                <w:szCs w:val="22"/>
              </w:rPr>
            </w:pPr>
            <w:r w:rsidRPr="00465AA8">
              <w:rPr>
                <w:b/>
                <w:szCs w:val="22"/>
              </w:rPr>
              <w:t>)</w:t>
            </w:r>
          </w:p>
          <w:p w:rsidR="00C13C80" w:rsidRPr="00465AA8" w:rsidP="006C6A78" w14:paraId="49409BC8" w14:textId="77777777">
            <w:pPr>
              <w:rPr>
                <w:b/>
                <w:szCs w:val="22"/>
              </w:rPr>
            </w:pPr>
            <w:r w:rsidRPr="00465AA8">
              <w:rPr>
                <w:b/>
                <w:szCs w:val="22"/>
              </w:rPr>
              <w:t>)</w:t>
            </w:r>
          </w:p>
          <w:p w:rsidR="00C13C80" w:rsidRPr="00465AA8" w:rsidP="006C6A78" w14:paraId="4EA516EE" w14:textId="77777777">
            <w:pPr>
              <w:rPr>
                <w:b/>
                <w:szCs w:val="22"/>
              </w:rPr>
            </w:pPr>
            <w:r w:rsidRPr="00465AA8">
              <w:rPr>
                <w:b/>
                <w:szCs w:val="22"/>
              </w:rPr>
              <w:t>)</w:t>
            </w:r>
          </w:p>
          <w:p w:rsidR="00C13C80" w:rsidRPr="00465AA8" w:rsidP="006C6A78" w14:paraId="3B2F4A01" w14:textId="1F0AD9ED">
            <w:pPr>
              <w:rPr>
                <w:b/>
                <w:szCs w:val="22"/>
              </w:rPr>
            </w:pPr>
            <w:r w:rsidRPr="00465AA8">
              <w:rPr>
                <w:b/>
                <w:szCs w:val="22"/>
              </w:rPr>
              <w:t>)</w:t>
            </w:r>
          </w:p>
          <w:p w:rsidR="00C13C80" w:rsidRPr="00465AA8" w:rsidP="006C6A78" w14:paraId="2036EE7E" w14:textId="77777777">
            <w:pPr>
              <w:rPr>
                <w:b/>
                <w:szCs w:val="22"/>
              </w:rPr>
            </w:pPr>
          </w:p>
        </w:tc>
        <w:tc>
          <w:tcPr>
            <w:tcW w:w="4230" w:type="dxa"/>
          </w:tcPr>
          <w:p w:rsidR="00C13C80" w:rsidRPr="00465AA8" w:rsidP="006C6A78" w14:paraId="7668215A" w14:textId="77777777">
            <w:pPr>
              <w:rPr>
                <w:szCs w:val="22"/>
              </w:rPr>
            </w:pPr>
          </w:p>
          <w:p w:rsidR="00C13C80" w:rsidRPr="00465AA8" w:rsidP="006C6A78" w14:paraId="13D461C6" w14:textId="77777777">
            <w:pPr>
              <w:rPr>
                <w:szCs w:val="22"/>
              </w:rPr>
            </w:pPr>
          </w:p>
          <w:p w:rsidR="00C13C80" w:rsidRPr="00854A43" w:rsidP="006C6A78" w14:paraId="55B7A7F2" w14:textId="77777777">
            <w:pPr>
              <w:rPr>
                <w:bCs/>
                <w:szCs w:val="22"/>
              </w:rPr>
            </w:pPr>
            <w:r>
              <w:rPr>
                <w:bCs/>
                <w:szCs w:val="22"/>
              </w:rPr>
              <w:t>WT Docket No. 20-133</w:t>
            </w:r>
          </w:p>
          <w:p w:rsidR="00C13C80" w:rsidRPr="00465AA8" w:rsidP="006C6A78" w14:paraId="01B2BF8B" w14:textId="77777777">
            <w:pPr>
              <w:rPr>
                <w:b/>
                <w:szCs w:val="22"/>
              </w:rPr>
            </w:pPr>
          </w:p>
        </w:tc>
      </w:tr>
    </w:tbl>
    <w:p w:rsidR="00C13C80" w:rsidRPr="00465AA8" w:rsidP="00C13C80" w14:paraId="3A94C8DC" w14:textId="77777777">
      <w:pPr>
        <w:spacing w:before="120"/>
        <w:jc w:val="center"/>
        <w:rPr>
          <w:b/>
          <w:spacing w:val="-2"/>
          <w:szCs w:val="22"/>
        </w:rPr>
      </w:pPr>
      <w:r>
        <w:rPr>
          <w:b/>
          <w:spacing w:val="-2"/>
          <w:szCs w:val="22"/>
        </w:rPr>
        <w:t>ERRATUM</w:t>
      </w:r>
    </w:p>
    <w:p w:rsidR="00C13C80" w:rsidRPr="00465AA8" w:rsidP="00C13C80" w14:paraId="78EA7D6E" w14:textId="77777777">
      <w:pPr>
        <w:tabs>
          <w:tab w:val="left" w:pos="5760"/>
        </w:tabs>
        <w:rPr>
          <w:b/>
          <w:szCs w:val="22"/>
        </w:rPr>
      </w:pPr>
    </w:p>
    <w:p w:rsidR="00C13C80" w:rsidRPr="00465AA8" w:rsidP="007F1020" w14:paraId="56DAD92C" w14:textId="6CBEC150">
      <w:pPr>
        <w:jc w:val="right"/>
        <w:rPr>
          <w:b/>
        </w:rPr>
      </w:pPr>
      <w:r w:rsidRPr="456AA556">
        <w:rPr>
          <w:b/>
        </w:rPr>
        <w:t xml:space="preserve">Released:  </w:t>
      </w:r>
      <w:r w:rsidRPr="456AA556" w:rsidR="20278B6D">
        <w:rPr>
          <w:b/>
          <w:bCs/>
        </w:rPr>
        <w:t xml:space="preserve">April </w:t>
      </w:r>
      <w:r w:rsidR="00476FF3">
        <w:rPr>
          <w:b/>
          <w:bCs/>
        </w:rPr>
        <w:t>10</w:t>
      </w:r>
      <w:r w:rsidRPr="456AA556">
        <w:rPr>
          <w:b/>
        </w:rPr>
        <w:t>, 2024</w:t>
      </w:r>
    </w:p>
    <w:p w:rsidR="00C13C80" w:rsidRPr="00465AA8" w:rsidP="00C13C80" w14:paraId="24CA62B3" w14:textId="77777777">
      <w:pPr>
        <w:tabs>
          <w:tab w:val="left" w:pos="5760"/>
        </w:tabs>
        <w:rPr>
          <w:b/>
          <w:szCs w:val="22"/>
        </w:rPr>
      </w:pPr>
    </w:p>
    <w:p w:rsidR="00C13C80" w:rsidP="00C13C80" w14:paraId="03392E38" w14:textId="77777777">
      <w:pPr>
        <w:tabs>
          <w:tab w:val="left" w:pos="5760"/>
        </w:tabs>
        <w:rPr>
          <w:spacing w:val="-2"/>
          <w:szCs w:val="22"/>
        </w:rPr>
      </w:pPr>
      <w:r w:rsidRPr="00465AA8">
        <w:rPr>
          <w:szCs w:val="22"/>
        </w:rPr>
        <w:t xml:space="preserve">By the </w:t>
      </w:r>
      <w:r>
        <w:rPr>
          <w:szCs w:val="22"/>
        </w:rPr>
        <w:t xml:space="preserve">Managing Director and the </w:t>
      </w:r>
      <w:r w:rsidRPr="00465AA8">
        <w:rPr>
          <w:spacing w:val="-2"/>
          <w:szCs w:val="22"/>
        </w:rPr>
        <w:t xml:space="preserve">Chief, </w:t>
      </w:r>
      <w:r>
        <w:rPr>
          <w:spacing w:val="-2"/>
          <w:szCs w:val="22"/>
        </w:rPr>
        <w:t>Wireless Telecommunications Bureau:</w:t>
      </w:r>
    </w:p>
    <w:p w:rsidR="00C13C80" w:rsidRPr="00465AA8" w:rsidP="00C13C80" w14:paraId="43AECEDE" w14:textId="77777777">
      <w:pPr>
        <w:tabs>
          <w:tab w:val="left" w:pos="5760"/>
        </w:tabs>
        <w:rPr>
          <w:spacing w:val="-2"/>
          <w:szCs w:val="22"/>
        </w:rPr>
      </w:pPr>
    </w:p>
    <w:p w:rsidR="00C13C80" w:rsidP="00111F27" w14:paraId="24430128" w14:textId="6D0AF8C5">
      <w:pPr>
        <w:spacing w:after="120"/>
        <w:ind w:firstLine="720"/>
      </w:pPr>
      <w:r>
        <w:t>On January 26, 2024, the Commission released a Report and Order and Further Notice of Proposed Rulemaking (</w:t>
      </w:r>
      <w:r w:rsidRPr="004F4FE0">
        <w:rPr>
          <w:i/>
          <w:iCs/>
        </w:rPr>
        <w:t>Report and Order</w:t>
      </w:r>
      <w:r w:rsidRPr="6EDA540A" w:rsidR="643F1759">
        <w:rPr>
          <w:i/>
          <w:iCs/>
        </w:rPr>
        <w:t xml:space="preserve"> and FNPRM</w:t>
      </w:r>
      <w:r>
        <w:t xml:space="preserve">), FCC 24-16, in the above-captioned proceeding.  </w:t>
      </w:r>
      <w:r w:rsidR="00C72DB7">
        <w:t>This</w:t>
      </w:r>
      <w:r>
        <w:t xml:space="preserve"> Erratum replaces </w:t>
      </w:r>
      <w:r w:rsidRPr="6EDA540A">
        <w:rPr>
          <w:b/>
        </w:rPr>
        <w:t>Appendix A</w:t>
      </w:r>
      <w:r>
        <w:t xml:space="preserve"> of the </w:t>
      </w:r>
      <w:r w:rsidRPr="6EDA540A">
        <w:rPr>
          <w:i/>
        </w:rPr>
        <w:t>Report and Order</w:t>
      </w:r>
      <w:r w:rsidRPr="456AA556">
        <w:rPr>
          <w:i/>
        </w:rPr>
        <w:t xml:space="preserve"> </w:t>
      </w:r>
      <w:r w:rsidRPr="456AA556" w:rsidR="4AF4CF08">
        <w:rPr>
          <w:i/>
          <w:iCs/>
        </w:rPr>
        <w:t>and FNPRM</w:t>
      </w:r>
      <w:r>
        <w:t xml:space="preserve"> with a new </w:t>
      </w:r>
      <w:r w:rsidRPr="6EDA540A">
        <w:rPr>
          <w:b/>
        </w:rPr>
        <w:t>Appendix A</w:t>
      </w:r>
      <w:r>
        <w:t xml:space="preserve">.  The new </w:t>
      </w:r>
      <w:r w:rsidRPr="6EDA540A">
        <w:rPr>
          <w:b/>
        </w:rPr>
        <w:t>Appendix A</w:t>
      </w:r>
      <w:r>
        <w:t>, attached to this Erratum, contains non-substantive modifications to the instructional and introductory language for certain sections</w:t>
      </w:r>
      <w:r w:rsidR="00C72DB7">
        <w:t xml:space="preserve"> that are necessary to conform to the publishing conventions of the National Archives and Records Administration’s Office of the Federal Register</w:t>
      </w:r>
      <w:r>
        <w:t xml:space="preserve">.  It also contains modifications to the codified text, including the following:  </w:t>
      </w:r>
    </w:p>
    <w:p w:rsidR="00C13C80" w:rsidRPr="00DC2C94" w:rsidP="00C13C80" w14:paraId="3990123B" w14:textId="77777777">
      <w:pPr>
        <w:pStyle w:val="ParaNum"/>
        <w:tabs>
          <w:tab w:val="left" w:pos="1080"/>
          <w:tab w:val="clear" w:pos="1440"/>
        </w:tabs>
        <w:rPr>
          <w:szCs w:val="22"/>
        </w:rPr>
      </w:pPr>
      <w:r>
        <w:t>In sections 0.241(l) and 0.331(g), correcting the frequency ranges from “the 71–86 GHz and 81–86 GHz bands” to “the 71–76 GHz and 81–86 GHz bands.”</w:t>
      </w:r>
    </w:p>
    <w:p w:rsidR="00C13C80" w:rsidP="00C13C80" w14:paraId="67182BD6" w14:textId="77777777">
      <w:pPr>
        <w:pStyle w:val="ParaNum"/>
        <w:tabs>
          <w:tab w:val="num" w:pos="1080"/>
          <w:tab w:val="clear" w:pos="1440"/>
        </w:tabs>
        <w:rPr>
          <w:szCs w:val="22"/>
        </w:rPr>
      </w:pPr>
      <w:r w:rsidRPr="005B4081">
        <w:rPr>
          <w:szCs w:val="22"/>
        </w:rPr>
        <w:t xml:space="preserve">In </w:t>
      </w:r>
      <w:r>
        <w:rPr>
          <w:szCs w:val="22"/>
        </w:rPr>
        <w:t xml:space="preserve">the introductory text of </w:t>
      </w:r>
      <w:r w:rsidRPr="005B4081">
        <w:rPr>
          <w:szCs w:val="22"/>
        </w:rPr>
        <w:t xml:space="preserve">section 0.331, </w:t>
      </w:r>
      <w:r>
        <w:rPr>
          <w:szCs w:val="22"/>
        </w:rPr>
        <w:t xml:space="preserve">revising the </w:t>
      </w:r>
      <w:r w:rsidRPr="005B4081">
        <w:rPr>
          <w:szCs w:val="22"/>
        </w:rPr>
        <w:t xml:space="preserve">final phrase </w:t>
      </w:r>
      <w:r>
        <w:rPr>
          <w:szCs w:val="22"/>
        </w:rPr>
        <w:t>to</w:t>
      </w:r>
      <w:r w:rsidRPr="005B4081">
        <w:rPr>
          <w:szCs w:val="22"/>
        </w:rPr>
        <w:t xml:space="preserve"> read: </w:t>
      </w:r>
      <w:r>
        <w:rPr>
          <w:szCs w:val="22"/>
        </w:rPr>
        <w:t xml:space="preserve"> </w:t>
      </w:r>
      <w:r w:rsidRPr="0023621F">
        <w:rPr>
          <w:szCs w:val="22"/>
        </w:rPr>
        <w:t>“and also the functions described in paragraphs (e) through (g) of this section</w:t>
      </w:r>
      <w:r>
        <w:rPr>
          <w:szCs w:val="22"/>
        </w:rPr>
        <w:t>.</w:t>
      </w:r>
      <w:r w:rsidRPr="0023621F">
        <w:rPr>
          <w:szCs w:val="22"/>
        </w:rPr>
        <w:t>”</w:t>
      </w:r>
    </w:p>
    <w:p w:rsidR="008B4578" w:rsidP="00C13C80" w14:paraId="3E02D260" w14:textId="5A46AC0D">
      <w:pPr>
        <w:pStyle w:val="ParaNum"/>
        <w:tabs>
          <w:tab w:val="num" w:pos="1080"/>
          <w:tab w:val="clear" w:pos="1440"/>
        </w:tabs>
        <w:rPr>
          <w:szCs w:val="22"/>
        </w:rPr>
      </w:pPr>
      <w:r>
        <w:rPr>
          <w:szCs w:val="22"/>
        </w:rPr>
        <w:t xml:space="preserve">In sections 0.331(g) and 101.1528(d), adding subject headings immediately following the paragraph letters, respectively, as follows: “(g) </w:t>
      </w:r>
      <w:r w:rsidRPr="00927BDD">
        <w:rPr>
          <w:i/>
          <w:iCs/>
          <w:szCs w:val="22"/>
        </w:rPr>
        <w:t>Authority concerning review of certain proposed technologies in the 71</w:t>
      </w:r>
      <w:r w:rsidRPr="00922886" w:rsidR="00922886">
        <w:rPr>
          <w:i/>
          <w:iCs/>
          <w:szCs w:val="22"/>
        </w:rPr>
        <w:t>–</w:t>
      </w:r>
      <w:r w:rsidRPr="00927BDD">
        <w:rPr>
          <w:i/>
          <w:iCs/>
          <w:szCs w:val="22"/>
        </w:rPr>
        <w:t>76 and 81</w:t>
      </w:r>
      <w:r w:rsidRPr="00922886" w:rsidR="00922886">
        <w:rPr>
          <w:i/>
          <w:iCs/>
          <w:szCs w:val="22"/>
        </w:rPr>
        <w:t>–</w:t>
      </w:r>
      <w:r w:rsidRPr="00927BDD">
        <w:rPr>
          <w:i/>
          <w:iCs/>
          <w:szCs w:val="22"/>
        </w:rPr>
        <w:t>86 GHz bands</w:t>
      </w:r>
      <w:r w:rsidRPr="00927BDD">
        <w:rPr>
          <w:szCs w:val="22"/>
        </w:rPr>
        <w:t>.</w:t>
      </w:r>
      <w:r>
        <w:rPr>
          <w:szCs w:val="22"/>
        </w:rPr>
        <w:t>”</w:t>
      </w:r>
      <w:r w:rsidR="001B5B80">
        <w:rPr>
          <w:szCs w:val="22"/>
        </w:rPr>
        <w:t>;</w:t>
      </w:r>
      <w:r>
        <w:rPr>
          <w:szCs w:val="22"/>
        </w:rPr>
        <w:t xml:space="preserve"> and “(d) </w:t>
      </w:r>
      <w:r>
        <w:rPr>
          <w:i/>
          <w:iCs/>
          <w:szCs w:val="22"/>
        </w:rPr>
        <w:t>R</w:t>
      </w:r>
      <w:r w:rsidRPr="00927BDD">
        <w:rPr>
          <w:i/>
          <w:iCs/>
          <w:szCs w:val="22"/>
        </w:rPr>
        <w:t>eview of certain proposed technologies in the 71</w:t>
      </w:r>
      <w:r>
        <w:rPr>
          <w:i/>
          <w:iCs/>
          <w:szCs w:val="22"/>
        </w:rPr>
        <w:t>–</w:t>
      </w:r>
      <w:r w:rsidRPr="00927BDD">
        <w:rPr>
          <w:i/>
          <w:iCs/>
          <w:szCs w:val="22"/>
        </w:rPr>
        <w:t>76 and 81</w:t>
      </w:r>
      <w:r>
        <w:rPr>
          <w:i/>
          <w:iCs/>
          <w:szCs w:val="22"/>
        </w:rPr>
        <w:t>–</w:t>
      </w:r>
      <w:r w:rsidRPr="00927BDD">
        <w:rPr>
          <w:i/>
          <w:iCs/>
          <w:szCs w:val="22"/>
        </w:rPr>
        <w:t>86 GHz bands</w:t>
      </w:r>
      <w:r>
        <w:rPr>
          <w:i/>
          <w:iCs/>
          <w:szCs w:val="22"/>
        </w:rPr>
        <w:t>.</w:t>
      </w:r>
      <w:r>
        <w:rPr>
          <w:szCs w:val="22"/>
        </w:rPr>
        <w:t>”</w:t>
      </w:r>
    </w:p>
    <w:p w:rsidR="00314CA7" w:rsidP="002C3AF1" w14:paraId="750A638B" w14:textId="3F714EAB">
      <w:pPr>
        <w:pStyle w:val="ParaNum"/>
        <w:tabs>
          <w:tab w:val="num" w:pos="1080"/>
          <w:tab w:val="clear" w:pos="1440"/>
        </w:tabs>
      </w:pPr>
      <w:r>
        <w:t xml:space="preserve">As a result of changes to </w:t>
      </w:r>
      <w:r w:rsidRPr="002C3AF1">
        <w:rPr>
          <w:b/>
          <w:bCs/>
        </w:rPr>
        <w:t>Appendix A</w:t>
      </w:r>
      <w:r>
        <w:t xml:space="preserve">, cross references in paragraph 54 of the </w:t>
      </w:r>
      <w:r w:rsidRPr="008B4578" w:rsidR="17F98A7B">
        <w:rPr>
          <w:i/>
          <w:iCs/>
        </w:rPr>
        <w:t xml:space="preserve">Report and Order </w:t>
      </w:r>
      <w:r w:rsidRPr="008B4578" w:rsidR="2890BDB9">
        <w:rPr>
          <w:i/>
          <w:iCs/>
        </w:rPr>
        <w:t>and FNPRM</w:t>
      </w:r>
      <w:r w:rsidR="17F98A7B">
        <w:t xml:space="preserve"> </w:t>
      </w:r>
      <w:r>
        <w:t xml:space="preserve">to tables in section 101.1528(c) are updated as follows: on line 4, the cross reference is revised to </w:t>
      </w:r>
      <w:r w:rsidR="008B4578">
        <w:t>“</w:t>
      </w:r>
      <w:r>
        <w:t>Table 3</w:t>
      </w:r>
      <w:r w:rsidR="008B4578">
        <w:t>”</w:t>
      </w:r>
      <w:r>
        <w:t xml:space="preserve"> (from </w:t>
      </w:r>
      <w:r w:rsidR="00BF0504">
        <w:t>“</w:t>
      </w:r>
      <w:r>
        <w:t>Table 1</w:t>
      </w:r>
      <w:r w:rsidR="00BF0504">
        <w:t>”</w:t>
      </w:r>
      <w:r>
        <w:t xml:space="preserve">), and on line 7, the cross reference is revised to </w:t>
      </w:r>
      <w:r w:rsidR="00BF0504">
        <w:t>“</w:t>
      </w:r>
      <w:r>
        <w:t>Table 4</w:t>
      </w:r>
      <w:r w:rsidR="00BF0504">
        <w:t>”</w:t>
      </w:r>
      <w:r>
        <w:t xml:space="preserve"> (from </w:t>
      </w:r>
      <w:r w:rsidR="00BF0504">
        <w:t>“</w:t>
      </w:r>
      <w:r>
        <w:t>Table 2</w:t>
      </w:r>
      <w:r w:rsidR="00BF0504">
        <w:t>”</w:t>
      </w:r>
      <w:r>
        <w:t xml:space="preserve">).  </w:t>
      </w:r>
    </w:p>
    <w:p w:rsidR="00C13C80" w:rsidP="002C3AF1" w14:paraId="062E8F5D" w14:textId="77777777">
      <w:pPr>
        <w:keepNext/>
        <w:keepLines/>
        <w:widowControl/>
        <w:spacing w:before="240"/>
        <w:ind w:left="4320"/>
      </w:pPr>
      <w:r w:rsidRPr="003A36BB">
        <w:t>FEDERAL COMMUNICATIONS COMMISSION</w:t>
      </w:r>
    </w:p>
    <w:p w:rsidR="00C13C80" w:rsidP="002C3AF1" w14:paraId="679C6615" w14:textId="77777777">
      <w:pPr>
        <w:keepNext/>
        <w:keepLines/>
        <w:widowControl/>
        <w:ind w:left="4320"/>
      </w:pPr>
    </w:p>
    <w:p w:rsidR="002C3AF1" w:rsidP="002C3AF1" w14:paraId="23D92B5C" w14:textId="77777777">
      <w:pPr>
        <w:keepNext/>
        <w:keepLines/>
        <w:widowControl/>
        <w:ind w:left="4320"/>
      </w:pPr>
    </w:p>
    <w:p w:rsidR="00C13C80" w:rsidRPr="007E76A4" w:rsidP="002C3AF1" w14:paraId="76051243" w14:textId="77777777">
      <w:pPr>
        <w:keepNext/>
        <w:keepLines/>
        <w:widowControl/>
        <w:ind w:left="4320"/>
      </w:pPr>
    </w:p>
    <w:p w:rsidR="00C13C80" w:rsidP="002C3AF1" w14:paraId="3B9A7DFD" w14:textId="77777777">
      <w:pPr>
        <w:keepNext/>
        <w:keepLines/>
        <w:widowControl/>
        <w:ind w:left="4320"/>
      </w:pPr>
      <w:r>
        <w:t>Mark Stephens</w:t>
      </w:r>
    </w:p>
    <w:p w:rsidR="00C13C80" w:rsidP="002C3AF1" w14:paraId="30E0313F" w14:textId="77777777">
      <w:pPr>
        <w:keepNext/>
        <w:keepLines/>
        <w:widowControl/>
        <w:ind w:left="4320"/>
      </w:pPr>
      <w:r>
        <w:t xml:space="preserve">Managing Director </w:t>
      </w:r>
    </w:p>
    <w:p w:rsidR="00C13C80" w:rsidP="002C3AF1" w14:paraId="23CE0BAA" w14:textId="77777777">
      <w:pPr>
        <w:keepNext/>
        <w:keepLines/>
        <w:widowControl/>
        <w:ind w:left="4320"/>
      </w:pPr>
    </w:p>
    <w:p w:rsidR="00C13C80" w:rsidP="002C3AF1" w14:paraId="32A24111" w14:textId="77777777">
      <w:pPr>
        <w:keepNext/>
        <w:keepLines/>
        <w:widowControl/>
        <w:ind w:left="4320"/>
      </w:pPr>
      <w:r>
        <w:t>and</w:t>
      </w:r>
    </w:p>
    <w:p w:rsidR="002C3AF1" w:rsidP="002C3AF1" w14:paraId="0F5FC5B8" w14:textId="77777777">
      <w:pPr>
        <w:keepNext/>
        <w:keepLines/>
        <w:widowControl/>
        <w:ind w:left="4320"/>
      </w:pPr>
    </w:p>
    <w:p w:rsidR="00C13C80" w:rsidP="002C3AF1" w14:paraId="603A1124" w14:textId="77777777">
      <w:pPr>
        <w:keepNext/>
        <w:keepLines/>
        <w:widowControl/>
        <w:ind w:left="4320"/>
      </w:pPr>
    </w:p>
    <w:p w:rsidR="00C13C80" w:rsidP="002C3AF1" w14:paraId="2EB07044" w14:textId="77777777">
      <w:pPr>
        <w:keepNext/>
        <w:keepLines/>
        <w:widowControl/>
        <w:ind w:left="4320"/>
      </w:pPr>
    </w:p>
    <w:p w:rsidR="00C13C80" w:rsidP="002C3AF1" w14:paraId="41CFA08B" w14:textId="77777777">
      <w:pPr>
        <w:keepNext/>
        <w:keepLines/>
        <w:widowControl/>
        <w:ind w:left="4320"/>
      </w:pPr>
      <w:r>
        <w:t>Joel Taubenblatt</w:t>
      </w:r>
    </w:p>
    <w:p w:rsidR="00C13C80" w:rsidP="002C3AF1" w14:paraId="554EC50B" w14:textId="77777777">
      <w:pPr>
        <w:keepNext/>
        <w:keepLines/>
        <w:widowControl/>
        <w:ind w:left="4320"/>
      </w:pPr>
      <w:r w:rsidRPr="00465AA8">
        <w:t>Chief</w:t>
      </w:r>
      <w:r>
        <w:t>, Wireless Telecommunications Bureau</w:t>
      </w:r>
    </w:p>
    <w:p w:rsidR="00C13C80" w:rsidP="00A6145B" w14:paraId="7BA6DE3B" w14:textId="77777777">
      <w:pPr>
        <w:pStyle w:val="Heading1"/>
        <w:numPr>
          <w:ilvl w:val="0"/>
          <w:numId w:val="0"/>
        </w:numPr>
        <w:ind w:left="720" w:hanging="720"/>
        <w:jc w:val="center"/>
        <w:rPr>
          <w:rFonts w:ascii="Times New Roman" w:hAnsi="Times New Roman"/>
          <w:bCs/>
        </w:rPr>
        <w:sectPr w:rsidSect="00BB153C">
          <w:headerReference w:type="default" r:id="rId4"/>
          <w:footerReference w:type="default" r:id="rId5"/>
          <w:headerReference w:type="first" r:id="rId6"/>
          <w:pgSz w:w="12240" w:h="15840"/>
          <w:pgMar w:top="1440" w:right="1440" w:bottom="1440" w:left="1440" w:header="720" w:footer="720" w:gutter="0"/>
          <w:cols w:space="720"/>
          <w:titlePg/>
          <w:docGrid w:linePitch="360"/>
        </w:sectPr>
      </w:pPr>
    </w:p>
    <w:p w:rsidR="00A6145B" w:rsidRPr="00D942E1" w:rsidP="00A6145B" w14:paraId="41B78CFE" w14:textId="77777777">
      <w:pPr>
        <w:pStyle w:val="Heading1"/>
        <w:numPr>
          <w:ilvl w:val="0"/>
          <w:numId w:val="0"/>
        </w:numPr>
        <w:ind w:left="720" w:hanging="720"/>
        <w:jc w:val="center"/>
        <w:rPr>
          <w:rFonts w:ascii="Times New Roman" w:hAnsi="Times New Roman"/>
          <w:bCs/>
        </w:rPr>
      </w:pPr>
      <w:r w:rsidRPr="00D942E1">
        <w:rPr>
          <w:rFonts w:ascii="Times New Roman" w:hAnsi="Times New Roman"/>
          <w:bCs/>
        </w:rPr>
        <w:t>APPENDIX A</w:t>
      </w:r>
      <w:bookmarkEnd w:id="0"/>
      <w:bookmarkEnd w:id="1"/>
    </w:p>
    <w:p w:rsidR="00A6145B" w:rsidRPr="009449D4" w:rsidP="00A6145B" w14:paraId="39A8C8E3" w14:textId="77777777">
      <w:pPr>
        <w:spacing w:after="240"/>
        <w:jc w:val="center"/>
        <w:rPr>
          <w:b/>
        </w:rPr>
      </w:pPr>
      <w:r w:rsidRPr="009449D4">
        <w:rPr>
          <w:b/>
        </w:rPr>
        <w:t>Final Rules</w:t>
      </w:r>
    </w:p>
    <w:p w:rsidR="00A6145B" w:rsidRPr="00447371" w:rsidP="00A6145B" w14:paraId="1B2F736D" w14:textId="77777777">
      <w:pPr>
        <w:spacing w:after="240"/>
      </w:pPr>
      <w:r>
        <w:t>For the reasons discussed in the document above, t</w:t>
      </w:r>
      <w:r w:rsidRPr="00447371">
        <w:t>he Federal Communications Commission amends 47 CFR part</w:t>
      </w:r>
      <w:r>
        <w:t>s</w:t>
      </w:r>
      <w:r w:rsidRPr="00447371">
        <w:t xml:space="preserve"> 0</w:t>
      </w:r>
      <w:r>
        <w:t xml:space="preserve"> and 101</w:t>
      </w:r>
      <w:r w:rsidRPr="00447371">
        <w:t xml:space="preserve"> as follows:</w:t>
      </w:r>
    </w:p>
    <w:p w:rsidR="00A6145B" w:rsidRPr="00447371" w:rsidP="00A6145B" w14:paraId="066BD09A" w14:textId="77777777">
      <w:pPr>
        <w:spacing w:after="240"/>
        <w:rPr>
          <w:caps/>
        </w:rPr>
      </w:pPr>
      <w:r w:rsidRPr="00447371">
        <w:rPr>
          <w:b/>
          <w:caps/>
        </w:rPr>
        <w:t>Part 0 – Commission Organization</w:t>
      </w:r>
      <w:r w:rsidRPr="00447371">
        <w:rPr>
          <w:caps/>
        </w:rPr>
        <w:t xml:space="preserve"> </w:t>
      </w:r>
    </w:p>
    <w:p w:rsidR="00A6145B" w:rsidRPr="00DC2C3D" w:rsidP="00A6145B" w14:paraId="712E59AB" w14:textId="77777777">
      <w:pPr>
        <w:pStyle w:val="ListParagraph"/>
        <w:numPr>
          <w:ilvl w:val="0"/>
          <w:numId w:val="11"/>
        </w:numPr>
        <w:spacing w:after="0" w:line="480" w:lineRule="auto"/>
        <w:ind w:left="0" w:firstLine="360"/>
      </w:pPr>
      <w:r w:rsidRPr="00447371">
        <w:t>The authority citation for part 0 continues to read as follows:</w:t>
      </w:r>
    </w:p>
    <w:p w:rsidR="00A6145B" w:rsidRPr="00447371" w:rsidP="00A6145B" w14:paraId="1A32D807" w14:textId="77777777">
      <w:pPr>
        <w:spacing w:after="240"/>
      </w:pPr>
      <w:r w:rsidRPr="009449D4">
        <w:rPr>
          <w:b/>
        </w:rPr>
        <w:t>Authority:</w:t>
      </w:r>
      <w:r w:rsidRPr="00447371">
        <w:t xml:space="preserve">  </w:t>
      </w:r>
      <w:r>
        <w:t>4</w:t>
      </w:r>
      <w:r w:rsidRPr="00335443">
        <w:t>7 U.S.C. 151, 154(</w:t>
      </w:r>
      <w:r w:rsidRPr="00335443">
        <w:t>i</w:t>
      </w:r>
      <w:r w:rsidRPr="00335443">
        <w:t>), 154(j), 155, 225, and 409</w:t>
      </w:r>
      <w:r w:rsidRPr="00447371">
        <w:t xml:space="preserve">, unless otherwise noted. </w:t>
      </w:r>
    </w:p>
    <w:p w:rsidR="00A6145B" w:rsidRPr="00447371" w:rsidP="00A6145B" w14:paraId="2B965564" w14:textId="77777777">
      <w:pPr>
        <w:pStyle w:val="ListParagraph"/>
        <w:numPr>
          <w:ilvl w:val="0"/>
          <w:numId w:val="14"/>
        </w:numPr>
        <w:spacing w:after="0" w:line="480" w:lineRule="auto"/>
        <w:ind w:left="0" w:firstLine="360"/>
      </w:pPr>
      <w:r w:rsidRPr="00447371">
        <w:t xml:space="preserve">Section 0.241 is amended by adding paragraph </w:t>
      </w:r>
      <w:r>
        <w:t xml:space="preserve">(l) </w:t>
      </w:r>
      <w:r w:rsidRPr="00447371">
        <w:t>to read as follows:</w:t>
      </w:r>
    </w:p>
    <w:p w:rsidR="00A6145B" w:rsidRPr="007C2F00" w:rsidP="00A6145B" w14:paraId="4156B6CB" w14:textId="77777777">
      <w:pPr>
        <w:spacing w:after="240"/>
        <w:rPr>
          <w:b/>
          <w:bCs/>
        </w:rPr>
      </w:pPr>
      <w:r w:rsidRPr="007C2F00">
        <w:rPr>
          <w:b/>
          <w:bCs/>
        </w:rPr>
        <w:t>§ 0.241 Authority delegated.</w:t>
      </w:r>
    </w:p>
    <w:p w:rsidR="00A6145B" w:rsidRPr="00447371" w:rsidP="00A6145B" w14:paraId="36AF5EF1" w14:textId="77777777">
      <w:pPr>
        <w:spacing w:after="240"/>
      </w:pPr>
      <w:r w:rsidRPr="00447371">
        <w:t>* * * * *</w:t>
      </w:r>
    </w:p>
    <w:p w:rsidR="00A6145B" w:rsidRPr="00447371" w:rsidP="00A6145B" w14:paraId="00DA0B30" w14:textId="228607EB">
      <w:pPr>
        <w:spacing w:after="240"/>
        <w:ind w:firstLine="720"/>
      </w:pPr>
      <w:r w:rsidRPr="00447371">
        <w:t xml:space="preserve">(l) The Chief of the Office of Engineering and Technology is delegated authority, jointly with the Chief of the Wireless Telecommunications Bureau, to establish </w:t>
      </w:r>
      <w:r>
        <w:t xml:space="preserve">and administer </w:t>
      </w:r>
      <w:r w:rsidRPr="00447371">
        <w:t>a process for review of proposed technologies for point-to-endpoint-in-motion communications to aircraft and ships in the 71–</w:t>
      </w:r>
      <w:r w:rsidR="00C34BAB">
        <w:t>7</w:t>
      </w:r>
      <w:r w:rsidRPr="00447371">
        <w:t>6 GHz and 81–86 GHz bands to ensure compliance with the requirements adopted by the Commission.</w:t>
      </w:r>
    </w:p>
    <w:p w:rsidR="00A6145B" w:rsidRPr="00447371" w:rsidP="00A6145B" w14:paraId="47EBD66D" w14:textId="5D8908EE">
      <w:pPr>
        <w:pStyle w:val="ListParagraph"/>
        <w:numPr>
          <w:ilvl w:val="0"/>
          <w:numId w:val="14"/>
        </w:numPr>
        <w:spacing w:after="0" w:line="480" w:lineRule="auto"/>
        <w:ind w:left="0" w:firstLine="360"/>
      </w:pPr>
      <w:r w:rsidRPr="00447371">
        <w:t>Section 0.331 is amended by</w:t>
      </w:r>
      <w:r w:rsidR="00E03A4B">
        <w:t xml:space="preserve"> revising the introductory text and</w:t>
      </w:r>
      <w:r w:rsidRPr="00447371">
        <w:t xml:space="preserve"> adding paragraph </w:t>
      </w:r>
      <w:r>
        <w:t xml:space="preserve">(g) </w:t>
      </w:r>
      <w:r w:rsidRPr="00447371">
        <w:t>to read as follows:</w:t>
      </w:r>
    </w:p>
    <w:p w:rsidR="00A6145B" w:rsidRPr="008C1528" w:rsidP="00A6145B" w14:paraId="3D8DF0F6" w14:textId="77777777">
      <w:pPr>
        <w:spacing w:after="240"/>
        <w:rPr>
          <w:b/>
          <w:bCs/>
        </w:rPr>
      </w:pPr>
      <w:r w:rsidRPr="008C1528">
        <w:rPr>
          <w:b/>
          <w:bCs/>
        </w:rPr>
        <w:t>§ 0.</w:t>
      </w:r>
      <w:r>
        <w:rPr>
          <w:b/>
          <w:bCs/>
        </w:rPr>
        <w:t>331</w:t>
      </w:r>
      <w:r w:rsidRPr="008C1528">
        <w:rPr>
          <w:b/>
          <w:bCs/>
        </w:rPr>
        <w:t xml:space="preserve"> Authority delegated.</w:t>
      </w:r>
    </w:p>
    <w:p w:rsidR="00E03A4B" w:rsidP="007F1020" w14:paraId="063A0E85" w14:textId="76FBA343">
      <w:pPr>
        <w:spacing w:after="240"/>
        <w:ind w:firstLine="720"/>
      </w:pPr>
      <w:r w:rsidRPr="00CE11CC">
        <w:t>The Chief, Wireless Telecommunications Bureau, is hereby delegated authority to perform all functions of the Bureau, described in § 0.131, subject to the exceptions and limitations in paragraphs (a) through (d) of this section, and also the functions described in paragraph</w:t>
      </w:r>
      <w:r w:rsidR="005762AD">
        <w:t>s</w:t>
      </w:r>
      <w:r w:rsidRPr="00CE11CC">
        <w:t xml:space="preserve"> (e)</w:t>
      </w:r>
      <w:r w:rsidR="005762AD">
        <w:t xml:space="preserve"> through (g)</w:t>
      </w:r>
      <w:r w:rsidRPr="00CE11CC">
        <w:t xml:space="preserve"> of this section</w:t>
      </w:r>
      <w:r w:rsidR="005762AD">
        <w:t>.</w:t>
      </w:r>
    </w:p>
    <w:p w:rsidR="00A6145B" w:rsidRPr="00447371" w:rsidP="00A6145B" w14:paraId="0961D8C0" w14:textId="275BC24F">
      <w:pPr>
        <w:spacing w:after="240"/>
      </w:pPr>
      <w:r w:rsidRPr="00447371">
        <w:t>* * * * *</w:t>
      </w:r>
    </w:p>
    <w:p w:rsidR="00A6145B" w:rsidRPr="00447371" w:rsidP="00A6145B" w14:paraId="09C4E6E4" w14:textId="2A52CC93">
      <w:pPr>
        <w:spacing w:after="240"/>
        <w:ind w:firstLine="720"/>
      </w:pPr>
      <w:r w:rsidRPr="00447371">
        <w:t xml:space="preserve">(g) </w:t>
      </w:r>
      <w:r w:rsidR="00D21439">
        <w:rPr>
          <w:i/>
          <w:iCs/>
        </w:rPr>
        <w:t xml:space="preserve">Authority concerning </w:t>
      </w:r>
      <w:r w:rsidR="00C34BAB">
        <w:rPr>
          <w:i/>
          <w:iCs/>
        </w:rPr>
        <w:t xml:space="preserve">review of certain proposed technologies in the 71–76 and 81–86 GHz bands.  </w:t>
      </w:r>
      <w:r w:rsidRPr="00447371">
        <w:t xml:space="preserve">The Chief of the Wireless Telecommunications Bureau is delegated authority, jointly with the Chief of the Office of Engineering and Technology, to establish </w:t>
      </w:r>
      <w:r>
        <w:t xml:space="preserve">and administer </w:t>
      </w:r>
      <w:r w:rsidRPr="00447371">
        <w:t>a process for review of proposed technologies for point-to-endpoint-in-motion communications to aircraft and ships in the 71–</w:t>
      </w:r>
      <w:r w:rsidR="008F6FEE">
        <w:t>76</w:t>
      </w:r>
      <w:r w:rsidRPr="00447371" w:rsidR="008F6FEE">
        <w:t xml:space="preserve"> </w:t>
      </w:r>
      <w:r w:rsidRPr="00447371">
        <w:t>GHz and 81–86 GHz bands to ensure compliance with the requirements adopted by the Commission.</w:t>
      </w:r>
      <w:r>
        <w:t xml:space="preserve">  The Chief of the Wireless Telecommunications Bureau is also delegated authority to establish and administer </w:t>
      </w:r>
      <w:r w:rsidRPr="00447371">
        <w:t xml:space="preserve">specific procedures to be followed for coordinating and registering aeronautical and </w:t>
      </w:r>
      <w:r w:rsidRPr="006C2255">
        <w:t>maritime</w:t>
      </w:r>
      <w:r w:rsidRPr="00447371">
        <w:t xml:space="preserve"> stations and their associated transmissions</w:t>
      </w:r>
      <w:r>
        <w:t>.</w:t>
      </w:r>
    </w:p>
    <w:p w:rsidR="00A6145B" w:rsidRPr="00447371" w:rsidP="00A6145B" w14:paraId="61DA6196" w14:textId="77777777">
      <w:pPr>
        <w:spacing w:line="480" w:lineRule="auto"/>
        <w:rPr>
          <w:b/>
        </w:rPr>
      </w:pPr>
      <w:r w:rsidRPr="00447371">
        <w:rPr>
          <w:b/>
        </w:rPr>
        <w:t>PART 101 – FIXED MICROWAVE SERVICES</w:t>
      </w:r>
    </w:p>
    <w:p w:rsidR="00A6145B" w:rsidRPr="00447371" w:rsidP="00A6145B" w14:paraId="11DEB081" w14:textId="77777777">
      <w:pPr>
        <w:pStyle w:val="ListParagraph"/>
        <w:numPr>
          <w:ilvl w:val="0"/>
          <w:numId w:val="14"/>
        </w:numPr>
        <w:spacing w:after="0" w:line="480" w:lineRule="auto"/>
        <w:ind w:left="0" w:firstLine="360"/>
      </w:pPr>
      <w:r w:rsidRPr="00447371">
        <w:t xml:space="preserve">The authority citation for part </w:t>
      </w:r>
      <w:r>
        <w:t>101</w:t>
      </w:r>
      <w:r w:rsidRPr="00447371">
        <w:t xml:space="preserve"> continues to read as follows:</w:t>
      </w:r>
    </w:p>
    <w:p w:rsidR="00A6145B" w:rsidRPr="00447371" w:rsidP="00A6145B" w14:paraId="272605C1" w14:textId="77777777">
      <w:pPr>
        <w:spacing w:line="480" w:lineRule="auto"/>
      </w:pPr>
      <w:r w:rsidRPr="006D621A">
        <w:rPr>
          <w:b/>
          <w:bCs/>
        </w:rPr>
        <w:t>Authority:</w:t>
      </w:r>
      <w:r w:rsidRPr="00447371">
        <w:t xml:space="preserve">  47 U.S.C. 154, 303</w:t>
      </w:r>
      <w:r>
        <w:t>.</w:t>
      </w:r>
    </w:p>
    <w:p w:rsidR="00A6145B" w:rsidRPr="00447371" w:rsidP="0075431A" w14:paraId="78B77C20" w14:textId="77777777">
      <w:pPr>
        <w:pStyle w:val="ListParagraph"/>
        <w:keepNext/>
        <w:numPr>
          <w:ilvl w:val="0"/>
          <w:numId w:val="14"/>
        </w:numPr>
        <w:spacing w:after="0" w:line="480" w:lineRule="auto"/>
        <w:ind w:left="0" w:firstLine="360"/>
      </w:pPr>
      <w:r w:rsidRPr="00447371">
        <w:t>Section 101.63</w:t>
      </w:r>
      <w:r>
        <w:t xml:space="preserve"> is amended by revising paragraph </w:t>
      </w:r>
      <w:r w:rsidRPr="00447371">
        <w:t>(b) to read as follows:</w:t>
      </w:r>
    </w:p>
    <w:p w:rsidR="00A6145B" w:rsidRPr="00447371" w:rsidP="00A6145B" w14:paraId="3221CE9D" w14:textId="77777777">
      <w:pPr>
        <w:keepNext/>
        <w:spacing w:line="480" w:lineRule="auto"/>
        <w:rPr>
          <w:b/>
        </w:rPr>
      </w:pPr>
      <w:r w:rsidRPr="00447371">
        <w:rPr>
          <w:b/>
        </w:rPr>
        <w:t>§</w:t>
      </w:r>
      <w:r>
        <w:rPr>
          <w:b/>
        </w:rPr>
        <w:t xml:space="preserve"> </w:t>
      </w:r>
      <w:r w:rsidRPr="00447371">
        <w:rPr>
          <w:b/>
        </w:rPr>
        <w:t>101.63</w:t>
      </w:r>
      <w:r>
        <w:rPr>
          <w:b/>
        </w:rPr>
        <w:t xml:space="preserve"> </w:t>
      </w:r>
      <w:r w:rsidRPr="00447371">
        <w:rPr>
          <w:b/>
        </w:rPr>
        <w:t>Period of construction; certification of completion of construction.</w:t>
      </w:r>
    </w:p>
    <w:p w:rsidR="00A6145B" w:rsidRPr="00447371" w:rsidP="00A6145B" w14:paraId="56002198" w14:textId="77777777">
      <w:pPr>
        <w:spacing w:after="240"/>
      </w:pPr>
      <w:r w:rsidRPr="00447371">
        <w:t>* * * * *</w:t>
      </w:r>
    </w:p>
    <w:p w:rsidR="00A6145B" w:rsidRPr="00447371" w:rsidP="00A6145B" w14:paraId="5E15A5C6" w14:textId="77777777">
      <w:pPr>
        <w:spacing w:after="240"/>
        <w:ind w:firstLine="720"/>
        <w:rPr>
          <w:b/>
        </w:rPr>
      </w:pPr>
      <w:r w:rsidRPr="000D5A1F">
        <w:rPr>
          <w:bCs/>
        </w:rPr>
        <w:t xml:space="preserve">(b) </w:t>
      </w:r>
      <w:r w:rsidRPr="00447371">
        <w:t xml:space="preserve">For the 70 GHz, 80 GHz, and 90 GHz bands, the 12-month construction period will commence on the date of each registration of each individual link; adding links will not change the overall renewal period of the license.  For each individual link, a licensee who commences operations within the construction period must certify in the third-party link registration database, </w:t>
      </w:r>
      <w:r>
        <w:t>such as those established pursuant to</w:t>
      </w:r>
      <w:r w:rsidRPr="00447371">
        <w:t xml:space="preserve"> section 101.1523, that the link is constructed and operational.  The certification must be filed within 15 days of the expiration of the applicable construction period for each individual link.  If operations have begun using some, but not all, of the authorized transmitters, the certification must show to which specific transmitters it applies.  After 15 days of the end of the construction period for each individual link, if the licensee has not certified that the link is constructed and operational, the third</w:t>
      </w:r>
      <w:r>
        <w:t>-</w:t>
      </w:r>
      <w:r w:rsidRPr="00447371">
        <w:t xml:space="preserve">party database managers will delete the registration from the database.  </w:t>
      </w:r>
    </w:p>
    <w:p w:rsidR="00A6145B" w:rsidRPr="009449D4" w:rsidP="00A6145B" w14:paraId="7F8589CC" w14:textId="77777777">
      <w:pPr>
        <w:spacing w:line="480" w:lineRule="auto"/>
      </w:pPr>
      <w:r w:rsidRPr="009449D4">
        <w:t>* * * * *</w:t>
      </w:r>
    </w:p>
    <w:p w:rsidR="00A6145B" w:rsidRPr="00447371" w:rsidP="00A6145B" w14:paraId="41045464" w14:textId="77777777">
      <w:pPr>
        <w:pStyle w:val="ListParagraph"/>
        <w:numPr>
          <w:ilvl w:val="0"/>
          <w:numId w:val="14"/>
        </w:numPr>
        <w:spacing w:after="0" w:line="480" w:lineRule="auto"/>
        <w:ind w:left="0" w:firstLine="360"/>
      </w:pPr>
      <w:r w:rsidRPr="00447371">
        <w:t>Section 101.111 is amended by adding paragraph (a)(2)(vi) to read as follows:</w:t>
      </w:r>
    </w:p>
    <w:p w:rsidR="00A6145B" w:rsidP="00A6145B" w14:paraId="5E264EC7" w14:textId="77777777">
      <w:pPr>
        <w:spacing w:line="480" w:lineRule="auto"/>
        <w:rPr>
          <w:rFonts w:eastAsia="Calibri"/>
        </w:rPr>
      </w:pPr>
      <w:r w:rsidRPr="00447371">
        <w:rPr>
          <w:b/>
        </w:rPr>
        <w:t>§</w:t>
      </w:r>
      <w:r>
        <w:rPr>
          <w:b/>
        </w:rPr>
        <w:t xml:space="preserve"> </w:t>
      </w:r>
      <w:r w:rsidRPr="00447371">
        <w:rPr>
          <w:b/>
        </w:rPr>
        <w:t>101.</w:t>
      </w:r>
      <w:r>
        <w:rPr>
          <w:b/>
        </w:rPr>
        <w:t>111 Emission limitations.</w:t>
      </w:r>
    </w:p>
    <w:p w:rsidR="00A6145B" w:rsidRPr="00447371" w:rsidP="00A6145B" w14:paraId="7EA908F2" w14:textId="77777777">
      <w:pPr>
        <w:spacing w:after="240"/>
        <w:ind w:firstLine="720"/>
      </w:pPr>
      <w:r w:rsidRPr="00447371">
        <w:rPr>
          <w:rFonts w:eastAsia="Calibri"/>
        </w:rPr>
        <w:t>(a)</w:t>
      </w:r>
      <w:r>
        <w:rPr>
          <w:rFonts w:eastAsia="Calibri"/>
        </w:rPr>
        <w:t xml:space="preserve"> </w:t>
      </w:r>
      <w:r w:rsidRPr="00447371">
        <w:rPr>
          <w:rFonts w:eastAsia="Calibri"/>
        </w:rPr>
        <w:t>*</w:t>
      </w:r>
      <w:r>
        <w:rPr>
          <w:rFonts w:eastAsia="Calibri"/>
        </w:rPr>
        <w:t xml:space="preserve"> </w:t>
      </w:r>
      <w:r w:rsidRPr="00447371">
        <w:rPr>
          <w:rFonts w:eastAsia="Calibri"/>
        </w:rPr>
        <w:t>*</w:t>
      </w:r>
      <w:r>
        <w:rPr>
          <w:rFonts w:eastAsia="Calibri"/>
        </w:rPr>
        <w:t xml:space="preserve"> </w:t>
      </w:r>
      <w:r w:rsidRPr="00447371">
        <w:rPr>
          <w:rFonts w:eastAsia="Calibri"/>
        </w:rPr>
        <w:t>*</w:t>
      </w:r>
    </w:p>
    <w:p w:rsidR="00A6145B" w:rsidP="00A6145B" w14:paraId="35C93841" w14:textId="77777777">
      <w:pPr>
        <w:spacing w:after="240"/>
        <w:ind w:firstLine="720"/>
      </w:pPr>
      <w:r w:rsidRPr="00447371">
        <w:t>(2)</w:t>
      </w:r>
      <w:r>
        <w:t xml:space="preserve"> </w:t>
      </w:r>
      <w:r w:rsidRPr="00447371">
        <w:t>*</w:t>
      </w:r>
      <w:r>
        <w:t xml:space="preserve"> </w:t>
      </w:r>
      <w:r w:rsidRPr="00447371">
        <w:t>*</w:t>
      </w:r>
      <w:r>
        <w:t xml:space="preserve"> </w:t>
      </w:r>
      <w:r w:rsidRPr="00447371">
        <w:t>*</w:t>
      </w:r>
    </w:p>
    <w:p w:rsidR="00A6145B" w:rsidRPr="00447371" w:rsidP="00A6145B" w14:paraId="037FF7B3" w14:textId="7128A03C">
      <w:pPr>
        <w:spacing w:after="240"/>
        <w:ind w:firstLine="720"/>
      </w:pPr>
      <w:r w:rsidRPr="00447371">
        <w:t>(vi)</w:t>
      </w:r>
      <w:r w:rsidR="00D37CAD">
        <w:t>(A)</w:t>
      </w:r>
      <w:r w:rsidRPr="00447371">
        <w:t xml:space="preserve"> In order to protect Federal Earth Exploration-Satellite Service (passive), aeronautical and maritime endpoints in motion operating in the 70 and 80 GHz bands must comply with the following limits:</w:t>
      </w:r>
    </w:p>
    <w:p w:rsidR="00A6145B" w:rsidRPr="00447371" w:rsidP="006D621A" w14:paraId="5F4E3896" w14:textId="7D58E71C">
      <w:pPr>
        <w:spacing w:after="240"/>
        <w:ind w:firstLine="720"/>
      </w:pPr>
      <w:r>
        <w:t>(</w:t>
      </w:r>
      <w:r>
        <w:rPr>
          <w:i/>
          <w:iCs/>
        </w:rPr>
        <w:t>1)</w:t>
      </w:r>
      <w:r w:rsidRPr="00447371">
        <w:t xml:space="preserve"> </w:t>
      </w:r>
      <w:r w:rsidRPr="00447371" w:rsidR="009A2ABA">
        <w:t xml:space="preserve">Ground-to-air transmissions shall not exceed an unwanted </w:t>
      </w:r>
      <w:r w:rsidRPr="00797929" w:rsidR="009A2ABA">
        <w:t xml:space="preserve">emission level of -38.5 </w:t>
      </w:r>
      <w:r w:rsidRPr="00797929" w:rsidR="009A2ABA">
        <w:t>dBW</w:t>
      </w:r>
      <w:r w:rsidRPr="00797929" w:rsidR="009A2ABA">
        <w:t xml:space="preserve"> per 100 MHz in any portion of the 86–92 GHz passive band;</w:t>
      </w:r>
    </w:p>
    <w:p w:rsidR="00A6145B" w:rsidRPr="00447371" w:rsidP="006D621A" w14:paraId="56DDB2ED" w14:textId="624422C3">
      <w:pPr>
        <w:spacing w:after="240"/>
        <w:ind w:firstLine="720"/>
      </w:pPr>
      <w:r>
        <w:rPr>
          <w:i/>
          <w:iCs/>
        </w:rPr>
        <w:t>(2)</w:t>
      </w:r>
      <w:r w:rsidRPr="00447371">
        <w:t xml:space="preserve"> </w:t>
      </w:r>
      <w:r w:rsidRPr="00447371" w:rsidR="009A2ABA">
        <w:t xml:space="preserve">Air-to-air, ship-to-shore, and aerostat-to-shore transmissions shall not exceed an unwanted emission level of -29.7 </w:t>
      </w:r>
      <w:r w:rsidRPr="00447371" w:rsidR="009A2ABA">
        <w:t>dBW</w:t>
      </w:r>
      <w:r w:rsidRPr="00447371" w:rsidR="009A2ABA">
        <w:t xml:space="preserve"> per 100 MHz in any portion of the 86</w:t>
      </w:r>
      <w:r w:rsidR="009A2ABA">
        <w:t>–</w:t>
      </w:r>
      <w:r w:rsidRPr="00447371" w:rsidR="009A2ABA">
        <w:t xml:space="preserve">92 GHz passive band. </w:t>
      </w:r>
    </w:p>
    <w:p w:rsidR="00A6145B" w:rsidRPr="00447371" w:rsidP="006D621A" w14:paraId="1225FF2C" w14:textId="41E8BD9D">
      <w:pPr>
        <w:spacing w:after="240"/>
        <w:ind w:firstLine="720"/>
      </w:pPr>
      <w:r>
        <w:t xml:space="preserve">(B) </w:t>
      </w:r>
      <w:r w:rsidRPr="00447371">
        <w:t xml:space="preserve">Any changes to system specifications, operations, or deployment scenarios for aeronautical or maritime end points in motion shall be pre-coordinated with NTIA and </w:t>
      </w:r>
      <w:r>
        <w:t xml:space="preserve">affected </w:t>
      </w:r>
      <w:r w:rsidR="00DB03BF">
        <w:t>F</w:t>
      </w:r>
      <w:r w:rsidRPr="00447371" w:rsidR="00DB03BF">
        <w:t xml:space="preserve">ederal </w:t>
      </w:r>
      <w:r w:rsidRPr="00447371">
        <w:t>agencies, and licensees of aeronautical or maritime end points in motion must cooperate fully with any updates to the required unwanted emission limits that may result from these modifications.</w:t>
      </w:r>
    </w:p>
    <w:p w:rsidR="00A6145B" w:rsidRPr="00447371" w:rsidP="00A6145B" w14:paraId="56BB02FD" w14:textId="77777777">
      <w:pPr>
        <w:spacing w:line="480" w:lineRule="auto"/>
      </w:pPr>
      <w:r w:rsidRPr="00447371">
        <w:t>* * * * *</w:t>
      </w:r>
    </w:p>
    <w:p w:rsidR="00A6145B" w:rsidRPr="00447371" w:rsidP="00A6145B" w14:paraId="5F6E931A" w14:textId="77777777">
      <w:pPr>
        <w:pStyle w:val="ListParagraph"/>
        <w:numPr>
          <w:ilvl w:val="0"/>
          <w:numId w:val="14"/>
        </w:numPr>
        <w:spacing w:after="240" w:line="240" w:lineRule="auto"/>
        <w:ind w:left="0" w:firstLine="360"/>
      </w:pPr>
      <w:r w:rsidRPr="00447371">
        <w:t>Section 101.113 is amended by</w:t>
      </w:r>
      <w:r w:rsidRPr="00447371">
        <w:rPr>
          <w:b/>
        </w:rPr>
        <w:t xml:space="preserve"> </w:t>
      </w:r>
      <w:r w:rsidRPr="00447371">
        <w:t>adding footnote 14 to the entries of “71,000 to 76,000” and “81,000 to 86,000” in the table of paragraph (a) to read as follows:</w:t>
      </w:r>
    </w:p>
    <w:p w:rsidR="00A6145B" w:rsidRPr="008C1528" w:rsidP="00A6145B" w14:paraId="300E3B91" w14:textId="77777777">
      <w:pPr>
        <w:spacing w:after="240"/>
        <w:rPr>
          <w:b/>
        </w:rPr>
      </w:pPr>
      <w:r w:rsidRPr="00447371">
        <w:rPr>
          <w:b/>
        </w:rPr>
        <w:t>§</w:t>
      </w:r>
      <w:r>
        <w:rPr>
          <w:b/>
        </w:rPr>
        <w:t xml:space="preserve"> </w:t>
      </w:r>
      <w:r w:rsidRPr="00447371">
        <w:rPr>
          <w:b/>
        </w:rPr>
        <w:t>101.</w:t>
      </w:r>
      <w:r>
        <w:rPr>
          <w:b/>
        </w:rPr>
        <w:t>113 Transmitter power limitations.</w:t>
      </w:r>
    </w:p>
    <w:p w:rsidR="00A6145B" w:rsidP="00A6145B" w14:paraId="2D0FEB77" w14:textId="77777777">
      <w:pPr>
        <w:spacing w:after="240"/>
        <w:ind w:firstLine="720"/>
      </w:pPr>
      <w:r>
        <w:t>(a) * * *</w:t>
      </w:r>
    </w:p>
    <w:p w:rsidR="00A6145B" w:rsidRPr="00447371" w:rsidP="00A6145B" w14:paraId="56C8FA23" w14:textId="77777777">
      <w:pPr>
        <w:spacing w:after="240"/>
        <w:ind w:firstLine="720"/>
        <w:rPr>
          <w:rFonts w:eastAsia="Calibri"/>
        </w:rPr>
      </w:pPr>
      <w:r w:rsidRPr="00447371">
        <w:t xml:space="preserve">\14\ The EIRP limit for fixed and mobile stations used for aeronautical and maritime endpoints in motion is 57 </w:t>
      </w:r>
      <w:r w:rsidRPr="00447371">
        <w:t>dBW</w:t>
      </w:r>
      <w:r w:rsidRPr="00447371">
        <w:t xml:space="preserve">.  </w:t>
      </w:r>
    </w:p>
    <w:p w:rsidR="00A6145B" w:rsidRPr="00447371" w:rsidP="00A6145B" w14:paraId="7730FC9C" w14:textId="77777777">
      <w:pPr>
        <w:spacing w:after="240"/>
      </w:pPr>
      <w:r w:rsidRPr="00447371">
        <w:t>* * * * *</w:t>
      </w:r>
    </w:p>
    <w:p w:rsidR="00A6145B" w:rsidRPr="00447371" w:rsidP="00A6145B" w14:paraId="2D57DC17" w14:textId="176D28D9">
      <w:pPr>
        <w:pStyle w:val="ListParagraph"/>
        <w:numPr>
          <w:ilvl w:val="0"/>
          <w:numId w:val="14"/>
        </w:numPr>
        <w:spacing w:after="240" w:line="240" w:lineRule="auto"/>
        <w:ind w:left="0" w:firstLine="360"/>
      </w:pPr>
      <w:r w:rsidRPr="00447371">
        <w:t xml:space="preserve">Section 101.115 is amended </w:t>
      </w:r>
      <w:r w:rsidR="0014678F">
        <w:t xml:space="preserve">in the table in paragraph </w:t>
      </w:r>
      <w:r w:rsidR="0058513A">
        <w:t xml:space="preserve">(b)(2) </w:t>
      </w:r>
      <w:r w:rsidRPr="00447371">
        <w:t xml:space="preserve">by </w:t>
      </w:r>
      <w:r w:rsidR="00783DA9">
        <w:t xml:space="preserve">revising </w:t>
      </w:r>
      <w:r w:rsidRPr="00447371">
        <w:t xml:space="preserve">the entries </w:t>
      </w:r>
      <w:r w:rsidR="002E002F">
        <w:t xml:space="preserve">for </w:t>
      </w:r>
      <w:r w:rsidRPr="00447371">
        <w:t>“71,000 to 76,000</w:t>
      </w:r>
      <w:r w:rsidR="006F4C56">
        <w:t xml:space="preserve"> (co-polar)</w:t>
      </w:r>
      <w:r w:rsidRPr="00447371">
        <w:t>”</w:t>
      </w:r>
      <w:r w:rsidR="00EA5E09">
        <w:t xml:space="preserve">, </w:t>
      </w:r>
      <w:r w:rsidRPr="00447371" w:rsidR="008A6926">
        <w:t>“71,000 to 76,000</w:t>
      </w:r>
      <w:r w:rsidR="008A6926">
        <w:t xml:space="preserve"> (cross-polar)</w:t>
      </w:r>
      <w:r w:rsidRPr="00447371" w:rsidR="008A6926">
        <w:t>”</w:t>
      </w:r>
      <w:r w:rsidR="008A6926">
        <w:t xml:space="preserve">, </w:t>
      </w:r>
      <w:r w:rsidRPr="00447371" w:rsidR="008A6926">
        <w:t>“81,000 to 86,000</w:t>
      </w:r>
      <w:r w:rsidR="008A6926">
        <w:t xml:space="preserve"> (co-polar)”, </w:t>
      </w:r>
      <w:r w:rsidRPr="00447371">
        <w:t>and “81,000 to 86,000</w:t>
      </w:r>
      <w:r w:rsidR="009335A1">
        <w:t xml:space="preserve"> </w:t>
      </w:r>
      <w:r w:rsidR="00942B30">
        <w:t>(cross-polar)</w:t>
      </w:r>
      <w:r w:rsidRPr="00447371">
        <w:t>” to read as follows:</w:t>
      </w:r>
    </w:p>
    <w:p w:rsidR="00A6145B" w:rsidRPr="00447371" w:rsidP="00A6145B" w14:paraId="1EA33C18" w14:textId="77777777">
      <w:pPr>
        <w:spacing w:line="480" w:lineRule="auto"/>
        <w:rPr>
          <w:b/>
        </w:rPr>
      </w:pPr>
      <w:r w:rsidRPr="00447371">
        <w:rPr>
          <w:b/>
        </w:rPr>
        <w:t>§</w:t>
      </w:r>
      <w:r>
        <w:rPr>
          <w:b/>
        </w:rPr>
        <w:t xml:space="preserve"> </w:t>
      </w:r>
      <w:r w:rsidRPr="00447371">
        <w:rPr>
          <w:b/>
        </w:rPr>
        <w:t>101.115</w:t>
      </w:r>
      <w:r>
        <w:rPr>
          <w:b/>
        </w:rPr>
        <w:t xml:space="preserve"> </w:t>
      </w:r>
      <w:r w:rsidRPr="00447371">
        <w:rPr>
          <w:b/>
        </w:rPr>
        <w:t>Directional antennas.</w:t>
      </w:r>
    </w:p>
    <w:p w:rsidR="00A6145B" w:rsidP="00A6145B" w14:paraId="7745211C" w14:textId="77777777">
      <w:pPr>
        <w:spacing w:after="240"/>
      </w:pPr>
      <w:r w:rsidRPr="00447371">
        <w:t>* * * * *</w:t>
      </w:r>
    </w:p>
    <w:p w:rsidR="00A6145B" w:rsidP="00A6145B" w14:paraId="32141873" w14:textId="77777777">
      <w:pPr>
        <w:spacing w:after="240"/>
        <w:ind w:firstLine="720"/>
      </w:pPr>
      <w:r w:rsidRPr="00447371">
        <w:t>(b</w:t>
      </w:r>
      <w:r>
        <w:t xml:space="preserve">) </w:t>
      </w:r>
      <w:r w:rsidRPr="00447371">
        <w:t>*</w:t>
      </w:r>
      <w:r>
        <w:t xml:space="preserve"> </w:t>
      </w:r>
      <w:r w:rsidRPr="00447371">
        <w:t>*</w:t>
      </w:r>
      <w:r>
        <w:t xml:space="preserve"> </w:t>
      </w:r>
      <w:r w:rsidRPr="00447371">
        <w:t>*</w:t>
      </w:r>
    </w:p>
    <w:p w:rsidR="00A6145B" w:rsidRPr="00447371" w:rsidP="00A6145B" w14:paraId="47FAAF32" w14:textId="77777777">
      <w:pPr>
        <w:spacing w:after="240"/>
        <w:ind w:firstLine="720"/>
      </w:pPr>
      <w:r w:rsidRPr="00447371">
        <w:t>(2)</w:t>
      </w:r>
      <w:r>
        <w:t xml:space="preserve"> </w:t>
      </w:r>
      <w:r w:rsidRPr="00447371">
        <w:t>*</w:t>
      </w:r>
      <w:r>
        <w:t xml:space="preserve"> </w:t>
      </w:r>
      <w:r w:rsidRPr="00447371">
        <w:t>*</w:t>
      </w:r>
      <w:r>
        <w:t xml:space="preserve"> </w:t>
      </w:r>
      <w:r w:rsidRPr="00447371">
        <w:t>*</w:t>
      </w:r>
    </w:p>
    <w:p w:rsidR="00A6145B" w:rsidRPr="0005413C" w:rsidP="00A6145B" w14:paraId="771FEC93" w14:textId="77777777">
      <w:pPr>
        <w:keepNext/>
        <w:spacing w:after="120"/>
        <w:jc w:val="center"/>
        <w:rPr>
          <w:b/>
          <w:bCs/>
        </w:rPr>
      </w:pPr>
      <w:r w:rsidRPr="0005413C">
        <w:rPr>
          <w:b/>
          <w:bCs/>
        </w:rPr>
        <w:t>ANTENNA STANDARDS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1023"/>
        <w:gridCol w:w="1326"/>
        <w:gridCol w:w="1144"/>
        <w:gridCol w:w="543"/>
        <w:gridCol w:w="625"/>
        <w:gridCol w:w="624"/>
        <w:gridCol w:w="546"/>
        <w:gridCol w:w="657"/>
        <w:gridCol w:w="661"/>
        <w:gridCol w:w="661"/>
      </w:tblGrid>
      <w:tr w14:paraId="3FBB65F5" w14:textId="77777777" w:rsidTr="0083305B">
        <w:tblPrEx>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34"/>
        </w:trPr>
        <w:tc>
          <w:tcPr>
            <w:tcW w:w="0" w:type="auto"/>
            <w:vMerge w:val="restart"/>
            <w:shd w:val="clear" w:color="auto" w:fill="auto"/>
            <w:vAlign w:val="center"/>
          </w:tcPr>
          <w:p w:rsidR="00A6145B" w:rsidRPr="000B5871" w:rsidP="0083305B" w14:paraId="1EC3B452" w14:textId="77777777">
            <w:pPr>
              <w:keepNext/>
              <w:autoSpaceDE w:val="0"/>
              <w:autoSpaceDN w:val="0"/>
              <w:adjustRightInd w:val="0"/>
              <w:rPr>
                <w:szCs w:val="22"/>
              </w:rPr>
            </w:pPr>
            <w:r w:rsidRPr="000B5871">
              <w:rPr>
                <w:szCs w:val="22"/>
              </w:rPr>
              <w:t>Frequency (MHz)</w:t>
            </w:r>
          </w:p>
        </w:tc>
        <w:tc>
          <w:tcPr>
            <w:tcW w:w="0" w:type="auto"/>
            <w:vMerge w:val="restart"/>
            <w:shd w:val="clear" w:color="auto" w:fill="auto"/>
            <w:vAlign w:val="center"/>
          </w:tcPr>
          <w:p w:rsidR="00A6145B" w:rsidRPr="000B5871" w:rsidP="0083305B" w14:paraId="54E97D70" w14:textId="77777777">
            <w:pPr>
              <w:keepNext/>
              <w:autoSpaceDE w:val="0"/>
              <w:autoSpaceDN w:val="0"/>
              <w:adjustRightInd w:val="0"/>
              <w:rPr>
                <w:szCs w:val="22"/>
              </w:rPr>
            </w:pPr>
            <w:r w:rsidRPr="000B5871">
              <w:rPr>
                <w:szCs w:val="22"/>
              </w:rPr>
              <w:t>Category</w:t>
            </w:r>
          </w:p>
        </w:tc>
        <w:tc>
          <w:tcPr>
            <w:tcW w:w="0" w:type="auto"/>
            <w:vMerge w:val="restart"/>
            <w:shd w:val="clear" w:color="auto" w:fill="auto"/>
            <w:vAlign w:val="center"/>
          </w:tcPr>
          <w:p w:rsidR="00A6145B" w:rsidRPr="000B5871" w:rsidP="0083305B" w14:paraId="1C7E0EC0" w14:textId="77777777">
            <w:pPr>
              <w:keepNext/>
              <w:autoSpaceDE w:val="0"/>
              <w:autoSpaceDN w:val="0"/>
              <w:adjustRightInd w:val="0"/>
              <w:spacing w:before="120" w:after="120"/>
              <w:rPr>
                <w:szCs w:val="22"/>
              </w:rPr>
            </w:pPr>
            <w:r w:rsidRPr="000B5871">
              <w:rPr>
                <w:szCs w:val="22"/>
              </w:rPr>
              <w:t>Maximum beamwidth to 3 dB points</w:t>
            </w:r>
            <w:r w:rsidRPr="000B5871">
              <w:rPr>
                <w:szCs w:val="22"/>
                <w:vertAlign w:val="superscript"/>
              </w:rPr>
              <w:t xml:space="preserve">1 </w:t>
            </w:r>
            <w:r w:rsidRPr="000B5871">
              <w:rPr>
                <w:szCs w:val="22"/>
              </w:rPr>
              <w:t>(included angle in degrees)</w:t>
            </w:r>
          </w:p>
        </w:tc>
        <w:tc>
          <w:tcPr>
            <w:tcW w:w="0" w:type="auto"/>
            <w:vMerge w:val="restart"/>
            <w:shd w:val="clear" w:color="auto" w:fill="auto"/>
            <w:vAlign w:val="center"/>
          </w:tcPr>
          <w:p w:rsidR="00A6145B" w:rsidRPr="000B5871" w:rsidP="0083305B" w14:paraId="2B08A628" w14:textId="77777777">
            <w:pPr>
              <w:keepNext/>
              <w:autoSpaceDE w:val="0"/>
              <w:autoSpaceDN w:val="0"/>
              <w:adjustRightInd w:val="0"/>
              <w:rPr>
                <w:szCs w:val="22"/>
              </w:rPr>
            </w:pPr>
            <w:r w:rsidRPr="000B5871">
              <w:rPr>
                <w:szCs w:val="22"/>
              </w:rPr>
              <w:t>Minimum antenna gain (dBi)</w:t>
            </w:r>
          </w:p>
        </w:tc>
        <w:tc>
          <w:tcPr>
            <w:tcW w:w="0" w:type="auto"/>
            <w:gridSpan w:val="7"/>
            <w:shd w:val="clear" w:color="auto" w:fill="auto"/>
            <w:vAlign w:val="center"/>
          </w:tcPr>
          <w:p w:rsidR="00A6145B" w:rsidRPr="000B5871" w:rsidP="0083305B" w14:paraId="05DB0E2C" w14:textId="77777777">
            <w:pPr>
              <w:keepNext/>
              <w:autoSpaceDE w:val="0"/>
              <w:autoSpaceDN w:val="0"/>
              <w:adjustRightInd w:val="0"/>
              <w:rPr>
                <w:szCs w:val="22"/>
              </w:rPr>
            </w:pPr>
            <w:r w:rsidRPr="000B5871">
              <w:rPr>
                <w:szCs w:val="22"/>
              </w:rPr>
              <w:t>Minimum radiation suppression to angle in degrees from centerline of main beam in decibels</w:t>
            </w:r>
          </w:p>
        </w:tc>
      </w:tr>
      <w:tr w14:paraId="5F5D4F45" w14:textId="77777777" w:rsidTr="0083305B">
        <w:tblPrEx>
          <w:tblW w:w="0" w:type="auto"/>
          <w:tblInd w:w="18" w:type="dxa"/>
          <w:tblLook w:val="01E0"/>
        </w:tblPrEx>
        <w:trPr>
          <w:trHeight w:val="812"/>
        </w:trPr>
        <w:tc>
          <w:tcPr>
            <w:tcW w:w="0" w:type="auto"/>
            <w:vMerge/>
            <w:shd w:val="clear" w:color="auto" w:fill="auto"/>
            <w:vAlign w:val="center"/>
          </w:tcPr>
          <w:p w:rsidR="00A6145B" w:rsidRPr="000B5871" w:rsidP="0083305B" w14:paraId="134335C8" w14:textId="77777777">
            <w:pPr>
              <w:pStyle w:val="ParaNum"/>
            </w:pPr>
          </w:p>
        </w:tc>
        <w:tc>
          <w:tcPr>
            <w:tcW w:w="0" w:type="auto"/>
            <w:vMerge/>
            <w:shd w:val="clear" w:color="auto" w:fill="auto"/>
            <w:vAlign w:val="center"/>
          </w:tcPr>
          <w:p w:rsidR="00A6145B" w:rsidRPr="000B5871" w:rsidP="0083305B" w14:paraId="147301F7" w14:textId="77777777">
            <w:pPr>
              <w:pStyle w:val="ParaNum"/>
            </w:pPr>
          </w:p>
        </w:tc>
        <w:tc>
          <w:tcPr>
            <w:tcW w:w="0" w:type="auto"/>
            <w:vMerge/>
            <w:shd w:val="clear" w:color="auto" w:fill="auto"/>
            <w:vAlign w:val="center"/>
          </w:tcPr>
          <w:p w:rsidR="00A6145B" w:rsidRPr="000B5871" w:rsidP="0083305B" w14:paraId="1B1F1F13" w14:textId="77777777">
            <w:pPr>
              <w:pStyle w:val="ParaNum"/>
            </w:pPr>
          </w:p>
        </w:tc>
        <w:tc>
          <w:tcPr>
            <w:tcW w:w="0" w:type="auto"/>
            <w:vMerge/>
            <w:shd w:val="clear" w:color="auto" w:fill="auto"/>
            <w:vAlign w:val="center"/>
          </w:tcPr>
          <w:p w:rsidR="00A6145B" w:rsidRPr="000B5871" w:rsidP="0083305B" w14:paraId="13F7D42D" w14:textId="77777777">
            <w:pPr>
              <w:pStyle w:val="ParaNum"/>
            </w:pPr>
          </w:p>
        </w:tc>
        <w:tc>
          <w:tcPr>
            <w:tcW w:w="0" w:type="auto"/>
            <w:shd w:val="clear" w:color="auto" w:fill="auto"/>
            <w:vAlign w:val="center"/>
          </w:tcPr>
          <w:p w:rsidR="00A6145B" w:rsidRPr="000B5871" w:rsidP="0083305B" w14:paraId="259385A3" w14:textId="77777777">
            <w:pPr>
              <w:rPr>
                <w:b/>
              </w:rPr>
            </w:pPr>
            <w:r>
              <w:t>5</w:t>
            </w:r>
            <w:r w:rsidRPr="000B5871">
              <w:t>° to 10°</w:t>
            </w:r>
          </w:p>
        </w:tc>
        <w:tc>
          <w:tcPr>
            <w:tcW w:w="522" w:type="dxa"/>
            <w:shd w:val="clear" w:color="auto" w:fill="auto"/>
            <w:vAlign w:val="center"/>
          </w:tcPr>
          <w:p w:rsidR="00A6145B" w:rsidRPr="000B5871" w:rsidP="0083305B" w14:paraId="277A760A" w14:textId="77777777">
            <w:pPr>
              <w:rPr>
                <w:b/>
              </w:rPr>
            </w:pPr>
            <w:r>
              <w:t>1</w:t>
            </w:r>
            <w:r w:rsidRPr="000B5871">
              <w:t>0° to 15°</w:t>
            </w:r>
          </w:p>
        </w:tc>
        <w:tc>
          <w:tcPr>
            <w:tcW w:w="522" w:type="dxa"/>
            <w:shd w:val="clear" w:color="auto" w:fill="auto"/>
            <w:vAlign w:val="center"/>
          </w:tcPr>
          <w:p w:rsidR="00A6145B" w:rsidRPr="000B5871" w:rsidP="0083305B" w14:paraId="200F1D79" w14:textId="77777777">
            <w:pPr>
              <w:rPr>
                <w:b/>
              </w:rPr>
            </w:pPr>
            <w:r>
              <w:t>1</w:t>
            </w:r>
            <w:r w:rsidRPr="000B5871">
              <w:t>5° to 20°</w:t>
            </w:r>
          </w:p>
        </w:tc>
        <w:tc>
          <w:tcPr>
            <w:tcW w:w="0" w:type="auto"/>
            <w:shd w:val="clear" w:color="auto" w:fill="auto"/>
            <w:vAlign w:val="center"/>
          </w:tcPr>
          <w:p w:rsidR="00A6145B" w:rsidRPr="000B5871" w:rsidP="0083305B" w14:paraId="7EEA7B80" w14:textId="77777777">
            <w:pPr>
              <w:rPr>
                <w:b/>
              </w:rPr>
            </w:pPr>
            <w:r>
              <w:t>2</w:t>
            </w:r>
            <w:r w:rsidRPr="000B5871">
              <w:t>0° to 30°</w:t>
            </w:r>
          </w:p>
        </w:tc>
        <w:tc>
          <w:tcPr>
            <w:tcW w:w="0" w:type="auto"/>
            <w:shd w:val="clear" w:color="auto" w:fill="auto"/>
            <w:vAlign w:val="center"/>
          </w:tcPr>
          <w:p w:rsidR="00A6145B" w:rsidRPr="000B5871" w:rsidP="0083305B" w14:paraId="0490E7D2" w14:textId="77777777">
            <w:pPr>
              <w:rPr>
                <w:b/>
              </w:rPr>
            </w:pPr>
            <w:r>
              <w:t>3</w:t>
            </w:r>
            <w:r w:rsidRPr="000B5871">
              <w:t>0° to 100°</w:t>
            </w:r>
          </w:p>
        </w:tc>
        <w:tc>
          <w:tcPr>
            <w:tcW w:w="0" w:type="auto"/>
            <w:shd w:val="clear" w:color="auto" w:fill="auto"/>
            <w:vAlign w:val="center"/>
          </w:tcPr>
          <w:p w:rsidR="00A6145B" w:rsidRPr="000B5871" w:rsidP="0083305B" w14:paraId="461A22C1" w14:textId="77777777">
            <w:pPr>
              <w:rPr>
                <w:b/>
              </w:rPr>
            </w:pPr>
            <w:r>
              <w:t>1</w:t>
            </w:r>
            <w:r w:rsidRPr="000B5871">
              <w:t>00° to 140°</w:t>
            </w:r>
          </w:p>
        </w:tc>
        <w:tc>
          <w:tcPr>
            <w:tcW w:w="0" w:type="auto"/>
            <w:tcBorders>
              <w:bottom w:val="single" w:sz="4" w:space="0" w:color="auto"/>
            </w:tcBorders>
            <w:shd w:val="clear" w:color="auto" w:fill="auto"/>
            <w:vAlign w:val="center"/>
          </w:tcPr>
          <w:p w:rsidR="00A6145B" w:rsidRPr="000B5871" w:rsidP="0083305B" w14:paraId="73B41A2E" w14:textId="77777777">
            <w:pPr>
              <w:rPr>
                <w:b/>
              </w:rPr>
            </w:pPr>
            <w:r>
              <w:t>1</w:t>
            </w:r>
            <w:r w:rsidRPr="000B5871">
              <w:t>40° to 180°</w:t>
            </w:r>
          </w:p>
        </w:tc>
      </w:tr>
      <w:tr w14:paraId="19D33BA0" w14:textId="77777777" w:rsidTr="0083305B">
        <w:tblPrEx>
          <w:tblW w:w="0" w:type="auto"/>
          <w:tblInd w:w="18" w:type="dxa"/>
          <w:tblLook w:val="01E0"/>
        </w:tblPrEx>
        <w:trPr>
          <w:trHeight w:val="411"/>
        </w:trPr>
        <w:tc>
          <w:tcPr>
            <w:tcW w:w="0" w:type="auto"/>
            <w:gridSpan w:val="11"/>
            <w:shd w:val="clear" w:color="auto" w:fill="auto"/>
            <w:vAlign w:val="center"/>
          </w:tcPr>
          <w:p w:rsidR="00A6145B" w:rsidRPr="000B5871" w:rsidP="006D621A" w14:paraId="19B6EDF3" w14:textId="77777777">
            <w:pPr>
              <w:rPr>
                <w:szCs w:val="22"/>
              </w:rPr>
            </w:pPr>
            <w:r w:rsidRPr="000B5871">
              <w:t>*</w:t>
            </w:r>
            <w:r>
              <w:t xml:space="preserve"> * * * * * *</w:t>
            </w:r>
          </w:p>
        </w:tc>
      </w:tr>
      <w:tr w14:paraId="1F3FE42B" w14:textId="77777777" w:rsidTr="0083305B">
        <w:tblPrEx>
          <w:tblW w:w="0" w:type="auto"/>
          <w:tblInd w:w="18" w:type="dxa"/>
          <w:tblLook w:val="01E0"/>
        </w:tblPrEx>
        <w:trPr>
          <w:trHeight w:val="411"/>
        </w:trPr>
        <w:tc>
          <w:tcPr>
            <w:tcW w:w="0" w:type="auto"/>
            <w:shd w:val="clear" w:color="auto" w:fill="auto"/>
            <w:vAlign w:val="center"/>
          </w:tcPr>
          <w:p w:rsidR="00A6145B" w:rsidRPr="000B5871" w:rsidP="0083305B" w14:paraId="57A33361" w14:textId="77777777">
            <w:pPr>
              <w:spacing w:before="120" w:after="120"/>
              <w:rPr>
                <w:b/>
              </w:rPr>
            </w:pPr>
            <w:r w:rsidRPr="000B5871">
              <w:t>71,000 to 76,000</w:t>
            </w:r>
            <w:r>
              <w:t xml:space="preserve"> (</w:t>
            </w:r>
            <w:r w:rsidRPr="000B5871">
              <w:t>co</w:t>
            </w:r>
            <w:r>
              <w:noBreakHyphen/>
            </w:r>
            <w:r w:rsidRPr="000B5871">
              <w:t>polar)</w:t>
            </w:r>
            <w:r w:rsidRPr="000B5871">
              <w:rPr>
                <w:vertAlign w:val="superscript"/>
              </w:rPr>
              <w:t>14</w:t>
            </w:r>
          </w:p>
        </w:tc>
        <w:tc>
          <w:tcPr>
            <w:tcW w:w="0" w:type="auto"/>
            <w:shd w:val="clear" w:color="auto" w:fill="auto"/>
            <w:vAlign w:val="center"/>
          </w:tcPr>
          <w:p w:rsidR="00A6145B" w:rsidRPr="00DF073B" w:rsidP="0083305B" w14:paraId="2AF6EA4E" w14:textId="77777777">
            <w:pPr>
              <w:jc w:val="center"/>
              <w:rPr>
                <w:kern w:val="0"/>
              </w:rPr>
            </w:pPr>
            <w:r w:rsidRPr="00DF073B">
              <w:rPr>
                <w:kern w:val="0"/>
              </w:rPr>
              <w:t>N/A</w:t>
            </w:r>
          </w:p>
        </w:tc>
        <w:tc>
          <w:tcPr>
            <w:tcW w:w="0" w:type="auto"/>
            <w:shd w:val="clear" w:color="auto" w:fill="auto"/>
            <w:vAlign w:val="center"/>
          </w:tcPr>
          <w:p w:rsidR="00A6145B" w:rsidRPr="00DF073B" w:rsidP="0083305B" w14:paraId="5D87728C" w14:textId="77777777">
            <w:pPr>
              <w:jc w:val="center"/>
              <w:rPr>
                <w:kern w:val="0"/>
              </w:rPr>
            </w:pPr>
            <w:r w:rsidRPr="00DF073B">
              <w:rPr>
                <w:kern w:val="0"/>
              </w:rPr>
              <w:t>2.2</w:t>
            </w:r>
          </w:p>
        </w:tc>
        <w:tc>
          <w:tcPr>
            <w:tcW w:w="0" w:type="auto"/>
            <w:shd w:val="clear" w:color="auto" w:fill="auto"/>
            <w:vAlign w:val="center"/>
          </w:tcPr>
          <w:p w:rsidR="00A6145B" w:rsidRPr="00DF073B" w:rsidP="0083305B" w14:paraId="30425840" w14:textId="77777777">
            <w:pPr>
              <w:jc w:val="center"/>
              <w:rPr>
                <w:kern w:val="0"/>
              </w:rPr>
            </w:pPr>
            <w:r w:rsidRPr="00DF073B">
              <w:rPr>
                <w:kern w:val="0"/>
              </w:rPr>
              <w:t>38</w:t>
            </w:r>
          </w:p>
        </w:tc>
        <w:tc>
          <w:tcPr>
            <w:tcW w:w="0" w:type="auto"/>
            <w:shd w:val="clear" w:color="auto" w:fill="auto"/>
            <w:vAlign w:val="center"/>
          </w:tcPr>
          <w:p w:rsidR="00A6145B" w:rsidRPr="000B5871" w:rsidP="0083305B" w14:paraId="7C405E99" w14:textId="77777777">
            <w:pPr>
              <w:jc w:val="center"/>
              <w:rPr>
                <w:szCs w:val="22"/>
              </w:rPr>
            </w:pPr>
            <w:r w:rsidRPr="000B5871">
              <w:rPr>
                <w:szCs w:val="22"/>
              </w:rPr>
              <w:t>22</w:t>
            </w:r>
          </w:p>
        </w:tc>
        <w:tc>
          <w:tcPr>
            <w:tcW w:w="522" w:type="dxa"/>
            <w:shd w:val="clear" w:color="auto" w:fill="auto"/>
            <w:vAlign w:val="center"/>
          </w:tcPr>
          <w:p w:rsidR="00A6145B" w:rsidRPr="000B5871" w:rsidP="0083305B" w14:paraId="4C79FB22" w14:textId="77777777">
            <w:pPr>
              <w:jc w:val="center"/>
              <w:rPr>
                <w:szCs w:val="22"/>
              </w:rPr>
            </w:pPr>
            <w:r w:rsidRPr="000B5871">
              <w:rPr>
                <w:szCs w:val="22"/>
              </w:rPr>
              <w:t>28</w:t>
            </w:r>
          </w:p>
        </w:tc>
        <w:tc>
          <w:tcPr>
            <w:tcW w:w="522" w:type="dxa"/>
            <w:shd w:val="clear" w:color="auto" w:fill="auto"/>
            <w:vAlign w:val="center"/>
          </w:tcPr>
          <w:p w:rsidR="00A6145B" w:rsidRPr="000B5871" w:rsidP="0083305B" w14:paraId="7EA42263" w14:textId="77777777">
            <w:pPr>
              <w:jc w:val="center"/>
              <w:rPr>
                <w:szCs w:val="22"/>
              </w:rPr>
            </w:pPr>
            <w:r w:rsidRPr="000B5871">
              <w:rPr>
                <w:szCs w:val="22"/>
              </w:rPr>
              <w:t>32</w:t>
            </w:r>
          </w:p>
        </w:tc>
        <w:tc>
          <w:tcPr>
            <w:tcW w:w="0" w:type="auto"/>
            <w:shd w:val="clear" w:color="auto" w:fill="auto"/>
            <w:vAlign w:val="center"/>
          </w:tcPr>
          <w:p w:rsidR="00A6145B" w:rsidRPr="000B5871" w:rsidP="0083305B" w14:paraId="79C82466" w14:textId="77777777">
            <w:pPr>
              <w:jc w:val="center"/>
              <w:rPr>
                <w:szCs w:val="22"/>
              </w:rPr>
            </w:pPr>
            <w:r w:rsidRPr="000B5871">
              <w:rPr>
                <w:szCs w:val="22"/>
              </w:rPr>
              <w:t>35</w:t>
            </w:r>
          </w:p>
        </w:tc>
        <w:tc>
          <w:tcPr>
            <w:tcW w:w="0" w:type="auto"/>
            <w:shd w:val="clear" w:color="auto" w:fill="auto"/>
            <w:vAlign w:val="center"/>
          </w:tcPr>
          <w:p w:rsidR="00A6145B" w:rsidRPr="000B5871" w:rsidP="0083305B" w14:paraId="0E2967C0" w14:textId="77777777">
            <w:pPr>
              <w:jc w:val="center"/>
              <w:rPr>
                <w:szCs w:val="22"/>
              </w:rPr>
            </w:pPr>
            <w:r w:rsidRPr="000B5871">
              <w:rPr>
                <w:szCs w:val="22"/>
              </w:rPr>
              <w:t>37</w:t>
            </w:r>
          </w:p>
        </w:tc>
        <w:tc>
          <w:tcPr>
            <w:tcW w:w="0" w:type="auto"/>
            <w:shd w:val="clear" w:color="auto" w:fill="auto"/>
            <w:vAlign w:val="center"/>
          </w:tcPr>
          <w:p w:rsidR="00A6145B" w:rsidRPr="000B5871" w:rsidP="0083305B" w14:paraId="657DEC9E" w14:textId="77777777">
            <w:pPr>
              <w:jc w:val="center"/>
              <w:rPr>
                <w:szCs w:val="22"/>
              </w:rPr>
            </w:pPr>
            <w:r w:rsidRPr="000B5871">
              <w:rPr>
                <w:szCs w:val="22"/>
              </w:rPr>
              <w:t>55</w:t>
            </w:r>
          </w:p>
        </w:tc>
        <w:tc>
          <w:tcPr>
            <w:tcW w:w="0" w:type="auto"/>
            <w:shd w:val="clear" w:color="auto" w:fill="auto"/>
            <w:vAlign w:val="center"/>
          </w:tcPr>
          <w:p w:rsidR="00A6145B" w:rsidRPr="000B5871" w:rsidP="0083305B" w14:paraId="2AEB4842" w14:textId="77777777">
            <w:pPr>
              <w:jc w:val="center"/>
              <w:rPr>
                <w:szCs w:val="22"/>
              </w:rPr>
            </w:pPr>
            <w:r w:rsidRPr="000B5871">
              <w:rPr>
                <w:szCs w:val="22"/>
              </w:rPr>
              <w:t>55</w:t>
            </w:r>
          </w:p>
        </w:tc>
      </w:tr>
      <w:tr w14:paraId="46910D36" w14:textId="77777777" w:rsidTr="0083305B">
        <w:tblPrEx>
          <w:tblW w:w="0" w:type="auto"/>
          <w:tblInd w:w="18" w:type="dxa"/>
          <w:tblLook w:val="01E0"/>
        </w:tblPrEx>
        <w:trPr>
          <w:trHeight w:val="411"/>
        </w:trPr>
        <w:tc>
          <w:tcPr>
            <w:tcW w:w="0" w:type="auto"/>
            <w:shd w:val="clear" w:color="auto" w:fill="auto"/>
            <w:vAlign w:val="center"/>
          </w:tcPr>
          <w:p w:rsidR="00A6145B" w:rsidRPr="000B5871" w:rsidP="0083305B" w14:paraId="71211771" w14:textId="77777777">
            <w:pPr>
              <w:spacing w:before="120" w:after="120"/>
            </w:pPr>
            <w:r w:rsidRPr="000B5871">
              <w:t>71,000 to 76,000</w:t>
            </w:r>
            <w:r>
              <w:t xml:space="preserve"> </w:t>
            </w:r>
            <w:r w:rsidRPr="000B5871">
              <w:t>(cross</w:t>
            </w:r>
            <w:r>
              <w:noBreakHyphen/>
            </w:r>
            <w:r w:rsidRPr="000B5871">
              <w:t>polar)</w:t>
            </w:r>
            <w:r w:rsidRPr="000B5871">
              <w:rPr>
                <w:vertAlign w:val="superscript"/>
              </w:rPr>
              <w:t>14</w:t>
            </w:r>
            <w:r w:rsidRPr="000B5871">
              <w:t xml:space="preserve"> </w:t>
            </w:r>
          </w:p>
        </w:tc>
        <w:tc>
          <w:tcPr>
            <w:tcW w:w="0" w:type="auto"/>
            <w:shd w:val="clear" w:color="auto" w:fill="auto"/>
            <w:vAlign w:val="center"/>
          </w:tcPr>
          <w:p w:rsidR="00A6145B" w:rsidRPr="00DF073B" w:rsidP="0083305B" w14:paraId="1D8D3161" w14:textId="77777777">
            <w:pPr>
              <w:jc w:val="center"/>
              <w:rPr>
                <w:kern w:val="0"/>
              </w:rPr>
            </w:pPr>
            <w:r w:rsidRPr="00DF073B">
              <w:rPr>
                <w:kern w:val="0"/>
              </w:rPr>
              <w:t>N/A</w:t>
            </w:r>
          </w:p>
        </w:tc>
        <w:tc>
          <w:tcPr>
            <w:tcW w:w="0" w:type="auto"/>
            <w:shd w:val="clear" w:color="auto" w:fill="auto"/>
            <w:vAlign w:val="center"/>
          </w:tcPr>
          <w:p w:rsidR="00A6145B" w:rsidRPr="00DF073B" w:rsidP="0083305B" w14:paraId="4CAC1C4C" w14:textId="77777777">
            <w:pPr>
              <w:jc w:val="center"/>
              <w:rPr>
                <w:kern w:val="0"/>
              </w:rPr>
            </w:pPr>
            <w:r w:rsidRPr="00DF073B">
              <w:rPr>
                <w:kern w:val="0"/>
              </w:rPr>
              <w:t>2.2</w:t>
            </w:r>
          </w:p>
        </w:tc>
        <w:tc>
          <w:tcPr>
            <w:tcW w:w="0" w:type="auto"/>
            <w:shd w:val="clear" w:color="auto" w:fill="auto"/>
            <w:vAlign w:val="center"/>
          </w:tcPr>
          <w:p w:rsidR="00A6145B" w:rsidRPr="00DF073B" w:rsidP="0083305B" w14:paraId="01C66315" w14:textId="77777777">
            <w:pPr>
              <w:jc w:val="center"/>
              <w:rPr>
                <w:kern w:val="0"/>
              </w:rPr>
            </w:pPr>
            <w:r w:rsidRPr="00DF073B">
              <w:rPr>
                <w:kern w:val="0"/>
              </w:rPr>
              <w:t>38</w:t>
            </w:r>
          </w:p>
        </w:tc>
        <w:tc>
          <w:tcPr>
            <w:tcW w:w="0" w:type="auto"/>
            <w:shd w:val="clear" w:color="auto" w:fill="auto"/>
            <w:vAlign w:val="center"/>
          </w:tcPr>
          <w:p w:rsidR="00A6145B" w:rsidRPr="000B5871" w:rsidP="0083305B" w14:paraId="32D3DD71" w14:textId="77777777">
            <w:pPr>
              <w:jc w:val="center"/>
              <w:rPr>
                <w:szCs w:val="22"/>
              </w:rPr>
            </w:pPr>
            <w:r w:rsidRPr="000B5871">
              <w:rPr>
                <w:szCs w:val="22"/>
              </w:rPr>
              <w:t>35</w:t>
            </w:r>
          </w:p>
        </w:tc>
        <w:tc>
          <w:tcPr>
            <w:tcW w:w="522" w:type="dxa"/>
            <w:shd w:val="clear" w:color="auto" w:fill="auto"/>
            <w:vAlign w:val="center"/>
          </w:tcPr>
          <w:p w:rsidR="00A6145B" w:rsidRPr="000B5871" w:rsidP="0083305B" w14:paraId="04E31677" w14:textId="77777777">
            <w:pPr>
              <w:jc w:val="center"/>
              <w:rPr>
                <w:szCs w:val="22"/>
              </w:rPr>
            </w:pPr>
            <w:r w:rsidRPr="000B5871">
              <w:rPr>
                <w:szCs w:val="22"/>
              </w:rPr>
              <w:t>35</w:t>
            </w:r>
          </w:p>
        </w:tc>
        <w:tc>
          <w:tcPr>
            <w:tcW w:w="522" w:type="dxa"/>
            <w:shd w:val="clear" w:color="auto" w:fill="auto"/>
            <w:vAlign w:val="center"/>
          </w:tcPr>
          <w:p w:rsidR="00A6145B" w:rsidRPr="000B5871" w:rsidP="0083305B" w14:paraId="16E1989E" w14:textId="77777777">
            <w:pPr>
              <w:jc w:val="center"/>
              <w:rPr>
                <w:szCs w:val="22"/>
              </w:rPr>
            </w:pPr>
            <w:r w:rsidRPr="000B5871">
              <w:rPr>
                <w:szCs w:val="22"/>
              </w:rPr>
              <w:t>40</w:t>
            </w:r>
          </w:p>
        </w:tc>
        <w:tc>
          <w:tcPr>
            <w:tcW w:w="0" w:type="auto"/>
            <w:shd w:val="clear" w:color="auto" w:fill="auto"/>
            <w:vAlign w:val="center"/>
          </w:tcPr>
          <w:p w:rsidR="00A6145B" w:rsidRPr="000B5871" w:rsidP="0083305B" w14:paraId="67A8A084" w14:textId="77777777">
            <w:pPr>
              <w:jc w:val="center"/>
              <w:rPr>
                <w:szCs w:val="22"/>
              </w:rPr>
            </w:pPr>
            <w:r w:rsidRPr="000B5871">
              <w:rPr>
                <w:szCs w:val="22"/>
              </w:rPr>
              <w:t>42</w:t>
            </w:r>
          </w:p>
        </w:tc>
        <w:tc>
          <w:tcPr>
            <w:tcW w:w="0" w:type="auto"/>
            <w:shd w:val="clear" w:color="auto" w:fill="auto"/>
            <w:vAlign w:val="center"/>
          </w:tcPr>
          <w:p w:rsidR="00A6145B" w:rsidRPr="000B5871" w:rsidP="0083305B" w14:paraId="4B22CDDB" w14:textId="77777777">
            <w:pPr>
              <w:jc w:val="center"/>
              <w:rPr>
                <w:szCs w:val="22"/>
              </w:rPr>
            </w:pPr>
            <w:r w:rsidRPr="000B5871">
              <w:rPr>
                <w:szCs w:val="22"/>
              </w:rPr>
              <w:t>47</w:t>
            </w:r>
          </w:p>
        </w:tc>
        <w:tc>
          <w:tcPr>
            <w:tcW w:w="0" w:type="auto"/>
            <w:shd w:val="clear" w:color="auto" w:fill="auto"/>
            <w:vAlign w:val="center"/>
          </w:tcPr>
          <w:p w:rsidR="00A6145B" w:rsidRPr="000B5871" w:rsidP="0083305B" w14:paraId="1140259A" w14:textId="77777777">
            <w:pPr>
              <w:jc w:val="center"/>
              <w:rPr>
                <w:szCs w:val="22"/>
              </w:rPr>
            </w:pPr>
            <w:r w:rsidRPr="000B5871">
              <w:rPr>
                <w:szCs w:val="22"/>
              </w:rPr>
              <w:t>55</w:t>
            </w:r>
          </w:p>
        </w:tc>
        <w:tc>
          <w:tcPr>
            <w:tcW w:w="0" w:type="auto"/>
            <w:shd w:val="clear" w:color="auto" w:fill="auto"/>
            <w:vAlign w:val="center"/>
          </w:tcPr>
          <w:p w:rsidR="00A6145B" w:rsidRPr="000B5871" w:rsidP="0083305B" w14:paraId="64EF2CA8" w14:textId="77777777">
            <w:pPr>
              <w:jc w:val="center"/>
              <w:rPr>
                <w:szCs w:val="22"/>
              </w:rPr>
            </w:pPr>
            <w:r w:rsidRPr="000B5871">
              <w:rPr>
                <w:szCs w:val="22"/>
              </w:rPr>
              <w:t>55</w:t>
            </w:r>
          </w:p>
        </w:tc>
      </w:tr>
      <w:tr w14:paraId="1463FA38" w14:textId="77777777" w:rsidTr="0083305B">
        <w:tblPrEx>
          <w:tblW w:w="0" w:type="auto"/>
          <w:tblInd w:w="18" w:type="dxa"/>
          <w:tblLook w:val="01E0"/>
        </w:tblPrEx>
        <w:trPr>
          <w:trHeight w:val="358"/>
        </w:trPr>
        <w:tc>
          <w:tcPr>
            <w:tcW w:w="0" w:type="auto"/>
            <w:shd w:val="clear" w:color="auto" w:fill="auto"/>
            <w:vAlign w:val="center"/>
          </w:tcPr>
          <w:p w:rsidR="00A6145B" w:rsidRPr="000B5871" w:rsidP="0083305B" w14:paraId="45B4A4D6" w14:textId="77777777">
            <w:pPr>
              <w:spacing w:before="120" w:after="120"/>
              <w:rPr>
                <w:b/>
              </w:rPr>
            </w:pPr>
            <w:r w:rsidRPr="000B5871">
              <w:t>81,000 to 86,000</w:t>
            </w:r>
            <w:r>
              <w:t xml:space="preserve"> </w:t>
            </w:r>
            <w:r w:rsidRPr="000B5871">
              <w:t>(co</w:t>
            </w:r>
            <w:r>
              <w:noBreakHyphen/>
            </w:r>
            <w:r w:rsidRPr="000B5871">
              <w:t>polar)</w:t>
            </w:r>
            <w:r w:rsidRPr="000B5871">
              <w:rPr>
                <w:vertAlign w:val="superscript"/>
              </w:rPr>
              <w:t>14</w:t>
            </w:r>
          </w:p>
        </w:tc>
        <w:tc>
          <w:tcPr>
            <w:tcW w:w="0" w:type="auto"/>
            <w:shd w:val="clear" w:color="auto" w:fill="auto"/>
            <w:vAlign w:val="center"/>
          </w:tcPr>
          <w:p w:rsidR="00A6145B" w:rsidRPr="00DF073B" w:rsidP="0083305B" w14:paraId="3E2485E0" w14:textId="77777777">
            <w:pPr>
              <w:jc w:val="center"/>
              <w:rPr>
                <w:kern w:val="0"/>
              </w:rPr>
            </w:pPr>
            <w:r w:rsidRPr="00DF073B">
              <w:rPr>
                <w:kern w:val="0"/>
              </w:rPr>
              <w:t>N/A</w:t>
            </w:r>
          </w:p>
        </w:tc>
        <w:tc>
          <w:tcPr>
            <w:tcW w:w="0" w:type="auto"/>
            <w:shd w:val="clear" w:color="auto" w:fill="auto"/>
            <w:vAlign w:val="center"/>
          </w:tcPr>
          <w:p w:rsidR="00A6145B" w:rsidRPr="00DF073B" w:rsidP="0083305B" w14:paraId="1A30BDF1" w14:textId="77777777">
            <w:pPr>
              <w:jc w:val="center"/>
              <w:rPr>
                <w:kern w:val="0"/>
              </w:rPr>
            </w:pPr>
            <w:r w:rsidRPr="00DF073B">
              <w:rPr>
                <w:kern w:val="0"/>
              </w:rPr>
              <w:t>2.2</w:t>
            </w:r>
          </w:p>
        </w:tc>
        <w:tc>
          <w:tcPr>
            <w:tcW w:w="0" w:type="auto"/>
            <w:shd w:val="clear" w:color="auto" w:fill="auto"/>
            <w:vAlign w:val="center"/>
          </w:tcPr>
          <w:p w:rsidR="00A6145B" w:rsidRPr="00DF073B" w:rsidP="0083305B" w14:paraId="5AF378AD" w14:textId="77777777">
            <w:pPr>
              <w:jc w:val="center"/>
              <w:rPr>
                <w:kern w:val="0"/>
              </w:rPr>
            </w:pPr>
            <w:r w:rsidRPr="00DF073B">
              <w:rPr>
                <w:kern w:val="0"/>
              </w:rPr>
              <w:t>38</w:t>
            </w:r>
          </w:p>
        </w:tc>
        <w:tc>
          <w:tcPr>
            <w:tcW w:w="0" w:type="auto"/>
            <w:shd w:val="clear" w:color="auto" w:fill="auto"/>
            <w:vAlign w:val="center"/>
          </w:tcPr>
          <w:p w:rsidR="00A6145B" w:rsidRPr="000B5871" w:rsidP="0083305B" w14:paraId="4969728B" w14:textId="77777777">
            <w:pPr>
              <w:jc w:val="center"/>
              <w:rPr>
                <w:szCs w:val="22"/>
              </w:rPr>
            </w:pPr>
            <w:r w:rsidRPr="000B5871">
              <w:rPr>
                <w:szCs w:val="22"/>
              </w:rPr>
              <w:t>22</w:t>
            </w:r>
          </w:p>
        </w:tc>
        <w:tc>
          <w:tcPr>
            <w:tcW w:w="522" w:type="dxa"/>
            <w:shd w:val="clear" w:color="auto" w:fill="auto"/>
            <w:vAlign w:val="center"/>
          </w:tcPr>
          <w:p w:rsidR="00A6145B" w:rsidRPr="000B5871" w:rsidP="0083305B" w14:paraId="6D5C1556" w14:textId="77777777">
            <w:pPr>
              <w:jc w:val="center"/>
              <w:rPr>
                <w:szCs w:val="22"/>
              </w:rPr>
            </w:pPr>
            <w:r w:rsidRPr="000B5871">
              <w:rPr>
                <w:szCs w:val="22"/>
              </w:rPr>
              <w:t>28</w:t>
            </w:r>
          </w:p>
        </w:tc>
        <w:tc>
          <w:tcPr>
            <w:tcW w:w="522" w:type="dxa"/>
            <w:shd w:val="clear" w:color="auto" w:fill="auto"/>
            <w:vAlign w:val="center"/>
          </w:tcPr>
          <w:p w:rsidR="00A6145B" w:rsidRPr="000B5871" w:rsidP="0083305B" w14:paraId="00AB7217" w14:textId="77777777">
            <w:pPr>
              <w:jc w:val="center"/>
              <w:rPr>
                <w:szCs w:val="22"/>
              </w:rPr>
            </w:pPr>
            <w:r w:rsidRPr="000B5871">
              <w:rPr>
                <w:szCs w:val="22"/>
              </w:rPr>
              <w:t>32</w:t>
            </w:r>
          </w:p>
        </w:tc>
        <w:tc>
          <w:tcPr>
            <w:tcW w:w="0" w:type="auto"/>
            <w:shd w:val="clear" w:color="auto" w:fill="auto"/>
            <w:vAlign w:val="center"/>
          </w:tcPr>
          <w:p w:rsidR="00A6145B" w:rsidRPr="000B5871" w:rsidP="0083305B" w14:paraId="4C449AEC" w14:textId="77777777">
            <w:pPr>
              <w:jc w:val="center"/>
              <w:rPr>
                <w:szCs w:val="22"/>
              </w:rPr>
            </w:pPr>
            <w:r w:rsidRPr="000B5871">
              <w:rPr>
                <w:szCs w:val="22"/>
              </w:rPr>
              <w:t>35</w:t>
            </w:r>
          </w:p>
        </w:tc>
        <w:tc>
          <w:tcPr>
            <w:tcW w:w="0" w:type="auto"/>
            <w:shd w:val="clear" w:color="auto" w:fill="auto"/>
            <w:vAlign w:val="center"/>
          </w:tcPr>
          <w:p w:rsidR="00A6145B" w:rsidRPr="000B5871" w:rsidP="0083305B" w14:paraId="7EF81CE8" w14:textId="77777777">
            <w:pPr>
              <w:jc w:val="center"/>
              <w:rPr>
                <w:szCs w:val="22"/>
              </w:rPr>
            </w:pPr>
            <w:r w:rsidRPr="000B5871">
              <w:rPr>
                <w:szCs w:val="22"/>
              </w:rPr>
              <w:t>37</w:t>
            </w:r>
          </w:p>
        </w:tc>
        <w:tc>
          <w:tcPr>
            <w:tcW w:w="0" w:type="auto"/>
            <w:shd w:val="clear" w:color="auto" w:fill="auto"/>
            <w:vAlign w:val="center"/>
          </w:tcPr>
          <w:p w:rsidR="00A6145B" w:rsidRPr="000B5871" w:rsidP="0083305B" w14:paraId="0F79FF66" w14:textId="77777777">
            <w:pPr>
              <w:jc w:val="center"/>
              <w:rPr>
                <w:szCs w:val="22"/>
              </w:rPr>
            </w:pPr>
            <w:r w:rsidRPr="000B5871">
              <w:rPr>
                <w:szCs w:val="22"/>
              </w:rPr>
              <w:t>55</w:t>
            </w:r>
          </w:p>
        </w:tc>
        <w:tc>
          <w:tcPr>
            <w:tcW w:w="0" w:type="auto"/>
            <w:shd w:val="clear" w:color="auto" w:fill="auto"/>
            <w:vAlign w:val="center"/>
          </w:tcPr>
          <w:p w:rsidR="00A6145B" w:rsidRPr="000B5871" w:rsidP="0083305B" w14:paraId="56479D22" w14:textId="77777777">
            <w:pPr>
              <w:jc w:val="center"/>
              <w:rPr>
                <w:szCs w:val="22"/>
              </w:rPr>
            </w:pPr>
            <w:r w:rsidRPr="000B5871">
              <w:rPr>
                <w:szCs w:val="22"/>
              </w:rPr>
              <w:t>55</w:t>
            </w:r>
          </w:p>
        </w:tc>
      </w:tr>
      <w:tr w14:paraId="24152916" w14:textId="77777777" w:rsidTr="0083305B">
        <w:tblPrEx>
          <w:tblW w:w="0" w:type="auto"/>
          <w:tblInd w:w="18" w:type="dxa"/>
          <w:tblLook w:val="01E0"/>
        </w:tblPrEx>
        <w:trPr>
          <w:trHeight w:val="358"/>
        </w:trPr>
        <w:tc>
          <w:tcPr>
            <w:tcW w:w="0" w:type="auto"/>
            <w:shd w:val="clear" w:color="auto" w:fill="auto"/>
            <w:vAlign w:val="center"/>
          </w:tcPr>
          <w:p w:rsidR="00A6145B" w:rsidRPr="000B5871" w:rsidP="0083305B" w14:paraId="5A82FA27" w14:textId="77777777">
            <w:pPr>
              <w:spacing w:before="120" w:after="120"/>
            </w:pPr>
            <w:r w:rsidRPr="000B5871">
              <w:t>81,000 to 86,000</w:t>
            </w:r>
            <w:r>
              <w:t xml:space="preserve"> </w:t>
            </w:r>
            <w:r w:rsidRPr="000B5871">
              <w:t>(cross</w:t>
            </w:r>
            <w:r>
              <w:noBreakHyphen/>
            </w:r>
            <w:r>
              <w:br/>
            </w:r>
            <w:r w:rsidRPr="000B5871">
              <w:t>polar)</w:t>
            </w:r>
            <w:r w:rsidRPr="000B5871">
              <w:rPr>
                <w:vertAlign w:val="superscript"/>
              </w:rPr>
              <w:t>14</w:t>
            </w:r>
          </w:p>
        </w:tc>
        <w:tc>
          <w:tcPr>
            <w:tcW w:w="0" w:type="auto"/>
            <w:shd w:val="clear" w:color="auto" w:fill="auto"/>
            <w:vAlign w:val="center"/>
          </w:tcPr>
          <w:p w:rsidR="00A6145B" w:rsidRPr="00DF073B" w:rsidP="0083305B" w14:paraId="6DC392C4" w14:textId="77777777">
            <w:pPr>
              <w:jc w:val="center"/>
              <w:rPr>
                <w:kern w:val="0"/>
              </w:rPr>
            </w:pPr>
            <w:r w:rsidRPr="00DF073B">
              <w:rPr>
                <w:kern w:val="0"/>
              </w:rPr>
              <w:t>N/A</w:t>
            </w:r>
          </w:p>
        </w:tc>
        <w:tc>
          <w:tcPr>
            <w:tcW w:w="0" w:type="auto"/>
            <w:shd w:val="clear" w:color="auto" w:fill="auto"/>
            <w:vAlign w:val="center"/>
          </w:tcPr>
          <w:p w:rsidR="00A6145B" w:rsidRPr="00DF073B" w:rsidP="0083305B" w14:paraId="02E258ED" w14:textId="77777777">
            <w:pPr>
              <w:jc w:val="center"/>
              <w:rPr>
                <w:kern w:val="0"/>
              </w:rPr>
            </w:pPr>
            <w:r w:rsidRPr="00DF073B">
              <w:rPr>
                <w:kern w:val="0"/>
              </w:rPr>
              <w:t>2.2</w:t>
            </w:r>
          </w:p>
        </w:tc>
        <w:tc>
          <w:tcPr>
            <w:tcW w:w="0" w:type="auto"/>
            <w:shd w:val="clear" w:color="auto" w:fill="auto"/>
            <w:vAlign w:val="center"/>
          </w:tcPr>
          <w:p w:rsidR="00A6145B" w:rsidRPr="00DF073B" w:rsidP="0083305B" w14:paraId="407A28FB" w14:textId="77777777">
            <w:pPr>
              <w:jc w:val="center"/>
              <w:rPr>
                <w:kern w:val="0"/>
              </w:rPr>
            </w:pPr>
            <w:r w:rsidRPr="00DF073B">
              <w:rPr>
                <w:kern w:val="0"/>
              </w:rPr>
              <w:t>38</w:t>
            </w:r>
          </w:p>
        </w:tc>
        <w:tc>
          <w:tcPr>
            <w:tcW w:w="0" w:type="auto"/>
            <w:shd w:val="clear" w:color="auto" w:fill="auto"/>
            <w:vAlign w:val="center"/>
          </w:tcPr>
          <w:p w:rsidR="00A6145B" w:rsidRPr="000B5871" w:rsidP="0083305B" w14:paraId="2982F775" w14:textId="77777777">
            <w:pPr>
              <w:jc w:val="center"/>
              <w:rPr>
                <w:szCs w:val="22"/>
              </w:rPr>
            </w:pPr>
            <w:r w:rsidRPr="000B5871">
              <w:rPr>
                <w:szCs w:val="22"/>
              </w:rPr>
              <w:t>35</w:t>
            </w:r>
          </w:p>
        </w:tc>
        <w:tc>
          <w:tcPr>
            <w:tcW w:w="522" w:type="dxa"/>
            <w:shd w:val="clear" w:color="auto" w:fill="auto"/>
            <w:vAlign w:val="center"/>
          </w:tcPr>
          <w:p w:rsidR="00A6145B" w:rsidRPr="000B5871" w:rsidP="0083305B" w14:paraId="205C1EEB" w14:textId="77777777">
            <w:pPr>
              <w:jc w:val="center"/>
              <w:rPr>
                <w:szCs w:val="22"/>
              </w:rPr>
            </w:pPr>
            <w:r w:rsidRPr="000B5871">
              <w:rPr>
                <w:szCs w:val="22"/>
              </w:rPr>
              <w:t>35</w:t>
            </w:r>
          </w:p>
        </w:tc>
        <w:tc>
          <w:tcPr>
            <w:tcW w:w="522" w:type="dxa"/>
            <w:shd w:val="clear" w:color="auto" w:fill="auto"/>
            <w:vAlign w:val="center"/>
          </w:tcPr>
          <w:p w:rsidR="00A6145B" w:rsidRPr="000B5871" w:rsidP="0083305B" w14:paraId="091AE7EE" w14:textId="77777777">
            <w:pPr>
              <w:jc w:val="center"/>
              <w:rPr>
                <w:szCs w:val="22"/>
              </w:rPr>
            </w:pPr>
            <w:r w:rsidRPr="000B5871">
              <w:rPr>
                <w:szCs w:val="22"/>
              </w:rPr>
              <w:t>40</w:t>
            </w:r>
          </w:p>
        </w:tc>
        <w:tc>
          <w:tcPr>
            <w:tcW w:w="0" w:type="auto"/>
            <w:shd w:val="clear" w:color="auto" w:fill="auto"/>
            <w:vAlign w:val="center"/>
          </w:tcPr>
          <w:p w:rsidR="00A6145B" w:rsidRPr="000B5871" w:rsidP="0083305B" w14:paraId="68403EAB" w14:textId="77777777">
            <w:pPr>
              <w:jc w:val="center"/>
              <w:rPr>
                <w:szCs w:val="22"/>
              </w:rPr>
            </w:pPr>
            <w:r w:rsidRPr="000B5871">
              <w:rPr>
                <w:szCs w:val="22"/>
              </w:rPr>
              <w:t>42</w:t>
            </w:r>
          </w:p>
        </w:tc>
        <w:tc>
          <w:tcPr>
            <w:tcW w:w="0" w:type="auto"/>
            <w:shd w:val="clear" w:color="auto" w:fill="auto"/>
            <w:vAlign w:val="center"/>
          </w:tcPr>
          <w:p w:rsidR="00A6145B" w:rsidRPr="000B5871" w:rsidP="0083305B" w14:paraId="03B12295" w14:textId="77777777">
            <w:pPr>
              <w:jc w:val="center"/>
              <w:rPr>
                <w:szCs w:val="22"/>
              </w:rPr>
            </w:pPr>
            <w:r w:rsidRPr="000B5871">
              <w:rPr>
                <w:szCs w:val="22"/>
              </w:rPr>
              <w:t>47</w:t>
            </w:r>
          </w:p>
        </w:tc>
        <w:tc>
          <w:tcPr>
            <w:tcW w:w="0" w:type="auto"/>
            <w:shd w:val="clear" w:color="auto" w:fill="auto"/>
            <w:vAlign w:val="center"/>
          </w:tcPr>
          <w:p w:rsidR="00A6145B" w:rsidRPr="000B5871" w:rsidP="0083305B" w14:paraId="3D88564A" w14:textId="77777777">
            <w:pPr>
              <w:jc w:val="center"/>
              <w:rPr>
                <w:szCs w:val="22"/>
              </w:rPr>
            </w:pPr>
            <w:r w:rsidRPr="000B5871">
              <w:rPr>
                <w:szCs w:val="22"/>
              </w:rPr>
              <w:t>55</w:t>
            </w:r>
          </w:p>
        </w:tc>
        <w:tc>
          <w:tcPr>
            <w:tcW w:w="0" w:type="auto"/>
            <w:shd w:val="clear" w:color="auto" w:fill="auto"/>
            <w:vAlign w:val="center"/>
          </w:tcPr>
          <w:p w:rsidR="00A6145B" w:rsidRPr="000B5871" w:rsidP="0083305B" w14:paraId="32633C83" w14:textId="77777777">
            <w:pPr>
              <w:jc w:val="center"/>
              <w:rPr>
                <w:szCs w:val="22"/>
              </w:rPr>
            </w:pPr>
            <w:r w:rsidRPr="000B5871">
              <w:rPr>
                <w:szCs w:val="22"/>
              </w:rPr>
              <w:t>55</w:t>
            </w:r>
          </w:p>
        </w:tc>
      </w:tr>
      <w:tr w14:paraId="5BF25285" w14:textId="77777777" w:rsidTr="0083305B">
        <w:tblPrEx>
          <w:tblW w:w="0" w:type="auto"/>
          <w:tblInd w:w="18" w:type="dxa"/>
          <w:tblLook w:val="01E0"/>
        </w:tblPrEx>
        <w:trPr>
          <w:trHeight w:val="284"/>
        </w:trPr>
        <w:tc>
          <w:tcPr>
            <w:tcW w:w="0" w:type="auto"/>
            <w:gridSpan w:val="11"/>
            <w:shd w:val="clear" w:color="auto" w:fill="auto"/>
            <w:vAlign w:val="center"/>
          </w:tcPr>
          <w:p w:rsidR="00A6145B" w:rsidRPr="000B5871" w:rsidP="006D621A" w14:paraId="5AD5ED02" w14:textId="77777777">
            <w:pPr>
              <w:rPr>
                <w:szCs w:val="22"/>
              </w:rPr>
            </w:pPr>
            <w:r w:rsidRPr="000B5871">
              <w:t>*</w:t>
            </w:r>
            <w:r>
              <w:t xml:space="preserve"> * * * * * *</w:t>
            </w:r>
          </w:p>
        </w:tc>
      </w:tr>
    </w:tbl>
    <w:p w:rsidR="00A6145B" w:rsidRPr="00447371" w:rsidP="00A6145B" w14:paraId="7A54AEA0" w14:textId="77777777">
      <w:pPr>
        <w:spacing w:before="240" w:after="240"/>
      </w:pPr>
      <w:r w:rsidRPr="00E428FA">
        <w:t>* * * * *</w:t>
      </w:r>
    </w:p>
    <w:p w:rsidR="00A6145B" w:rsidRPr="00E428FA" w:rsidP="00A6145B" w14:paraId="1DBC2910" w14:textId="77777777">
      <w:pPr>
        <w:spacing w:after="240"/>
        <w:ind w:firstLine="720"/>
        <w:rPr>
          <w:szCs w:val="22"/>
        </w:rPr>
      </w:pPr>
      <w:r w:rsidRPr="00E428FA">
        <w:rPr>
          <w:szCs w:val="22"/>
        </w:rPr>
        <w:t xml:space="preserve">\14\ Antenna gain less than 50 dBi (but greater than or equal to 38 dBi) is permitted only with a proportional reduction in maximum authorized EIRP in a ratio of 2 dB of power per 1 dB of gain, so that the maximum allowable EIRP (in </w:t>
      </w:r>
      <w:r w:rsidRPr="00E428FA">
        <w:rPr>
          <w:szCs w:val="22"/>
        </w:rPr>
        <w:t>dBW</w:t>
      </w:r>
      <w:r w:rsidRPr="00E428FA">
        <w:rPr>
          <w:szCs w:val="22"/>
        </w:rPr>
        <w:t xml:space="preserve">) for antennas of less than 50 dBi gain becomes + 55-2(50-G), where G is the antenna gain in dBi.  In addition, antennas in these bands must meet the following additional standard for minimum radiation suppression:  At angles of less than 5 degrees from the centerline of main beam, cross-polar discrimination must be at least 21 </w:t>
      </w:r>
      <w:r w:rsidRPr="00E428FA">
        <w:rPr>
          <w:szCs w:val="22"/>
        </w:rPr>
        <w:t>dB.</w:t>
      </w:r>
    </w:p>
    <w:p w:rsidR="00A6145B" w:rsidRPr="00447371" w:rsidP="00A6145B" w14:paraId="568004E2" w14:textId="77777777">
      <w:pPr>
        <w:spacing w:after="240"/>
      </w:pPr>
      <w:r w:rsidRPr="00447371">
        <w:t>* * * * *</w:t>
      </w:r>
    </w:p>
    <w:p w:rsidR="00A6145B" w:rsidRPr="00447371" w:rsidP="00A6145B" w14:paraId="0848232D" w14:textId="77777777">
      <w:pPr>
        <w:pStyle w:val="ListParagraph"/>
        <w:numPr>
          <w:ilvl w:val="0"/>
          <w:numId w:val="14"/>
        </w:numPr>
        <w:spacing w:after="240" w:line="240" w:lineRule="auto"/>
        <w:ind w:left="0" w:firstLine="360"/>
      </w:pPr>
      <w:r>
        <w:t>Effective September 1, 2024, s</w:t>
      </w:r>
      <w:r w:rsidRPr="00447371">
        <w:t xml:space="preserve">ection 101.147 is amended by adding paragraph (z)(3) </w:t>
      </w:r>
      <w:r>
        <w:t xml:space="preserve">to read </w:t>
      </w:r>
      <w:r w:rsidRPr="00447371">
        <w:t>as follows:</w:t>
      </w:r>
    </w:p>
    <w:p w:rsidR="00A6145B" w:rsidP="00A6145B" w14:paraId="527A3D5A" w14:textId="77777777">
      <w:pPr>
        <w:spacing w:after="240"/>
        <w:rPr>
          <w:b/>
        </w:rPr>
      </w:pPr>
      <w:r w:rsidRPr="00447371">
        <w:rPr>
          <w:b/>
        </w:rPr>
        <w:t>§</w:t>
      </w:r>
      <w:r>
        <w:rPr>
          <w:b/>
        </w:rPr>
        <w:t xml:space="preserve"> </w:t>
      </w:r>
      <w:r w:rsidRPr="00447371">
        <w:rPr>
          <w:b/>
        </w:rPr>
        <w:t>101.147</w:t>
      </w:r>
      <w:r>
        <w:rPr>
          <w:b/>
        </w:rPr>
        <w:t xml:space="preserve"> </w:t>
      </w:r>
      <w:r w:rsidRPr="00447371">
        <w:rPr>
          <w:b/>
        </w:rPr>
        <w:t>Frequency assignments</w:t>
      </w:r>
      <w:r>
        <w:rPr>
          <w:b/>
        </w:rPr>
        <w:t>.</w:t>
      </w:r>
    </w:p>
    <w:p w:rsidR="00A6145B" w:rsidRPr="00E428FA" w:rsidP="00A6145B" w14:paraId="369094E4" w14:textId="77777777">
      <w:pPr>
        <w:spacing w:after="240"/>
        <w:rPr>
          <w:bCs/>
        </w:rPr>
      </w:pPr>
      <w:r w:rsidRPr="00E428FA">
        <w:rPr>
          <w:bCs/>
        </w:rPr>
        <w:t>* * * * *</w:t>
      </w:r>
    </w:p>
    <w:p w:rsidR="00A6145B" w:rsidRPr="00447371" w:rsidP="00A6145B" w14:paraId="63ACB795" w14:textId="77777777">
      <w:pPr>
        <w:spacing w:after="240"/>
        <w:ind w:firstLine="720"/>
      </w:pPr>
      <w:r w:rsidRPr="00447371">
        <w:t>(z) *</w:t>
      </w:r>
      <w:r>
        <w:t xml:space="preserve"> </w:t>
      </w:r>
      <w:r w:rsidRPr="00447371">
        <w:t>*</w:t>
      </w:r>
      <w:r>
        <w:t xml:space="preserve"> </w:t>
      </w:r>
      <w:r w:rsidRPr="00447371">
        <w:t>*</w:t>
      </w:r>
    </w:p>
    <w:p w:rsidR="00A6145B" w:rsidRPr="000F405F" w:rsidP="00A6145B" w14:paraId="00830B12" w14:textId="77777777">
      <w:pPr>
        <w:spacing w:after="240"/>
        <w:ind w:firstLine="720"/>
      </w:pPr>
      <w:r>
        <w:t xml:space="preserve">(3) </w:t>
      </w:r>
      <w:r w:rsidRPr="00447371">
        <w:t>The</w:t>
      </w:r>
      <w:r w:rsidRPr="00447371">
        <w:rPr>
          <w:b/>
        </w:rPr>
        <w:t xml:space="preserve"> </w:t>
      </w:r>
      <w:r w:rsidRPr="00447371">
        <w:t xml:space="preserve">following </w:t>
      </w:r>
      <w:r w:rsidRPr="000F405F">
        <w:t>channel plans apply to the 71,000–76,000 MHz and 81,000–86,000 MHz bands:</w:t>
      </w:r>
    </w:p>
    <w:p w:rsidR="00A6145B" w:rsidRPr="006C0275" w:rsidP="00A6145B" w14:paraId="3E4C50C9" w14:textId="77777777">
      <w:pPr>
        <w:spacing w:after="240"/>
        <w:ind w:firstLine="720"/>
        <w:rPr>
          <w:b/>
        </w:rPr>
      </w:pPr>
      <w:r>
        <w:t>(</w:t>
      </w:r>
      <w:r w:rsidRPr="000F405F">
        <w:t>i</w:t>
      </w:r>
      <w:r>
        <w:t>)</w:t>
      </w:r>
      <w:r w:rsidRPr="000F405F">
        <w:t xml:space="preserve"> </w:t>
      </w:r>
      <w:r w:rsidRPr="006D621A">
        <w:rPr>
          <w:i/>
          <w:iCs/>
        </w:rPr>
        <w:t>250 MHz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361D8A25"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10C3FF0C" w14:textId="77777777">
            <w:pPr>
              <w:keepNext/>
              <w:jc w:val="center"/>
              <w:rPr>
                <w:b/>
                <w:kern w:val="0"/>
              </w:rPr>
            </w:pPr>
            <w:r w:rsidRPr="00447371">
              <w:rPr>
                <w:b/>
                <w:kern w:val="0"/>
              </w:rPr>
              <w:t>Transmit (receive) (MHz)</w:t>
            </w:r>
          </w:p>
        </w:tc>
        <w:tc>
          <w:tcPr>
            <w:tcW w:w="3757" w:type="dxa"/>
            <w:noWrap/>
            <w:vAlign w:val="center"/>
            <w:hideMark/>
          </w:tcPr>
          <w:p w:rsidR="00A6145B" w:rsidRPr="00447371" w:rsidP="0083305B" w14:paraId="4A1C2E00" w14:textId="77777777">
            <w:pPr>
              <w:keepNext/>
              <w:jc w:val="center"/>
              <w:rPr>
                <w:b/>
                <w:kern w:val="0"/>
              </w:rPr>
            </w:pPr>
            <w:r w:rsidRPr="00447371">
              <w:rPr>
                <w:b/>
                <w:kern w:val="0"/>
              </w:rPr>
              <w:t>Receive (transmit) (MHz)</w:t>
            </w:r>
          </w:p>
        </w:tc>
      </w:tr>
      <w:tr w14:paraId="24AE3364"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2649869C" w14:textId="77777777">
            <w:r w:rsidRPr="00447371">
              <w:t>71250</w:t>
            </w:r>
          </w:p>
        </w:tc>
        <w:tc>
          <w:tcPr>
            <w:tcW w:w="3757" w:type="dxa"/>
            <w:noWrap/>
            <w:vAlign w:val="center"/>
            <w:hideMark/>
          </w:tcPr>
          <w:p w:rsidR="00A6145B" w:rsidRPr="00447371" w:rsidP="0083305B" w14:paraId="6DBDC7FD" w14:textId="77777777">
            <w:r w:rsidRPr="00447371">
              <w:t>81250</w:t>
            </w:r>
          </w:p>
        </w:tc>
      </w:tr>
      <w:tr w14:paraId="7E1EB880"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49F64E2E" w14:textId="77777777">
            <w:r w:rsidRPr="00447371">
              <w:t>71500</w:t>
            </w:r>
          </w:p>
        </w:tc>
        <w:tc>
          <w:tcPr>
            <w:tcW w:w="3757" w:type="dxa"/>
            <w:noWrap/>
            <w:vAlign w:val="center"/>
            <w:hideMark/>
          </w:tcPr>
          <w:p w:rsidR="00A6145B" w:rsidRPr="00447371" w:rsidP="0083305B" w14:paraId="09222629" w14:textId="77777777">
            <w:r w:rsidRPr="00447371">
              <w:t>81500</w:t>
            </w:r>
          </w:p>
        </w:tc>
      </w:tr>
      <w:tr w14:paraId="71318499"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7B98FCE2" w14:textId="77777777">
            <w:r w:rsidRPr="00447371">
              <w:t>71750</w:t>
            </w:r>
          </w:p>
        </w:tc>
        <w:tc>
          <w:tcPr>
            <w:tcW w:w="3757" w:type="dxa"/>
            <w:noWrap/>
            <w:vAlign w:val="center"/>
            <w:hideMark/>
          </w:tcPr>
          <w:p w:rsidR="00A6145B" w:rsidRPr="00447371" w:rsidP="0083305B" w14:paraId="372A6A01" w14:textId="77777777">
            <w:r w:rsidRPr="00447371">
              <w:t>81750</w:t>
            </w:r>
          </w:p>
        </w:tc>
      </w:tr>
      <w:tr w14:paraId="64492CD8"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13B8D26D" w14:textId="77777777">
            <w:r w:rsidRPr="00447371">
              <w:t>72000</w:t>
            </w:r>
          </w:p>
        </w:tc>
        <w:tc>
          <w:tcPr>
            <w:tcW w:w="3757" w:type="dxa"/>
            <w:noWrap/>
            <w:vAlign w:val="center"/>
            <w:hideMark/>
          </w:tcPr>
          <w:p w:rsidR="00A6145B" w:rsidRPr="00447371" w:rsidP="0083305B" w14:paraId="346D685B" w14:textId="77777777">
            <w:r w:rsidRPr="00447371">
              <w:t>82000</w:t>
            </w:r>
          </w:p>
        </w:tc>
      </w:tr>
      <w:tr w14:paraId="7850B300"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664A46BD" w14:textId="77777777">
            <w:r w:rsidRPr="00447371">
              <w:t>72250</w:t>
            </w:r>
          </w:p>
        </w:tc>
        <w:tc>
          <w:tcPr>
            <w:tcW w:w="3757" w:type="dxa"/>
            <w:noWrap/>
            <w:vAlign w:val="center"/>
            <w:hideMark/>
          </w:tcPr>
          <w:p w:rsidR="00A6145B" w:rsidRPr="00447371" w:rsidP="0083305B" w14:paraId="4A88AC8E" w14:textId="77777777">
            <w:r w:rsidRPr="00447371">
              <w:t>82250</w:t>
            </w:r>
          </w:p>
        </w:tc>
      </w:tr>
      <w:tr w14:paraId="3D7470DE"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4AF00B06" w14:textId="77777777">
            <w:r w:rsidRPr="00447371">
              <w:t>72500</w:t>
            </w:r>
          </w:p>
        </w:tc>
        <w:tc>
          <w:tcPr>
            <w:tcW w:w="3757" w:type="dxa"/>
            <w:noWrap/>
            <w:vAlign w:val="center"/>
            <w:hideMark/>
          </w:tcPr>
          <w:p w:rsidR="00A6145B" w:rsidRPr="00447371" w:rsidP="0083305B" w14:paraId="75E3C11D" w14:textId="77777777">
            <w:r w:rsidRPr="00447371">
              <w:t>82500</w:t>
            </w:r>
          </w:p>
        </w:tc>
      </w:tr>
      <w:tr w14:paraId="7262A6E4"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371ACDE4" w14:textId="77777777">
            <w:r w:rsidRPr="00447371">
              <w:t>72750</w:t>
            </w:r>
          </w:p>
        </w:tc>
        <w:tc>
          <w:tcPr>
            <w:tcW w:w="3757" w:type="dxa"/>
            <w:noWrap/>
            <w:vAlign w:val="center"/>
            <w:hideMark/>
          </w:tcPr>
          <w:p w:rsidR="00A6145B" w:rsidRPr="00447371" w:rsidP="0083305B" w14:paraId="1A59641F" w14:textId="77777777">
            <w:r w:rsidRPr="00447371">
              <w:t>82750</w:t>
            </w:r>
          </w:p>
        </w:tc>
      </w:tr>
      <w:tr w14:paraId="6394D379"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4DA96A6B" w14:textId="77777777">
            <w:r w:rsidRPr="00447371">
              <w:t>73000</w:t>
            </w:r>
          </w:p>
        </w:tc>
        <w:tc>
          <w:tcPr>
            <w:tcW w:w="3757" w:type="dxa"/>
            <w:noWrap/>
            <w:vAlign w:val="center"/>
            <w:hideMark/>
          </w:tcPr>
          <w:p w:rsidR="00A6145B" w:rsidRPr="00447371" w:rsidP="0083305B" w14:paraId="776472CB" w14:textId="77777777">
            <w:r w:rsidRPr="00447371">
              <w:t>83000</w:t>
            </w:r>
          </w:p>
        </w:tc>
      </w:tr>
      <w:tr w14:paraId="3A3ABE70"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5F81C15D" w14:textId="77777777">
            <w:r w:rsidRPr="00447371">
              <w:t>73250</w:t>
            </w:r>
          </w:p>
        </w:tc>
        <w:tc>
          <w:tcPr>
            <w:tcW w:w="3757" w:type="dxa"/>
            <w:noWrap/>
            <w:vAlign w:val="center"/>
            <w:hideMark/>
          </w:tcPr>
          <w:p w:rsidR="00A6145B" w:rsidRPr="00447371" w:rsidP="0083305B" w14:paraId="0FE40905" w14:textId="77777777">
            <w:r w:rsidRPr="00447371">
              <w:t>83250</w:t>
            </w:r>
          </w:p>
        </w:tc>
      </w:tr>
      <w:tr w14:paraId="51901DC4"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7AA89C4F" w14:textId="77777777">
            <w:r w:rsidRPr="00447371">
              <w:t>73500</w:t>
            </w:r>
          </w:p>
        </w:tc>
        <w:tc>
          <w:tcPr>
            <w:tcW w:w="3757" w:type="dxa"/>
            <w:noWrap/>
            <w:vAlign w:val="center"/>
            <w:hideMark/>
          </w:tcPr>
          <w:p w:rsidR="00A6145B" w:rsidRPr="00447371" w:rsidP="0083305B" w14:paraId="318189CC" w14:textId="77777777">
            <w:r w:rsidRPr="00447371">
              <w:t>83500</w:t>
            </w:r>
          </w:p>
        </w:tc>
      </w:tr>
      <w:tr w14:paraId="0434D471"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20D2CD0F" w14:textId="77777777">
            <w:r w:rsidRPr="00447371">
              <w:t>73750</w:t>
            </w:r>
          </w:p>
        </w:tc>
        <w:tc>
          <w:tcPr>
            <w:tcW w:w="3757" w:type="dxa"/>
            <w:noWrap/>
            <w:vAlign w:val="center"/>
            <w:hideMark/>
          </w:tcPr>
          <w:p w:rsidR="00A6145B" w:rsidRPr="00447371" w:rsidP="0083305B" w14:paraId="52117EA8" w14:textId="77777777">
            <w:r w:rsidRPr="00447371">
              <w:t>83750</w:t>
            </w:r>
          </w:p>
        </w:tc>
      </w:tr>
      <w:tr w14:paraId="482C1896"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79C6AB9E" w14:textId="77777777">
            <w:r w:rsidRPr="00447371">
              <w:t>74000</w:t>
            </w:r>
          </w:p>
        </w:tc>
        <w:tc>
          <w:tcPr>
            <w:tcW w:w="3757" w:type="dxa"/>
            <w:noWrap/>
            <w:vAlign w:val="center"/>
            <w:hideMark/>
          </w:tcPr>
          <w:p w:rsidR="00A6145B" w:rsidRPr="00447371" w:rsidP="0083305B" w14:paraId="55B2D1EB" w14:textId="77777777">
            <w:r w:rsidRPr="00447371">
              <w:t>84000</w:t>
            </w:r>
          </w:p>
        </w:tc>
      </w:tr>
      <w:tr w14:paraId="3513AA08"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5EB801C4" w14:textId="77777777">
            <w:r w:rsidRPr="00447371">
              <w:t>74250</w:t>
            </w:r>
          </w:p>
        </w:tc>
        <w:tc>
          <w:tcPr>
            <w:tcW w:w="3757" w:type="dxa"/>
            <w:noWrap/>
            <w:vAlign w:val="center"/>
            <w:hideMark/>
          </w:tcPr>
          <w:p w:rsidR="00A6145B" w:rsidRPr="00447371" w:rsidP="0083305B" w14:paraId="54289CC9" w14:textId="77777777">
            <w:r w:rsidRPr="00447371">
              <w:t>84250</w:t>
            </w:r>
          </w:p>
        </w:tc>
      </w:tr>
      <w:tr w14:paraId="4D40F1E3"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4E6EB4AB" w14:textId="77777777">
            <w:r w:rsidRPr="00447371">
              <w:t>74500</w:t>
            </w:r>
          </w:p>
        </w:tc>
        <w:tc>
          <w:tcPr>
            <w:tcW w:w="3757" w:type="dxa"/>
            <w:noWrap/>
            <w:vAlign w:val="center"/>
            <w:hideMark/>
          </w:tcPr>
          <w:p w:rsidR="00A6145B" w:rsidRPr="00447371" w:rsidP="0083305B" w14:paraId="0815F411" w14:textId="77777777">
            <w:r w:rsidRPr="00447371">
              <w:t>84500</w:t>
            </w:r>
          </w:p>
        </w:tc>
      </w:tr>
      <w:tr w14:paraId="7394AC62"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4F8C76C4" w14:textId="77777777">
            <w:r w:rsidRPr="00447371">
              <w:t>74750</w:t>
            </w:r>
          </w:p>
        </w:tc>
        <w:tc>
          <w:tcPr>
            <w:tcW w:w="3757" w:type="dxa"/>
            <w:noWrap/>
            <w:vAlign w:val="center"/>
            <w:hideMark/>
          </w:tcPr>
          <w:p w:rsidR="00A6145B" w:rsidRPr="00447371" w:rsidP="0083305B" w14:paraId="5AB52D38" w14:textId="77777777">
            <w:r w:rsidRPr="00447371">
              <w:t>84750</w:t>
            </w:r>
          </w:p>
        </w:tc>
      </w:tr>
      <w:tr w14:paraId="234D70C6"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29A63326" w14:textId="77777777">
            <w:r w:rsidRPr="00447371">
              <w:t>75000</w:t>
            </w:r>
          </w:p>
        </w:tc>
        <w:tc>
          <w:tcPr>
            <w:tcW w:w="3757" w:type="dxa"/>
            <w:noWrap/>
            <w:vAlign w:val="center"/>
            <w:hideMark/>
          </w:tcPr>
          <w:p w:rsidR="00A6145B" w:rsidRPr="00447371" w:rsidP="0083305B" w14:paraId="680502E8" w14:textId="77777777">
            <w:r w:rsidRPr="00447371">
              <w:t>85000</w:t>
            </w:r>
          </w:p>
        </w:tc>
      </w:tr>
      <w:tr w14:paraId="46283F11"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6CEC2462" w14:textId="77777777">
            <w:r w:rsidRPr="00447371">
              <w:t>75250</w:t>
            </w:r>
          </w:p>
        </w:tc>
        <w:tc>
          <w:tcPr>
            <w:tcW w:w="3757" w:type="dxa"/>
            <w:noWrap/>
            <w:vAlign w:val="center"/>
            <w:hideMark/>
          </w:tcPr>
          <w:p w:rsidR="00A6145B" w:rsidRPr="00447371" w:rsidP="0083305B" w14:paraId="3A3CB63E" w14:textId="77777777">
            <w:r w:rsidRPr="00447371">
              <w:t>85250</w:t>
            </w:r>
          </w:p>
        </w:tc>
      </w:tr>
      <w:tr w14:paraId="2658667F"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11084127" w14:textId="77777777">
            <w:r w:rsidRPr="00447371">
              <w:t>75500</w:t>
            </w:r>
          </w:p>
        </w:tc>
        <w:tc>
          <w:tcPr>
            <w:tcW w:w="3757" w:type="dxa"/>
            <w:noWrap/>
            <w:vAlign w:val="center"/>
            <w:hideMark/>
          </w:tcPr>
          <w:p w:rsidR="00A6145B" w:rsidRPr="00447371" w:rsidP="0083305B" w14:paraId="04B81DB5" w14:textId="77777777">
            <w:r w:rsidRPr="00447371">
              <w:t>85500</w:t>
            </w:r>
          </w:p>
        </w:tc>
      </w:tr>
      <w:tr w14:paraId="2A6D0C88"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2860E364" w14:textId="77777777">
            <w:r w:rsidRPr="00447371">
              <w:t>75750</w:t>
            </w:r>
          </w:p>
        </w:tc>
        <w:tc>
          <w:tcPr>
            <w:tcW w:w="3757" w:type="dxa"/>
            <w:noWrap/>
            <w:vAlign w:val="center"/>
            <w:hideMark/>
          </w:tcPr>
          <w:p w:rsidR="00A6145B" w:rsidRPr="00447371" w:rsidP="0083305B" w14:paraId="28003138" w14:textId="77777777">
            <w:r w:rsidRPr="00447371">
              <w:t>85750</w:t>
            </w:r>
          </w:p>
        </w:tc>
      </w:tr>
    </w:tbl>
    <w:p w:rsidR="00A6145B" w:rsidRPr="00447371" w:rsidP="00A6145B" w14:paraId="3486996B" w14:textId="77777777">
      <w:pPr>
        <w:pStyle w:val="ListParagraph"/>
        <w:keepNext/>
        <w:spacing w:before="240" w:after="240"/>
      </w:pPr>
      <w:r>
        <w:t xml:space="preserve">(ii) </w:t>
      </w:r>
      <w:r w:rsidRPr="006D621A">
        <w:rPr>
          <w:i/>
          <w:iCs/>
        </w:rPr>
        <w:t>500 MHz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7F897DB5"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2AB879CF"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0225CF2C" w14:textId="77777777">
            <w:pPr>
              <w:jc w:val="center"/>
              <w:rPr>
                <w:b/>
                <w:kern w:val="0"/>
              </w:rPr>
            </w:pPr>
            <w:r w:rsidRPr="00447371">
              <w:rPr>
                <w:b/>
                <w:kern w:val="0"/>
              </w:rPr>
              <w:t>Receive (transmit) (MHz)</w:t>
            </w:r>
          </w:p>
        </w:tc>
      </w:tr>
      <w:tr w14:paraId="64651A0B"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58A887D5" w14:textId="77777777">
            <w:r w:rsidRPr="00447371">
              <w:t>71375</w:t>
            </w:r>
          </w:p>
        </w:tc>
        <w:tc>
          <w:tcPr>
            <w:tcW w:w="3757" w:type="dxa"/>
            <w:noWrap/>
            <w:vAlign w:val="center"/>
            <w:hideMark/>
          </w:tcPr>
          <w:p w:rsidR="00A6145B" w:rsidRPr="00447371" w:rsidP="0083305B" w14:paraId="546FE9B1" w14:textId="77777777">
            <w:r w:rsidRPr="00447371">
              <w:t>81375</w:t>
            </w:r>
          </w:p>
        </w:tc>
      </w:tr>
      <w:tr w14:paraId="3D01DDE0"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15A503AC" w14:textId="77777777">
            <w:r w:rsidRPr="00447371">
              <w:t>71875</w:t>
            </w:r>
          </w:p>
        </w:tc>
        <w:tc>
          <w:tcPr>
            <w:tcW w:w="3757" w:type="dxa"/>
            <w:noWrap/>
            <w:vAlign w:val="center"/>
            <w:hideMark/>
          </w:tcPr>
          <w:p w:rsidR="00A6145B" w:rsidRPr="00447371" w:rsidP="0083305B" w14:paraId="768A91A2" w14:textId="77777777">
            <w:r w:rsidRPr="00447371">
              <w:t>81875</w:t>
            </w:r>
          </w:p>
        </w:tc>
      </w:tr>
      <w:tr w14:paraId="7B759DBE"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0BA9B51E" w14:textId="77777777">
            <w:r w:rsidRPr="00447371">
              <w:t>72375</w:t>
            </w:r>
          </w:p>
        </w:tc>
        <w:tc>
          <w:tcPr>
            <w:tcW w:w="3757" w:type="dxa"/>
            <w:noWrap/>
            <w:vAlign w:val="center"/>
            <w:hideMark/>
          </w:tcPr>
          <w:p w:rsidR="00A6145B" w:rsidRPr="00447371" w:rsidP="0083305B" w14:paraId="0895F21B" w14:textId="77777777">
            <w:r w:rsidRPr="00447371">
              <w:t>82375</w:t>
            </w:r>
          </w:p>
        </w:tc>
      </w:tr>
      <w:tr w14:paraId="22FD52CD"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6A317B1B" w14:textId="77777777">
            <w:r w:rsidRPr="00447371">
              <w:t>72875</w:t>
            </w:r>
          </w:p>
        </w:tc>
        <w:tc>
          <w:tcPr>
            <w:tcW w:w="3757" w:type="dxa"/>
            <w:noWrap/>
            <w:vAlign w:val="center"/>
            <w:hideMark/>
          </w:tcPr>
          <w:p w:rsidR="00A6145B" w:rsidRPr="00447371" w:rsidP="0083305B" w14:paraId="074CA908" w14:textId="77777777">
            <w:r w:rsidRPr="00447371">
              <w:t>82875</w:t>
            </w:r>
          </w:p>
        </w:tc>
      </w:tr>
      <w:tr w14:paraId="684D4896"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6B5E5378" w14:textId="77777777">
            <w:r w:rsidRPr="00447371">
              <w:t>73375</w:t>
            </w:r>
          </w:p>
        </w:tc>
        <w:tc>
          <w:tcPr>
            <w:tcW w:w="3757" w:type="dxa"/>
            <w:noWrap/>
            <w:vAlign w:val="center"/>
            <w:hideMark/>
          </w:tcPr>
          <w:p w:rsidR="00A6145B" w:rsidRPr="00447371" w:rsidP="0083305B" w14:paraId="1CB509FF" w14:textId="77777777">
            <w:r w:rsidRPr="00447371">
              <w:t>83375</w:t>
            </w:r>
          </w:p>
        </w:tc>
      </w:tr>
      <w:tr w14:paraId="3EBF542F"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77E6913C" w14:textId="77777777">
            <w:r w:rsidRPr="00447371">
              <w:t>73875</w:t>
            </w:r>
          </w:p>
        </w:tc>
        <w:tc>
          <w:tcPr>
            <w:tcW w:w="3757" w:type="dxa"/>
            <w:noWrap/>
            <w:vAlign w:val="center"/>
            <w:hideMark/>
          </w:tcPr>
          <w:p w:rsidR="00A6145B" w:rsidRPr="00447371" w:rsidP="0083305B" w14:paraId="635E9678" w14:textId="77777777">
            <w:r w:rsidRPr="00447371">
              <w:t>83875</w:t>
            </w:r>
          </w:p>
        </w:tc>
      </w:tr>
      <w:tr w14:paraId="2290B6CC"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4D0D59B4" w14:textId="77777777">
            <w:r w:rsidRPr="00447371">
              <w:t>74375</w:t>
            </w:r>
          </w:p>
        </w:tc>
        <w:tc>
          <w:tcPr>
            <w:tcW w:w="3757" w:type="dxa"/>
            <w:noWrap/>
            <w:vAlign w:val="center"/>
            <w:hideMark/>
          </w:tcPr>
          <w:p w:rsidR="00A6145B" w:rsidRPr="00447371" w:rsidP="0083305B" w14:paraId="143724F0" w14:textId="77777777">
            <w:r w:rsidRPr="00447371">
              <w:t>84375</w:t>
            </w:r>
          </w:p>
        </w:tc>
      </w:tr>
      <w:tr w14:paraId="5BC6DFA1"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24C17F03" w14:textId="77777777">
            <w:r w:rsidRPr="00447371">
              <w:t>74875</w:t>
            </w:r>
          </w:p>
        </w:tc>
        <w:tc>
          <w:tcPr>
            <w:tcW w:w="3757" w:type="dxa"/>
            <w:noWrap/>
            <w:vAlign w:val="center"/>
            <w:hideMark/>
          </w:tcPr>
          <w:p w:rsidR="00A6145B" w:rsidRPr="00447371" w:rsidP="0083305B" w14:paraId="2E3253D5" w14:textId="77777777">
            <w:r w:rsidRPr="00447371">
              <w:t>84875</w:t>
            </w:r>
          </w:p>
        </w:tc>
      </w:tr>
      <w:tr w14:paraId="31AEF6B5"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777E07BD" w14:textId="77777777">
            <w:r w:rsidRPr="00447371">
              <w:t>75375</w:t>
            </w:r>
          </w:p>
        </w:tc>
        <w:tc>
          <w:tcPr>
            <w:tcW w:w="3757" w:type="dxa"/>
            <w:noWrap/>
            <w:vAlign w:val="center"/>
            <w:hideMark/>
          </w:tcPr>
          <w:p w:rsidR="00A6145B" w:rsidRPr="00447371" w:rsidP="0083305B" w14:paraId="38FBDF36" w14:textId="77777777">
            <w:r w:rsidRPr="00447371">
              <w:t>85375</w:t>
            </w:r>
          </w:p>
        </w:tc>
      </w:tr>
    </w:tbl>
    <w:p w:rsidR="00A6145B" w:rsidP="002F5D87" w14:paraId="203B3A4C" w14:textId="77777777">
      <w:pPr>
        <w:pStyle w:val="ListParagraph"/>
        <w:keepNext/>
        <w:widowControl/>
        <w:spacing w:before="240" w:after="240"/>
      </w:pPr>
      <w:r>
        <w:t xml:space="preserve">(iii) </w:t>
      </w:r>
      <w:r w:rsidRPr="006D621A">
        <w:rPr>
          <w:i/>
          <w:iCs/>
        </w:rPr>
        <w:t>750 MHz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1C7E324A"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1B384676"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58F3CFF8" w14:textId="77777777">
            <w:pPr>
              <w:jc w:val="center"/>
              <w:rPr>
                <w:b/>
                <w:kern w:val="0"/>
              </w:rPr>
            </w:pPr>
            <w:r w:rsidRPr="00447371">
              <w:rPr>
                <w:b/>
                <w:kern w:val="0"/>
              </w:rPr>
              <w:t>Receive (transmit) (MHz)</w:t>
            </w:r>
          </w:p>
        </w:tc>
      </w:tr>
      <w:tr w14:paraId="2E1099B3"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305C0884" w14:textId="77777777">
            <w:r>
              <w:t>71500</w:t>
            </w:r>
          </w:p>
        </w:tc>
        <w:tc>
          <w:tcPr>
            <w:tcW w:w="3757" w:type="dxa"/>
            <w:noWrap/>
            <w:vAlign w:val="center"/>
            <w:hideMark/>
          </w:tcPr>
          <w:p w:rsidR="00A6145B" w:rsidRPr="002A25D0" w:rsidP="0083305B" w14:paraId="55BF7C4E" w14:textId="77777777">
            <w:r w:rsidRPr="002A25D0">
              <w:t>81500</w:t>
            </w:r>
          </w:p>
        </w:tc>
      </w:tr>
      <w:tr w14:paraId="2FED0C03"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4DE527F1" w14:textId="77777777">
            <w:r w:rsidRPr="00447371">
              <w:t>72</w:t>
            </w:r>
            <w:r>
              <w:t>250</w:t>
            </w:r>
          </w:p>
        </w:tc>
        <w:tc>
          <w:tcPr>
            <w:tcW w:w="3757" w:type="dxa"/>
            <w:noWrap/>
            <w:vAlign w:val="center"/>
            <w:hideMark/>
          </w:tcPr>
          <w:p w:rsidR="00A6145B" w:rsidRPr="002A25D0" w:rsidP="0083305B" w14:paraId="6B3A2011" w14:textId="77777777">
            <w:r w:rsidRPr="002A25D0">
              <w:t>82250</w:t>
            </w:r>
          </w:p>
        </w:tc>
      </w:tr>
      <w:tr w14:paraId="0DECF3CB"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33F28EDB" w14:textId="77777777">
            <w:r w:rsidRPr="00447371">
              <w:t>7</w:t>
            </w:r>
            <w:r>
              <w:t>3000</w:t>
            </w:r>
          </w:p>
        </w:tc>
        <w:tc>
          <w:tcPr>
            <w:tcW w:w="3757" w:type="dxa"/>
            <w:noWrap/>
            <w:vAlign w:val="center"/>
            <w:hideMark/>
          </w:tcPr>
          <w:p w:rsidR="00A6145B" w:rsidRPr="002A25D0" w:rsidP="0083305B" w14:paraId="7B5F3123" w14:textId="77777777">
            <w:r w:rsidRPr="002A25D0">
              <w:t>83000</w:t>
            </w:r>
          </w:p>
        </w:tc>
      </w:tr>
      <w:tr w14:paraId="6C1897CA"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565171C2" w14:textId="77777777">
            <w:r w:rsidRPr="00447371">
              <w:t>7</w:t>
            </w:r>
            <w:r>
              <w:t>3750</w:t>
            </w:r>
          </w:p>
        </w:tc>
        <w:tc>
          <w:tcPr>
            <w:tcW w:w="3757" w:type="dxa"/>
            <w:noWrap/>
            <w:vAlign w:val="center"/>
            <w:hideMark/>
          </w:tcPr>
          <w:p w:rsidR="00A6145B" w:rsidRPr="002A25D0" w:rsidP="0083305B" w14:paraId="0D861677" w14:textId="77777777">
            <w:r w:rsidRPr="002A25D0">
              <w:t>83750</w:t>
            </w:r>
          </w:p>
        </w:tc>
      </w:tr>
      <w:tr w14:paraId="0F11731C" w14:textId="77777777" w:rsidTr="0083305B">
        <w:tblPrEx>
          <w:tblW w:w="7500" w:type="dxa"/>
          <w:jc w:val="center"/>
          <w:tblCellMar>
            <w:top w:w="15" w:type="dxa"/>
            <w:bottom w:w="15" w:type="dxa"/>
          </w:tblCellMar>
          <w:tblLook w:val="04A0"/>
        </w:tblPrEx>
        <w:trPr>
          <w:trHeight w:val="300"/>
          <w:jc w:val="center"/>
        </w:trPr>
        <w:tc>
          <w:tcPr>
            <w:tcW w:w="3743" w:type="dxa"/>
            <w:noWrap/>
            <w:vAlign w:val="center"/>
          </w:tcPr>
          <w:p w:rsidR="00A6145B" w:rsidRPr="00447371" w:rsidP="0083305B" w14:paraId="068401F1" w14:textId="77777777">
            <w:r>
              <w:t>74500</w:t>
            </w:r>
          </w:p>
        </w:tc>
        <w:tc>
          <w:tcPr>
            <w:tcW w:w="3757" w:type="dxa"/>
            <w:noWrap/>
            <w:vAlign w:val="center"/>
          </w:tcPr>
          <w:p w:rsidR="00A6145B" w:rsidRPr="002A25D0" w:rsidP="0083305B" w14:paraId="114B4136" w14:textId="77777777">
            <w:r w:rsidRPr="002A25D0">
              <w:t>84500</w:t>
            </w:r>
          </w:p>
        </w:tc>
      </w:tr>
      <w:tr w14:paraId="0B7111E1" w14:textId="77777777" w:rsidTr="0083305B">
        <w:tblPrEx>
          <w:tblW w:w="7500" w:type="dxa"/>
          <w:jc w:val="center"/>
          <w:tblCellMar>
            <w:top w:w="15" w:type="dxa"/>
            <w:bottom w:w="15" w:type="dxa"/>
          </w:tblCellMar>
          <w:tblLook w:val="04A0"/>
        </w:tblPrEx>
        <w:trPr>
          <w:trHeight w:val="300"/>
          <w:jc w:val="center"/>
        </w:trPr>
        <w:tc>
          <w:tcPr>
            <w:tcW w:w="3743" w:type="dxa"/>
            <w:noWrap/>
            <w:vAlign w:val="center"/>
          </w:tcPr>
          <w:p w:rsidR="00A6145B" w:rsidRPr="00447371" w:rsidP="0083305B" w14:paraId="2B79BF62" w14:textId="77777777">
            <w:r>
              <w:t>75250</w:t>
            </w:r>
          </w:p>
        </w:tc>
        <w:tc>
          <w:tcPr>
            <w:tcW w:w="3757" w:type="dxa"/>
            <w:noWrap/>
            <w:vAlign w:val="center"/>
          </w:tcPr>
          <w:p w:rsidR="00A6145B" w:rsidRPr="002A25D0" w:rsidP="0083305B" w14:paraId="78AFCDA4" w14:textId="77777777">
            <w:r w:rsidRPr="002A25D0">
              <w:t>85250</w:t>
            </w:r>
          </w:p>
        </w:tc>
      </w:tr>
    </w:tbl>
    <w:p w:rsidR="00A6145B" w:rsidRPr="00447371" w:rsidP="00FC552B" w14:paraId="0BC79D9D" w14:textId="77777777">
      <w:pPr>
        <w:pStyle w:val="ListParagraph"/>
        <w:spacing w:before="240" w:after="240"/>
      </w:pPr>
      <w:r>
        <w:t xml:space="preserve">(iv) </w:t>
      </w:r>
      <w:r w:rsidRPr="006D621A">
        <w:rPr>
          <w:i/>
          <w:iCs/>
        </w:rPr>
        <w:t>1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76C9BB45"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03F63E58"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18C27330" w14:textId="77777777">
            <w:pPr>
              <w:jc w:val="center"/>
              <w:rPr>
                <w:b/>
                <w:kern w:val="0"/>
              </w:rPr>
            </w:pPr>
            <w:r w:rsidRPr="00447371">
              <w:rPr>
                <w:b/>
                <w:kern w:val="0"/>
              </w:rPr>
              <w:t>Receive (transmit) (MHz)</w:t>
            </w:r>
          </w:p>
        </w:tc>
      </w:tr>
      <w:tr w14:paraId="0469809D"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3422472B" w14:textId="77777777">
            <w:r w:rsidRPr="00447371">
              <w:t>71625</w:t>
            </w:r>
          </w:p>
        </w:tc>
        <w:tc>
          <w:tcPr>
            <w:tcW w:w="3757" w:type="dxa"/>
            <w:noWrap/>
            <w:vAlign w:val="center"/>
            <w:hideMark/>
          </w:tcPr>
          <w:p w:rsidR="00A6145B" w:rsidRPr="00447371" w:rsidP="0083305B" w14:paraId="22111543" w14:textId="77777777">
            <w:r w:rsidRPr="00447371">
              <w:t>81625</w:t>
            </w:r>
          </w:p>
        </w:tc>
      </w:tr>
      <w:tr w14:paraId="0003A922"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5E77AF45" w14:textId="77777777">
            <w:r w:rsidRPr="00447371">
              <w:t>72625</w:t>
            </w:r>
          </w:p>
        </w:tc>
        <w:tc>
          <w:tcPr>
            <w:tcW w:w="3757" w:type="dxa"/>
            <w:noWrap/>
            <w:vAlign w:val="center"/>
            <w:hideMark/>
          </w:tcPr>
          <w:p w:rsidR="00A6145B" w:rsidRPr="00447371" w:rsidP="0083305B" w14:paraId="308BD8A9" w14:textId="77777777">
            <w:r w:rsidRPr="00447371">
              <w:t>82625</w:t>
            </w:r>
          </w:p>
        </w:tc>
      </w:tr>
      <w:tr w14:paraId="5B4AAE24"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277C39BF" w14:textId="77777777">
            <w:r w:rsidRPr="00447371">
              <w:t>74125</w:t>
            </w:r>
          </w:p>
        </w:tc>
        <w:tc>
          <w:tcPr>
            <w:tcW w:w="3757" w:type="dxa"/>
            <w:noWrap/>
            <w:vAlign w:val="center"/>
            <w:hideMark/>
          </w:tcPr>
          <w:p w:rsidR="00A6145B" w:rsidRPr="00447371" w:rsidP="0083305B" w14:paraId="63C0174C" w14:textId="77777777">
            <w:r w:rsidRPr="00447371">
              <w:t>84125</w:t>
            </w:r>
          </w:p>
        </w:tc>
      </w:tr>
      <w:tr w14:paraId="2274F57F"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5B07700C" w14:textId="77777777">
            <w:r w:rsidRPr="00447371">
              <w:t>75125</w:t>
            </w:r>
          </w:p>
        </w:tc>
        <w:tc>
          <w:tcPr>
            <w:tcW w:w="3757" w:type="dxa"/>
            <w:noWrap/>
            <w:vAlign w:val="center"/>
            <w:hideMark/>
          </w:tcPr>
          <w:p w:rsidR="00A6145B" w:rsidRPr="00447371" w:rsidP="0083305B" w14:paraId="47625573" w14:textId="77777777">
            <w:r w:rsidRPr="00447371">
              <w:t>85125</w:t>
            </w:r>
          </w:p>
        </w:tc>
      </w:tr>
    </w:tbl>
    <w:p w:rsidR="00A6145B" w:rsidRPr="00447371" w:rsidP="00A6145B" w14:paraId="7BFABF02" w14:textId="77777777">
      <w:pPr>
        <w:pStyle w:val="ListParagraph"/>
        <w:keepNext/>
        <w:spacing w:before="240" w:after="240"/>
      </w:pPr>
      <w:r>
        <w:t xml:space="preserve">(v) </w:t>
      </w:r>
      <w:r w:rsidRPr="006D621A">
        <w:rPr>
          <w:i/>
          <w:iCs/>
        </w:rPr>
        <w:t>1.25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606458E5"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5D7EA091"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5DE2C9CB" w14:textId="77777777">
            <w:pPr>
              <w:jc w:val="center"/>
              <w:rPr>
                <w:b/>
                <w:kern w:val="0"/>
              </w:rPr>
            </w:pPr>
            <w:r w:rsidRPr="00447371">
              <w:rPr>
                <w:b/>
                <w:kern w:val="0"/>
              </w:rPr>
              <w:t>Receive (transmit) (MHz)</w:t>
            </w:r>
          </w:p>
        </w:tc>
      </w:tr>
      <w:tr w14:paraId="09F9B743"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04B33577" w14:textId="77777777">
            <w:r w:rsidRPr="00447371">
              <w:t>71750</w:t>
            </w:r>
          </w:p>
        </w:tc>
        <w:tc>
          <w:tcPr>
            <w:tcW w:w="3757" w:type="dxa"/>
            <w:noWrap/>
            <w:vAlign w:val="center"/>
            <w:hideMark/>
          </w:tcPr>
          <w:p w:rsidR="00A6145B" w:rsidRPr="00447371" w:rsidP="0083305B" w14:paraId="6A16DBC3" w14:textId="77777777">
            <w:r w:rsidRPr="00447371">
              <w:t>81750</w:t>
            </w:r>
          </w:p>
        </w:tc>
      </w:tr>
      <w:tr w14:paraId="2EA18E66"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4BF83CA3" w14:textId="77777777">
            <w:r w:rsidRPr="00447371">
              <w:t>73000</w:t>
            </w:r>
          </w:p>
        </w:tc>
        <w:tc>
          <w:tcPr>
            <w:tcW w:w="3757" w:type="dxa"/>
            <w:noWrap/>
            <w:vAlign w:val="center"/>
            <w:hideMark/>
          </w:tcPr>
          <w:p w:rsidR="00A6145B" w:rsidRPr="00447371" w:rsidP="0083305B" w14:paraId="0D3B1501" w14:textId="77777777">
            <w:r w:rsidRPr="00447371">
              <w:t>83000</w:t>
            </w:r>
          </w:p>
        </w:tc>
      </w:tr>
      <w:tr w14:paraId="174F5EB9"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06E09A07" w14:textId="77777777">
            <w:r w:rsidRPr="00447371">
              <w:t>74250</w:t>
            </w:r>
          </w:p>
        </w:tc>
        <w:tc>
          <w:tcPr>
            <w:tcW w:w="3757" w:type="dxa"/>
            <w:noWrap/>
            <w:vAlign w:val="center"/>
            <w:hideMark/>
          </w:tcPr>
          <w:p w:rsidR="00A6145B" w:rsidRPr="00447371" w:rsidP="0083305B" w14:paraId="7181B025" w14:textId="77777777">
            <w:r w:rsidRPr="00447371">
              <w:t>84250</w:t>
            </w:r>
          </w:p>
        </w:tc>
      </w:tr>
    </w:tbl>
    <w:p w:rsidR="00A6145B" w:rsidRPr="00447371" w:rsidP="00A6145B" w14:paraId="5AF1AC9B" w14:textId="77777777">
      <w:pPr>
        <w:pStyle w:val="ListParagraph"/>
        <w:spacing w:before="240" w:after="240"/>
      </w:pPr>
      <w:r>
        <w:t xml:space="preserve">(vi) </w:t>
      </w:r>
      <w:r w:rsidRPr="006D621A">
        <w:rPr>
          <w:i/>
          <w:iCs/>
        </w:rPr>
        <w:t>1.5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66DF372C"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0477A881"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7D880971" w14:textId="77777777">
            <w:pPr>
              <w:jc w:val="center"/>
              <w:rPr>
                <w:b/>
                <w:kern w:val="0"/>
              </w:rPr>
            </w:pPr>
            <w:r w:rsidRPr="00447371">
              <w:rPr>
                <w:b/>
                <w:kern w:val="0"/>
              </w:rPr>
              <w:t>Receive (transmit) (MHz)</w:t>
            </w:r>
          </w:p>
        </w:tc>
      </w:tr>
      <w:tr w14:paraId="341C148F"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1C548E65" w14:textId="77777777">
            <w:r w:rsidRPr="00447371">
              <w:t>71875</w:t>
            </w:r>
          </w:p>
        </w:tc>
        <w:tc>
          <w:tcPr>
            <w:tcW w:w="3757" w:type="dxa"/>
            <w:noWrap/>
            <w:vAlign w:val="center"/>
            <w:hideMark/>
          </w:tcPr>
          <w:p w:rsidR="00A6145B" w:rsidRPr="00447371" w:rsidP="0083305B" w14:paraId="72E77262" w14:textId="77777777">
            <w:r w:rsidRPr="00447371">
              <w:t>81875</w:t>
            </w:r>
          </w:p>
        </w:tc>
      </w:tr>
      <w:tr w14:paraId="43152852"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344D8EA3" w14:textId="77777777">
            <w:r w:rsidRPr="00447371">
              <w:t>74375</w:t>
            </w:r>
          </w:p>
        </w:tc>
        <w:tc>
          <w:tcPr>
            <w:tcW w:w="3757" w:type="dxa"/>
            <w:noWrap/>
            <w:vAlign w:val="center"/>
            <w:hideMark/>
          </w:tcPr>
          <w:p w:rsidR="00A6145B" w:rsidRPr="00447371" w:rsidP="0083305B" w14:paraId="1E65D125" w14:textId="77777777">
            <w:r w:rsidRPr="00447371">
              <w:t>84375</w:t>
            </w:r>
          </w:p>
        </w:tc>
      </w:tr>
    </w:tbl>
    <w:p w:rsidR="00A6145B" w:rsidRPr="006D621A" w:rsidP="00A6145B" w14:paraId="1DB8AE41" w14:textId="77777777">
      <w:pPr>
        <w:pStyle w:val="ListParagraph"/>
        <w:spacing w:before="240" w:after="240"/>
        <w:rPr>
          <w:i/>
          <w:iCs/>
        </w:rPr>
      </w:pPr>
      <w:r>
        <w:t xml:space="preserve">(vii) </w:t>
      </w:r>
      <w:r w:rsidRPr="006D621A">
        <w:rPr>
          <w:i/>
          <w:iCs/>
        </w:rPr>
        <w:t>1.75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260054D8"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5101ACA2"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4848A575" w14:textId="77777777">
            <w:pPr>
              <w:jc w:val="center"/>
              <w:rPr>
                <w:b/>
                <w:kern w:val="0"/>
              </w:rPr>
            </w:pPr>
            <w:r w:rsidRPr="00447371">
              <w:rPr>
                <w:b/>
                <w:kern w:val="0"/>
              </w:rPr>
              <w:t>Receive (transmit) (MHz)</w:t>
            </w:r>
          </w:p>
        </w:tc>
      </w:tr>
      <w:tr w14:paraId="68C9E072"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75C3A60D" w14:textId="77777777">
            <w:r w:rsidRPr="00447371">
              <w:t>72000</w:t>
            </w:r>
          </w:p>
        </w:tc>
        <w:tc>
          <w:tcPr>
            <w:tcW w:w="3757" w:type="dxa"/>
            <w:noWrap/>
            <w:vAlign w:val="center"/>
            <w:hideMark/>
          </w:tcPr>
          <w:p w:rsidR="00A6145B" w:rsidRPr="00447371" w:rsidP="0083305B" w14:paraId="6DC63AC7" w14:textId="77777777">
            <w:r w:rsidRPr="00447371">
              <w:t>82000</w:t>
            </w:r>
          </w:p>
        </w:tc>
      </w:tr>
      <w:tr w14:paraId="217C6906"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23B474DE" w14:textId="77777777">
            <w:r w:rsidRPr="00447371">
              <w:t>74500</w:t>
            </w:r>
          </w:p>
        </w:tc>
        <w:tc>
          <w:tcPr>
            <w:tcW w:w="3757" w:type="dxa"/>
            <w:noWrap/>
            <w:vAlign w:val="center"/>
            <w:hideMark/>
          </w:tcPr>
          <w:p w:rsidR="00A6145B" w:rsidRPr="00447371" w:rsidP="0083305B" w14:paraId="5CF4415D" w14:textId="77777777">
            <w:r w:rsidRPr="00447371">
              <w:t>84500</w:t>
            </w:r>
          </w:p>
        </w:tc>
      </w:tr>
    </w:tbl>
    <w:p w:rsidR="00A6145B" w:rsidRPr="00447371" w:rsidP="00A6145B" w14:paraId="3CD5D5A9" w14:textId="77777777">
      <w:pPr>
        <w:pStyle w:val="ListParagraph"/>
        <w:spacing w:before="240" w:after="240"/>
      </w:pPr>
      <w:r>
        <w:t xml:space="preserve">(viii) </w:t>
      </w:r>
      <w:r w:rsidRPr="006D621A">
        <w:rPr>
          <w:i/>
          <w:iCs/>
        </w:rPr>
        <w:t>2.0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7C496321"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72727CFF"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2D324337" w14:textId="77777777">
            <w:pPr>
              <w:jc w:val="center"/>
              <w:rPr>
                <w:b/>
                <w:kern w:val="0"/>
              </w:rPr>
            </w:pPr>
            <w:r w:rsidRPr="00447371">
              <w:rPr>
                <w:b/>
                <w:kern w:val="0"/>
              </w:rPr>
              <w:t>Receive (transmit) (MHz)</w:t>
            </w:r>
          </w:p>
        </w:tc>
      </w:tr>
      <w:tr w14:paraId="4ECB55D0"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266CD423" w14:textId="77777777">
            <w:r w:rsidRPr="00447371">
              <w:t>72125</w:t>
            </w:r>
          </w:p>
        </w:tc>
        <w:tc>
          <w:tcPr>
            <w:tcW w:w="3757" w:type="dxa"/>
            <w:noWrap/>
            <w:vAlign w:val="center"/>
            <w:hideMark/>
          </w:tcPr>
          <w:p w:rsidR="00A6145B" w:rsidRPr="00447371" w:rsidP="0083305B" w14:paraId="381312F7" w14:textId="77777777">
            <w:r w:rsidRPr="00447371">
              <w:t>82125</w:t>
            </w:r>
          </w:p>
        </w:tc>
      </w:tr>
      <w:tr w14:paraId="70C01165"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69A7DC5C" w14:textId="77777777">
            <w:r w:rsidRPr="00447371">
              <w:t>74625</w:t>
            </w:r>
          </w:p>
        </w:tc>
        <w:tc>
          <w:tcPr>
            <w:tcW w:w="3757" w:type="dxa"/>
            <w:noWrap/>
            <w:vAlign w:val="center"/>
            <w:hideMark/>
          </w:tcPr>
          <w:p w:rsidR="00A6145B" w:rsidRPr="00447371" w:rsidP="0083305B" w14:paraId="67BDA06B" w14:textId="77777777">
            <w:r w:rsidRPr="00447371">
              <w:t>84625</w:t>
            </w:r>
          </w:p>
        </w:tc>
      </w:tr>
    </w:tbl>
    <w:p w:rsidR="00A6145B" w:rsidRPr="00447371" w:rsidP="00A6145B" w14:paraId="13683872" w14:textId="77777777">
      <w:pPr>
        <w:pStyle w:val="ListParagraph"/>
        <w:keepNext/>
        <w:spacing w:before="240" w:after="240"/>
      </w:pPr>
      <w:r>
        <w:t xml:space="preserve">(ix) </w:t>
      </w:r>
      <w:r w:rsidRPr="006D621A">
        <w:rPr>
          <w:i/>
          <w:iCs/>
        </w:rPr>
        <w:t>2.25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1F9F7764"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204A1E7F"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5680A0A3" w14:textId="77777777">
            <w:pPr>
              <w:jc w:val="center"/>
              <w:rPr>
                <w:b/>
                <w:kern w:val="0"/>
              </w:rPr>
            </w:pPr>
            <w:r w:rsidRPr="00447371">
              <w:rPr>
                <w:b/>
                <w:kern w:val="0"/>
              </w:rPr>
              <w:t>Receive (transmit) (MHz)</w:t>
            </w:r>
          </w:p>
        </w:tc>
      </w:tr>
      <w:tr w14:paraId="64537B13"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43B3F991" w14:textId="77777777">
            <w:r w:rsidRPr="00447371">
              <w:t>72250</w:t>
            </w:r>
          </w:p>
        </w:tc>
        <w:tc>
          <w:tcPr>
            <w:tcW w:w="3757" w:type="dxa"/>
            <w:noWrap/>
            <w:vAlign w:val="center"/>
            <w:hideMark/>
          </w:tcPr>
          <w:p w:rsidR="00A6145B" w:rsidRPr="00447371" w:rsidP="0083305B" w14:paraId="6A79F907" w14:textId="77777777">
            <w:r w:rsidRPr="00447371">
              <w:t>82250</w:t>
            </w:r>
          </w:p>
        </w:tc>
      </w:tr>
      <w:tr w14:paraId="48111A49"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71A57991" w14:textId="77777777">
            <w:r w:rsidRPr="00447371">
              <w:t>74750</w:t>
            </w:r>
          </w:p>
        </w:tc>
        <w:tc>
          <w:tcPr>
            <w:tcW w:w="3757" w:type="dxa"/>
            <w:noWrap/>
            <w:vAlign w:val="center"/>
            <w:hideMark/>
          </w:tcPr>
          <w:p w:rsidR="00A6145B" w:rsidRPr="00447371" w:rsidP="0083305B" w14:paraId="74359E91" w14:textId="77777777">
            <w:r w:rsidRPr="00447371">
              <w:t>84750</w:t>
            </w:r>
          </w:p>
        </w:tc>
      </w:tr>
    </w:tbl>
    <w:p w:rsidR="00A6145B" w:rsidRPr="00447371" w:rsidP="00A6145B" w14:paraId="532A34DD" w14:textId="77777777">
      <w:pPr>
        <w:pStyle w:val="ListParagraph"/>
        <w:spacing w:before="240" w:after="240"/>
      </w:pPr>
      <w:r>
        <w:t xml:space="preserve">(x) </w:t>
      </w:r>
      <w:r w:rsidRPr="006D621A">
        <w:rPr>
          <w:i/>
          <w:iCs/>
        </w:rPr>
        <w:t>2.5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3B2CF51F"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153AF407"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11B0800C" w14:textId="77777777">
            <w:pPr>
              <w:jc w:val="center"/>
              <w:rPr>
                <w:b/>
                <w:kern w:val="0"/>
              </w:rPr>
            </w:pPr>
            <w:r w:rsidRPr="00447371">
              <w:rPr>
                <w:b/>
                <w:kern w:val="0"/>
              </w:rPr>
              <w:t>Receive (transmit) (MHz)</w:t>
            </w:r>
          </w:p>
        </w:tc>
      </w:tr>
      <w:tr w14:paraId="33AE9DC9"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46C478E8" w14:textId="77777777">
            <w:r w:rsidRPr="00447371">
              <w:t>72375</w:t>
            </w:r>
          </w:p>
        </w:tc>
        <w:tc>
          <w:tcPr>
            <w:tcW w:w="3757" w:type="dxa"/>
            <w:noWrap/>
            <w:vAlign w:val="center"/>
            <w:hideMark/>
          </w:tcPr>
          <w:p w:rsidR="00A6145B" w:rsidRPr="00447371" w:rsidP="0083305B" w14:paraId="7A5F4387" w14:textId="77777777">
            <w:r w:rsidRPr="00447371">
              <w:t>82375</w:t>
            </w:r>
          </w:p>
        </w:tc>
      </w:tr>
    </w:tbl>
    <w:p w:rsidR="00A6145B" w:rsidRPr="00447371" w:rsidP="00A6145B" w14:paraId="4CE7F8B8" w14:textId="77777777">
      <w:pPr>
        <w:pStyle w:val="ListParagraph"/>
        <w:spacing w:before="240" w:after="240"/>
      </w:pPr>
      <w:r>
        <w:t xml:space="preserve">(xi) </w:t>
      </w:r>
      <w:r w:rsidRPr="006D621A">
        <w:rPr>
          <w:i/>
          <w:iCs/>
        </w:rPr>
        <w:t>2.75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5E1EEC3C"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7A3D765E"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22F2F7F3" w14:textId="77777777">
            <w:pPr>
              <w:jc w:val="center"/>
              <w:rPr>
                <w:b/>
                <w:kern w:val="0"/>
              </w:rPr>
            </w:pPr>
            <w:r w:rsidRPr="00447371">
              <w:rPr>
                <w:b/>
                <w:kern w:val="0"/>
              </w:rPr>
              <w:t>Receive (transmit) (MHz)</w:t>
            </w:r>
          </w:p>
        </w:tc>
      </w:tr>
      <w:tr w14:paraId="52B2B417"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63599429" w14:textId="77777777">
            <w:r w:rsidRPr="00447371">
              <w:t>72500</w:t>
            </w:r>
          </w:p>
        </w:tc>
        <w:tc>
          <w:tcPr>
            <w:tcW w:w="3757" w:type="dxa"/>
            <w:noWrap/>
            <w:vAlign w:val="center"/>
            <w:hideMark/>
          </w:tcPr>
          <w:p w:rsidR="00A6145B" w:rsidRPr="00447371" w:rsidP="0083305B" w14:paraId="7E95C4FA" w14:textId="77777777">
            <w:r w:rsidRPr="00447371">
              <w:t>82500</w:t>
            </w:r>
          </w:p>
        </w:tc>
      </w:tr>
    </w:tbl>
    <w:p w:rsidR="00A6145B" w:rsidRPr="00447371" w:rsidP="00A6145B" w14:paraId="2CB3A734" w14:textId="77777777">
      <w:pPr>
        <w:pStyle w:val="ListParagraph"/>
        <w:spacing w:before="240" w:after="240"/>
      </w:pPr>
      <w:r>
        <w:t xml:space="preserve">(xii) </w:t>
      </w:r>
      <w:r w:rsidRPr="006D621A">
        <w:rPr>
          <w:i/>
          <w:iCs/>
        </w:rPr>
        <w:t>3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1CC72440"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03224F5C"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564B2B40" w14:textId="77777777">
            <w:pPr>
              <w:jc w:val="center"/>
              <w:rPr>
                <w:b/>
                <w:kern w:val="0"/>
              </w:rPr>
            </w:pPr>
            <w:r w:rsidRPr="00447371">
              <w:rPr>
                <w:b/>
                <w:kern w:val="0"/>
              </w:rPr>
              <w:t>Receive (transmit) (MHz)</w:t>
            </w:r>
          </w:p>
        </w:tc>
      </w:tr>
      <w:tr w14:paraId="7738C706"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1EC6683E" w14:textId="77777777">
            <w:r w:rsidRPr="00447371">
              <w:t>72625</w:t>
            </w:r>
          </w:p>
        </w:tc>
        <w:tc>
          <w:tcPr>
            <w:tcW w:w="3757" w:type="dxa"/>
            <w:noWrap/>
            <w:vAlign w:val="center"/>
            <w:hideMark/>
          </w:tcPr>
          <w:p w:rsidR="00A6145B" w:rsidRPr="00447371" w:rsidP="0083305B" w14:paraId="3C99E6D1" w14:textId="77777777">
            <w:r w:rsidRPr="00447371">
              <w:t>82625</w:t>
            </w:r>
          </w:p>
        </w:tc>
      </w:tr>
    </w:tbl>
    <w:p w:rsidR="00A6145B" w:rsidRPr="00447371" w:rsidP="00A6145B" w14:paraId="58382EFC" w14:textId="77777777">
      <w:pPr>
        <w:pStyle w:val="ListParagraph"/>
        <w:spacing w:before="240" w:after="240"/>
      </w:pPr>
      <w:r>
        <w:t xml:space="preserve">(xiii) </w:t>
      </w:r>
      <w:r w:rsidRPr="006D621A">
        <w:rPr>
          <w:i/>
          <w:iCs/>
        </w:rPr>
        <w:t>3.25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465D2611"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7E6F527C"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0FBC5031" w14:textId="77777777">
            <w:pPr>
              <w:jc w:val="center"/>
              <w:rPr>
                <w:b/>
                <w:kern w:val="0"/>
              </w:rPr>
            </w:pPr>
            <w:r w:rsidRPr="00447371">
              <w:rPr>
                <w:b/>
                <w:kern w:val="0"/>
              </w:rPr>
              <w:t>Receive (transmit) (MHz)</w:t>
            </w:r>
          </w:p>
        </w:tc>
      </w:tr>
      <w:tr w14:paraId="1DC05943"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7E8A31D7" w14:textId="77777777">
            <w:r w:rsidRPr="00447371">
              <w:t>72750</w:t>
            </w:r>
          </w:p>
        </w:tc>
        <w:tc>
          <w:tcPr>
            <w:tcW w:w="3757" w:type="dxa"/>
            <w:noWrap/>
            <w:vAlign w:val="center"/>
            <w:hideMark/>
          </w:tcPr>
          <w:p w:rsidR="00A6145B" w:rsidRPr="00447371" w:rsidP="0083305B" w14:paraId="16A6F2E1" w14:textId="77777777">
            <w:r w:rsidRPr="00447371">
              <w:t>82750</w:t>
            </w:r>
          </w:p>
        </w:tc>
      </w:tr>
    </w:tbl>
    <w:p w:rsidR="00A6145B" w:rsidRPr="00447371" w:rsidP="00A6145B" w14:paraId="772D29AA" w14:textId="77777777">
      <w:pPr>
        <w:pStyle w:val="ListParagraph"/>
        <w:spacing w:before="240" w:after="240"/>
      </w:pPr>
      <w:r>
        <w:t xml:space="preserve">(xiv) </w:t>
      </w:r>
      <w:r w:rsidRPr="00447371">
        <w:t>3.5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1CF34F66"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1AA46628"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2FEFC8B3" w14:textId="77777777">
            <w:pPr>
              <w:jc w:val="center"/>
              <w:rPr>
                <w:b/>
                <w:kern w:val="0"/>
              </w:rPr>
            </w:pPr>
            <w:r w:rsidRPr="00447371">
              <w:rPr>
                <w:b/>
                <w:kern w:val="0"/>
              </w:rPr>
              <w:t>Receive (transmit) (MHz)</w:t>
            </w:r>
          </w:p>
        </w:tc>
      </w:tr>
      <w:tr w14:paraId="6B727522"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3D39C3C3" w14:textId="77777777">
            <w:r w:rsidRPr="00447371">
              <w:t>72875</w:t>
            </w:r>
          </w:p>
        </w:tc>
        <w:tc>
          <w:tcPr>
            <w:tcW w:w="3757" w:type="dxa"/>
            <w:noWrap/>
            <w:vAlign w:val="center"/>
            <w:hideMark/>
          </w:tcPr>
          <w:p w:rsidR="00A6145B" w:rsidRPr="00447371" w:rsidP="0083305B" w14:paraId="6C17E328" w14:textId="77777777">
            <w:r w:rsidRPr="00447371">
              <w:t>82875</w:t>
            </w:r>
          </w:p>
        </w:tc>
      </w:tr>
    </w:tbl>
    <w:p w:rsidR="00A6145B" w:rsidRPr="00447371" w:rsidP="00A6145B" w14:paraId="21048015" w14:textId="77777777">
      <w:pPr>
        <w:pStyle w:val="ListParagraph"/>
        <w:spacing w:before="240" w:after="240"/>
      </w:pPr>
      <w:r>
        <w:t xml:space="preserve">(xv) </w:t>
      </w:r>
      <w:r w:rsidRPr="006D621A">
        <w:rPr>
          <w:i/>
          <w:iCs/>
        </w:rPr>
        <w:t>3.75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58311053"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44B25A4E"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093F306A" w14:textId="77777777">
            <w:pPr>
              <w:jc w:val="center"/>
              <w:rPr>
                <w:b/>
                <w:kern w:val="0"/>
              </w:rPr>
            </w:pPr>
            <w:r w:rsidRPr="00447371">
              <w:rPr>
                <w:b/>
                <w:kern w:val="0"/>
              </w:rPr>
              <w:t>Receive (transmit) (MHz)</w:t>
            </w:r>
          </w:p>
        </w:tc>
      </w:tr>
      <w:tr w14:paraId="61A67594"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6D4C145F" w14:textId="77777777">
            <w:r w:rsidRPr="00447371">
              <w:t>73000</w:t>
            </w:r>
          </w:p>
        </w:tc>
        <w:tc>
          <w:tcPr>
            <w:tcW w:w="3757" w:type="dxa"/>
            <w:noWrap/>
            <w:vAlign w:val="center"/>
            <w:hideMark/>
          </w:tcPr>
          <w:p w:rsidR="00A6145B" w:rsidRPr="00447371" w:rsidP="0083305B" w14:paraId="1AB660A6" w14:textId="77777777">
            <w:r w:rsidRPr="00447371">
              <w:t>83000</w:t>
            </w:r>
          </w:p>
        </w:tc>
      </w:tr>
    </w:tbl>
    <w:p w:rsidR="00A6145B" w:rsidRPr="00447371" w:rsidP="00A6145B" w14:paraId="49F98E39" w14:textId="77777777">
      <w:pPr>
        <w:pStyle w:val="ListParagraph"/>
        <w:spacing w:before="240" w:after="240"/>
      </w:pPr>
      <w:r>
        <w:t xml:space="preserve">(xvi) </w:t>
      </w:r>
      <w:r w:rsidRPr="006D621A">
        <w:rPr>
          <w:i/>
          <w:iCs/>
        </w:rPr>
        <w:t>4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0DE27DD7"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05D20A49"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65E1435F" w14:textId="77777777">
            <w:pPr>
              <w:jc w:val="center"/>
              <w:rPr>
                <w:b/>
                <w:kern w:val="0"/>
              </w:rPr>
            </w:pPr>
            <w:r w:rsidRPr="00447371">
              <w:rPr>
                <w:b/>
                <w:kern w:val="0"/>
              </w:rPr>
              <w:t>Receive (transmit) (MHz)</w:t>
            </w:r>
          </w:p>
        </w:tc>
      </w:tr>
      <w:tr w14:paraId="2FCA9AF8"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45024AEA" w14:textId="77777777">
            <w:r w:rsidRPr="00447371">
              <w:t>73125</w:t>
            </w:r>
          </w:p>
        </w:tc>
        <w:tc>
          <w:tcPr>
            <w:tcW w:w="3757" w:type="dxa"/>
            <w:noWrap/>
            <w:vAlign w:val="center"/>
            <w:hideMark/>
          </w:tcPr>
          <w:p w:rsidR="00A6145B" w:rsidRPr="00447371" w:rsidP="0083305B" w14:paraId="0400DA7D" w14:textId="77777777">
            <w:r w:rsidRPr="00447371">
              <w:t>83125</w:t>
            </w:r>
          </w:p>
        </w:tc>
      </w:tr>
    </w:tbl>
    <w:p w:rsidR="00A6145B" w:rsidRPr="00447371" w:rsidP="00A6145B" w14:paraId="0AA7E05B" w14:textId="77777777">
      <w:pPr>
        <w:pStyle w:val="ListParagraph"/>
        <w:spacing w:before="240" w:after="240"/>
      </w:pPr>
      <w:r>
        <w:t xml:space="preserve">(xvii) </w:t>
      </w:r>
      <w:r w:rsidRPr="006D621A">
        <w:rPr>
          <w:i/>
          <w:iCs/>
        </w:rPr>
        <w:t>4.25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75BA86DE"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6556C8BD"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4D5FF804" w14:textId="77777777">
            <w:pPr>
              <w:jc w:val="center"/>
              <w:rPr>
                <w:b/>
                <w:kern w:val="0"/>
              </w:rPr>
            </w:pPr>
            <w:r w:rsidRPr="00447371">
              <w:rPr>
                <w:b/>
                <w:kern w:val="0"/>
              </w:rPr>
              <w:t>Receive (transmit) (MHz)</w:t>
            </w:r>
          </w:p>
        </w:tc>
      </w:tr>
      <w:tr w14:paraId="6FE1EFF8"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0FD4F58D" w14:textId="77777777">
            <w:r w:rsidRPr="00447371">
              <w:t>73250</w:t>
            </w:r>
          </w:p>
        </w:tc>
        <w:tc>
          <w:tcPr>
            <w:tcW w:w="3757" w:type="dxa"/>
            <w:noWrap/>
            <w:vAlign w:val="center"/>
            <w:hideMark/>
          </w:tcPr>
          <w:p w:rsidR="00A6145B" w:rsidRPr="00447371" w:rsidP="0083305B" w14:paraId="77DCE249" w14:textId="77777777">
            <w:r w:rsidRPr="00447371">
              <w:t>83250</w:t>
            </w:r>
          </w:p>
        </w:tc>
      </w:tr>
    </w:tbl>
    <w:p w:rsidR="00A6145B" w:rsidRPr="00447371" w:rsidP="00A6145B" w14:paraId="49BFFB33" w14:textId="77777777">
      <w:pPr>
        <w:pStyle w:val="ListParagraph"/>
        <w:keepNext/>
        <w:spacing w:before="240" w:after="240"/>
      </w:pPr>
      <w:r>
        <w:t xml:space="preserve">(xviii) </w:t>
      </w:r>
      <w:r w:rsidRPr="006D621A">
        <w:rPr>
          <w:i/>
          <w:iCs/>
        </w:rPr>
        <w:t>4.5 GHz authorized bandwidth.</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743"/>
        <w:gridCol w:w="3757"/>
      </w:tblGrid>
      <w:tr w14:paraId="2C62324D" w14:textId="77777777" w:rsidTr="0083305B">
        <w:tblPrEx>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00"/>
          <w:jc w:val="center"/>
        </w:trPr>
        <w:tc>
          <w:tcPr>
            <w:tcW w:w="3743" w:type="dxa"/>
            <w:noWrap/>
            <w:vAlign w:val="center"/>
            <w:hideMark/>
          </w:tcPr>
          <w:p w:rsidR="00A6145B" w:rsidRPr="00447371" w:rsidP="0083305B" w14:paraId="6514A1FA" w14:textId="77777777">
            <w:pPr>
              <w:jc w:val="center"/>
              <w:rPr>
                <w:b/>
                <w:kern w:val="0"/>
              </w:rPr>
            </w:pPr>
            <w:r w:rsidRPr="00447371">
              <w:rPr>
                <w:b/>
                <w:kern w:val="0"/>
              </w:rPr>
              <w:t>Transmit (receive) (MHz)</w:t>
            </w:r>
          </w:p>
        </w:tc>
        <w:tc>
          <w:tcPr>
            <w:tcW w:w="3757" w:type="dxa"/>
            <w:noWrap/>
            <w:vAlign w:val="center"/>
            <w:hideMark/>
          </w:tcPr>
          <w:p w:rsidR="00A6145B" w:rsidRPr="00447371" w:rsidP="0083305B" w14:paraId="6396D47A" w14:textId="77777777">
            <w:pPr>
              <w:jc w:val="center"/>
              <w:rPr>
                <w:b/>
                <w:kern w:val="0"/>
              </w:rPr>
            </w:pPr>
            <w:r w:rsidRPr="00447371">
              <w:rPr>
                <w:b/>
                <w:kern w:val="0"/>
              </w:rPr>
              <w:t>Receive (transmit) (MHz)</w:t>
            </w:r>
          </w:p>
        </w:tc>
      </w:tr>
      <w:tr w14:paraId="57FDC33F" w14:textId="77777777" w:rsidTr="0083305B">
        <w:tblPrEx>
          <w:tblW w:w="7500" w:type="dxa"/>
          <w:jc w:val="center"/>
          <w:tblCellMar>
            <w:top w:w="15" w:type="dxa"/>
            <w:bottom w:w="15" w:type="dxa"/>
          </w:tblCellMar>
          <w:tblLook w:val="04A0"/>
        </w:tblPrEx>
        <w:trPr>
          <w:trHeight w:val="300"/>
          <w:jc w:val="center"/>
        </w:trPr>
        <w:tc>
          <w:tcPr>
            <w:tcW w:w="3743" w:type="dxa"/>
            <w:noWrap/>
            <w:vAlign w:val="center"/>
            <w:hideMark/>
          </w:tcPr>
          <w:p w:rsidR="00A6145B" w:rsidRPr="00447371" w:rsidP="0083305B" w14:paraId="4E306F9D" w14:textId="77777777">
            <w:r w:rsidRPr="00447371">
              <w:t>73375</w:t>
            </w:r>
          </w:p>
        </w:tc>
        <w:tc>
          <w:tcPr>
            <w:tcW w:w="3757" w:type="dxa"/>
            <w:noWrap/>
            <w:vAlign w:val="center"/>
            <w:hideMark/>
          </w:tcPr>
          <w:p w:rsidR="00A6145B" w:rsidRPr="00447371" w:rsidP="0083305B" w14:paraId="3336CA5B" w14:textId="77777777">
            <w:r w:rsidRPr="00447371">
              <w:t>83375</w:t>
            </w:r>
          </w:p>
        </w:tc>
      </w:tr>
    </w:tbl>
    <w:p w:rsidR="00A6145B" w:rsidP="00A6145B" w14:paraId="3D383EF3" w14:textId="77777777">
      <w:pPr>
        <w:pStyle w:val="ListParagraph"/>
        <w:numPr>
          <w:ilvl w:val="0"/>
          <w:numId w:val="14"/>
        </w:numPr>
        <w:spacing w:before="240" w:after="240" w:line="240" w:lineRule="auto"/>
        <w:ind w:left="0" w:firstLine="360"/>
      </w:pPr>
      <w:r>
        <w:t>Section 101.1501 is revised to read as follows:</w:t>
      </w:r>
    </w:p>
    <w:p w:rsidR="00A6145B" w:rsidRPr="00E55766" w:rsidP="00A6145B" w14:paraId="31D3BBCE" w14:textId="77777777">
      <w:pPr>
        <w:spacing w:after="240"/>
        <w:rPr>
          <w:b/>
        </w:rPr>
      </w:pPr>
      <w:r w:rsidRPr="00E55766">
        <w:rPr>
          <w:b/>
        </w:rPr>
        <w:t>§</w:t>
      </w:r>
      <w:r>
        <w:rPr>
          <w:b/>
        </w:rPr>
        <w:t xml:space="preserve"> </w:t>
      </w:r>
      <w:r w:rsidRPr="00E55766">
        <w:rPr>
          <w:b/>
        </w:rPr>
        <w:t>101.1501</w:t>
      </w:r>
      <w:r>
        <w:rPr>
          <w:b/>
        </w:rPr>
        <w:t xml:space="preserve"> </w:t>
      </w:r>
      <w:r w:rsidRPr="00E55766">
        <w:rPr>
          <w:b/>
        </w:rPr>
        <w:t>Service areas.</w:t>
      </w:r>
    </w:p>
    <w:p w:rsidR="00A6145B" w:rsidP="00A6145B" w14:paraId="22D8AB46" w14:textId="77777777">
      <w:pPr>
        <w:spacing w:after="240"/>
        <w:ind w:firstLine="720"/>
      </w:pPr>
      <w:r>
        <w:t xml:space="preserve">The 70/80/90 GHz bands are licensed </w:t>
      </w:r>
      <w:r w:rsidRPr="00E55766">
        <w:rPr>
          <w:bCs/>
        </w:rPr>
        <w:t>on</w:t>
      </w:r>
      <w:r>
        <w:t xml:space="preserve"> the basis of non-exclusive nationwide licenses.  There is no limit to the number of non-exclusive nationwide licenses that may be granted for these bands, and these licenses will serve as a prerequisite for registering individual point-to-point links.  In the 71–76 GHz and 81–86 GHz bands, nationwide non-exclusive licenses also </w:t>
      </w:r>
      <w:r w:rsidRPr="00447371">
        <w:t>serve as a blanket license for</w:t>
      </w:r>
      <w:r>
        <w:t xml:space="preserve"> </w:t>
      </w:r>
      <w:r w:rsidRPr="00447371">
        <w:t xml:space="preserve">air-to-air </w:t>
      </w:r>
      <w:r>
        <w:t xml:space="preserve">and ship-to-ship </w:t>
      </w:r>
      <w:r w:rsidRPr="00447371">
        <w:t xml:space="preserve">operations, and as a prerequisite to register ground-to-air (GTA) stations and </w:t>
      </w:r>
      <w:r>
        <w:t xml:space="preserve">to operate </w:t>
      </w:r>
      <w:r w:rsidRPr="00447371">
        <w:t xml:space="preserve">associated </w:t>
      </w:r>
      <w:r>
        <w:t xml:space="preserve">GTA and </w:t>
      </w:r>
      <w:r w:rsidRPr="00447371">
        <w:t>air-to-ground (ATG) transmission</w:t>
      </w:r>
      <w:r>
        <w:t>s</w:t>
      </w:r>
      <w:r w:rsidRPr="00447371">
        <w:t>; and as a prerequisite to register</w:t>
      </w:r>
      <w:r>
        <w:t xml:space="preserve"> shore stations and aerostat relay stations and to operate associated</w:t>
      </w:r>
      <w:r w:rsidRPr="00447371">
        <w:t xml:space="preserve"> ship-to-shore, shore-to-ship, </w:t>
      </w:r>
      <w:r>
        <w:t xml:space="preserve">shore-to-aerostat, </w:t>
      </w:r>
      <w:r w:rsidRPr="00447371">
        <w:t>aerostat-to-ship, and aerostat-to-shore transmissions.</w:t>
      </w:r>
    </w:p>
    <w:p w:rsidR="00A6145B" w:rsidP="00A6145B" w14:paraId="6D2F634F" w14:textId="77777777">
      <w:pPr>
        <w:pStyle w:val="ListParagraph"/>
        <w:numPr>
          <w:ilvl w:val="0"/>
          <w:numId w:val="14"/>
        </w:numPr>
        <w:spacing w:before="240" w:after="240" w:line="240" w:lineRule="auto"/>
        <w:ind w:left="0" w:firstLine="360"/>
      </w:pPr>
      <w:r>
        <w:t>Section 101.1507 is revised to read as follows:</w:t>
      </w:r>
    </w:p>
    <w:p w:rsidR="00A6145B" w:rsidRPr="00E55766" w:rsidP="00A6145B" w14:paraId="4E01C775" w14:textId="77777777">
      <w:pPr>
        <w:spacing w:after="240"/>
        <w:rPr>
          <w:b/>
        </w:rPr>
      </w:pPr>
      <w:r w:rsidRPr="00E55766">
        <w:rPr>
          <w:b/>
        </w:rPr>
        <w:t>§</w:t>
      </w:r>
      <w:r>
        <w:rPr>
          <w:b/>
        </w:rPr>
        <w:t xml:space="preserve"> </w:t>
      </w:r>
      <w:r w:rsidRPr="00E55766">
        <w:rPr>
          <w:b/>
        </w:rPr>
        <w:t>101.150</w:t>
      </w:r>
      <w:r>
        <w:rPr>
          <w:b/>
        </w:rPr>
        <w:t>7 Permissible operations</w:t>
      </w:r>
      <w:r w:rsidRPr="00E55766">
        <w:rPr>
          <w:b/>
        </w:rPr>
        <w:t>.</w:t>
      </w:r>
    </w:p>
    <w:p w:rsidR="00A6145B" w:rsidP="00A6145B" w14:paraId="354DB3CA" w14:textId="3B7B6D77">
      <w:pPr>
        <w:spacing w:after="240"/>
        <w:ind w:firstLine="720"/>
      </w:pPr>
      <w:r w:rsidRPr="00D959AA">
        <w:t>Licensees may use the 70 GHz, 80 GHz</w:t>
      </w:r>
      <w:r>
        <w:t>,</w:t>
      </w:r>
      <w:r w:rsidRPr="00D959AA">
        <w:t xml:space="preserve"> and 90 GHz bands for any point-to-point, non-broadcast service</w:t>
      </w:r>
      <w:r w:rsidRPr="00357245">
        <w:t xml:space="preserve">. </w:t>
      </w:r>
      <w:r w:rsidRPr="00D959AA">
        <w:rPr>
          <w:b/>
          <w:bCs/>
        </w:rPr>
        <w:t> </w:t>
      </w:r>
      <w:r w:rsidRPr="00D959AA">
        <w:t xml:space="preserve">Licensees may use the 70 GHz and 80 GHz bands for aeronautical and maritime service as set forth in </w:t>
      </w:r>
      <w:r w:rsidR="006F593B">
        <w:t>§</w:t>
      </w:r>
      <w:r w:rsidR="00CA5D7C">
        <w:t> </w:t>
      </w:r>
      <w:r w:rsidRPr="00D959AA">
        <w:t>101.1528.  The segments may be unpaired or paired, but pa</w:t>
      </w:r>
      <w:r>
        <w:t>i</w:t>
      </w:r>
      <w:r w:rsidRPr="00D959AA">
        <w:t>ring will be permitted only in a standardized manner (</w:t>
      </w:r>
      <w:r w:rsidRPr="00D959AA">
        <w:rPr>
          <w:i/>
          <w:iCs/>
        </w:rPr>
        <w:t>e.g.</w:t>
      </w:r>
      <w:r w:rsidRPr="000C53A8">
        <w:t>,</w:t>
      </w:r>
      <w:r w:rsidRPr="00D959AA">
        <w:t xml:space="preserve"> 71–72.25 GHz may be paired only with 81–82.25 GHz, and so on).</w:t>
      </w:r>
      <w:r>
        <w:t xml:space="preserve"> </w:t>
      </w:r>
      <w:r w:rsidRPr="00D959AA">
        <w:t xml:space="preserve"> The segments may be aggregated without limit. </w:t>
      </w:r>
    </w:p>
    <w:p w:rsidR="00A6145B" w:rsidRPr="00447371" w:rsidP="00A6145B" w14:paraId="00F70F86" w14:textId="15FE497F">
      <w:pPr>
        <w:pStyle w:val="ListParagraph"/>
        <w:numPr>
          <w:ilvl w:val="0"/>
          <w:numId w:val="14"/>
        </w:numPr>
        <w:spacing w:after="240" w:line="240" w:lineRule="auto"/>
        <w:ind w:left="0" w:firstLine="360"/>
      </w:pPr>
      <w:r w:rsidRPr="00447371">
        <w:t>Section 101.1523 is amended by revising paragraph (a), and adding paragraph (e)</w:t>
      </w:r>
      <w:r>
        <w:t xml:space="preserve"> to read </w:t>
      </w:r>
      <w:r w:rsidRPr="00447371">
        <w:t>as follows:</w:t>
      </w:r>
    </w:p>
    <w:p w:rsidR="00A6145B" w:rsidRPr="00447371" w:rsidP="00A6145B" w14:paraId="211B3191" w14:textId="77777777">
      <w:pPr>
        <w:spacing w:after="240"/>
        <w:rPr>
          <w:b/>
        </w:rPr>
      </w:pPr>
      <w:r w:rsidRPr="00447371">
        <w:rPr>
          <w:b/>
        </w:rPr>
        <w:t>§</w:t>
      </w:r>
      <w:r>
        <w:rPr>
          <w:b/>
        </w:rPr>
        <w:t xml:space="preserve"> </w:t>
      </w:r>
      <w:r w:rsidRPr="00447371">
        <w:rPr>
          <w:b/>
        </w:rPr>
        <w:t>101.1523</w:t>
      </w:r>
      <w:r>
        <w:rPr>
          <w:b/>
        </w:rPr>
        <w:t xml:space="preserve"> </w:t>
      </w:r>
      <w:r w:rsidRPr="00447371">
        <w:rPr>
          <w:b/>
        </w:rPr>
        <w:t>Sharing and coordination among non-government licensees and between non-government and government services.</w:t>
      </w:r>
    </w:p>
    <w:p w:rsidR="00A6145B" w:rsidRPr="00447371" w:rsidP="00A6145B" w14:paraId="2B494FC2" w14:textId="0C046E1F">
      <w:pPr>
        <w:spacing w:after="240"/>
        <w:ind w:firstLine="720"/>
        <w:rPr>
          <w:b/>
        </w:rPr>
      </w:pPr>
      <w:r w:rsidRPr="00447371">
        <w:t>(a)</w:t>
      </w:r>
      <w:r w:rsidRPr="00447371">
        <w:rPr>
          <w:b/>
        </w:rPr>
        <w:t xml:space="preserve"> </w:t>
      </w:r>
      <w:r>
        <w:rPr>
          <w:bCs/>
        </w:rPr>
        <w:t xml:space="preserve">Each individual point-to-point link must be registered in a third-party database. </w:t>
      </w:r>
      <w:r w:rsidRPr="0080554B">
        <w:t xml:space="preserve"> </w:t>
      </w:r>
      <w:r w:rsidRPr="00447371">
        <w:t xml:space="preserve">Registration of aeronautical ground stations, maritime shore stations, </w:t>
      </w:r>
      <w:r>
        <w:t xml:space="preserve">and </w:t>
      </w:r>
      <w:r w:rsidRPr="00447371">
        <w:t xml:space="preserve">aerostats for operation of aeronautical or maritime </w:t>
      </w:r>
      <w:r>
        <w:t xml:space="preserve">links to </w:t>
      </w:r>
      <w:r w:rsidRPr="00447371">
        <w:t>end points in motion in the 71–76 GHz</w:t>
      </w:r>
      <w:r>
        <w:t xml:space="preserve"> and</w:t>
      </w:r>
      <w:r w:rsidRPr="00447371">
        <w:t xml:space="preserve"> 81–86 GHz bands will be in </w:t>
      </w:r>
      <w:r>
        <w:t xml:space="preserve">a </w:t>
      </w:r>
      <w:r w:rsidR="00D6492E">
        <w:t>third-</w:t>
      </w:r>
      <w:r>
        <w:t xml:space="preserve">party database after the Wireless Telecommunications Bureau announces by public notice the details of the implementation of a third-party database for such links to endpoints in motion.  </w:t>
      </w:r>
    </w:p>
    <w:p w:rsidR="00A6145B" w:rsidRPr="00447371" w:rsidP="00A6145B" w14:paraId="3685A0C7" w14:textId="77777777">
      <w:pPr>
        <w:spacing w:after="240"/>
      </w:pPr>
      <w:r w:rsidRPr="00447371">
        <w:t>* * * * *</w:t>
      </w:r>
    </w:p>
    <w:p w:rsidR="00A6145B" w:rsidRPr="00447371" w:rsidP="00A6145B" w14:paraId="3F75C593" w14:textId="77777777">
      <w:pPr>
        <w:spacing w:after="240"/>
        <w:ind w:firstLine="720"/>
      </w:pPr>
      <w:r w:rsidRPr="00447371">
        <w:t>(e) A licensee must successfully complete the requirements of this section prior to modifying the technical parameters of a registered link.  Except for de minimis modifications, any change to the technical data on a link registration will result in a new interference protection date.  A modification to link registration in the 71</w:t>
      </w:r>
      <w:r>
        <w:t>–</w:t>
      </w:r>
      <w:r w:rsidRPr="00447371">
        <w:t>76 GHz and 81</w:t>
      </w:r>
      <w:r>
        <w:t>–</w:t>
      </w:r>
      <w:r w:rsidRPr="00447371">
        <w:t>86 GHz bands is de minimis, and the registration will retain its existing interference protection date and not lose its existing first-in-time rights, if the modification meets all of the following criteria:</w:t>
      </w:r>
    </w:p>
    <w:p w:rsidR="00A6145B" w:rsidRPr="00447371" w:rsidP="005E50E7" w14:paraId="2429814E" w14:textId="3EECAD49">
      <w:pPr>
        <w:spacing w:after="240"/>
        <w:ind w:firstLine="720"/>
      </w:pPr>
      <w:r>
        <w:t>(1) T</w:t>
      </w:r>
      <w:r w:rsidRPr="00447371">
        <w:t>he licensee certifies that the modification is necessary to repair or replace equipment specified in the registration that was constructed and operating under the registration;</w:t>
      </w:r>
    </w:p>
    <w:p w:rsidR="00A6145B" w:rsidRPr="00447371" w:rsidP="005E50E7" w14:paraId="67524C33" w14:textId="7C652E46">
      <w:pPr>
        <w:widowControl/>
        <w:spacing w:after="240"/>
        <w:ind w:firstLine="720"/>
      </w:pPr>
      <w:r>
        <w:t xml:space="preserve">(2) </w:t>
      </w:r>
      <w:r w:rsidRPr="00447371">
        <w:t>The modification does not increase the EIRP of a digital system or change the EIRP of an analog system;</w:t>
      </w:r>
    </w:p>
    <w:p w:rsidR="00A6145B" w:rsidRPr="00447371" w:rsidP="005E50E7" w14:paraId="5B422993" w14:textId="1A146628">
      <w:pPr>
        <w:spacing w:after="240"/>
        <w:ind w:firstLine="720"/>
      </w:pPr>
      <w:r>
        <w:t xml:space="preserve">(3) </w:t>
      </w:r>
      <w:r w:rsidRPr="00447371">
        <w:t>The modification does not increase the channel bandwidth;</w:t>
      </w:r>
    </w:p>
    <w:p w:rsidR="00A6145B" w:rsidRPr="00447371" w:rsidP="005E50E7" w14:paraId="1441DF92" w14:textId="0DDE093A">
      <w:pPr>
        <w:spacing w:after="240"/>
        <w:ind w:firstLine="720"/>
      </w:pPr>
      <w:r>
        <w:t xml:space="preserve">(4) </w:t>
      </w:r>
      <w:r w:rsidRPr="00447371">
        <w:t>The modification does not change the power density;</w:t>
      </w:r>
    </w:p>
    <w:p w:rsidR="00A6145B" w:rsidRPr="00447371" w:rsidP="005E50E7" w14:paraId="3E2A9E7C" w14:textId="387AE6F7">
      <w:pPr>
        <w:spacing w:after="240"/>
        <w:ind w:firstLine="720"/>
      </w:pPr>
      <w:r>
        <w:t xml:space="preserve">(5) </w:t>
      </w:r>
      <w:r w:rsidRPr="00447371">
        <w:t>The modification does not increase the receiver sensitivity;</w:t>
      </w:r>
    </w:p>
    <w:p w:rsidR="00A6145B" w:rsidRPr="00447371" w:rsidP="005E50E7" w14:paraId="040EC89A" w14:textId="0096AF07">
      <w:pPr>
        <w:spacing w:after="240"/>
        <w:ind w:firstLine="720"/>
      </w:pPr>
      <w:r>
        <w:t xml:space="preserve">(6) </w:t>
      </w:r>
      <w:r w:rsidRPr="00447371">
        <w:t>The modification does not increase the antenna beamwidth;</w:t>
      </w:r>
    </w:p>
    <w:p w:rsidR="00A6145B" w:rsidRPr="00447371" w:rsidP="005E50E7" w14:paraId="46326F59" w14:textId="265C6B10">
      <w:pPr>
        <w:spacing w:after="240"/>
        <w:ind w:firstLine="720"/>
      </w:pPr>
      <w:r>
        <w:t xml:space="preserve">(7) </w:t>
      </w:r>
      <w:r w:rsidRPr="00447371">
        <w:t>The modification does not increase the antenna gain, except where there is a corresponding reduction transmitter power so that there is no increase in EIRP;</w:t>
      </w:r>
    </w:p>
    <w:p w:rsidR="00A6145B" w:rsidRPr="00447371" w:rsidP="005E50E7" w14:paraId="17E6740A" w14:textId="52CD1622">
      <w:pPr>
        <w:spacing w:after="240"/>
        <w:ind w:firstLine="720"/>
      </w:pPr>
      <w:r>
        <w:t xml:space="preserve">(8) </w:t>
      </w:r>
      <w:r w:rsidRPr="00447371">
        <w:t>The modification does not involve a change to antenna with less off-axis attenuation at any angle;</w:t>
      </w:r>
      <w:r>
        <w:t xml:space="preserve"> and</w:t>
      </w:r>
    </w:p>
    <w:p w:rsidR="00A6145B" w:rsidRPr="00447371" w:rsidP="005E50E7" w14:paraId="7EFE5AC7" w14:textId="0561684A">
      <w:pPr>
        <w:spacing w:after="240"/>
        <w:ind w:firstLine="720"/>
      </w:pPr>
      <w:r>
        <w:t xml:space="preserve">(9) </w:t>
      </w:r>
      <w:r w:rsidRPr="00447371">
        <w:t xml:space="preserve">The modification does not change any other technical parameters not mentioned </w:t>
      </w:r>
      <w:r w:rsidR="00997DB2">
        <w:t>in paragraphs (e)(1) through (e)(8) of this section.</w:t>
      </w:r>
    </w:p>
    <w:p w:rsidR="00A6145B" w:rsidP="00A6145B" w14:paraId="7EED7881" w14:textId="77777777">
      <w:pPr>
        <w:pStyle w:val="ListParagraph"/>
        <w:numPr>
          <w:ilvl w:val="0"/>
          <w:numId w:val="14"/>
        </w:numPr>
        <w:spacing w:after="240" w:line="240" w:lineRule="auto"/>
        <w:ind w:left="0" w:firstLine="360"/>
        <w:rPr>
          <w:b/>
        </w:rPr>
      </w:pPr>
      <w:r>
        <w:rPr>
          <w:bCs/>
        </w:rPr>
        <w:t xml:space="preserve">Section </w:t>
      </w:r>
      <w:r w:rsidRPr="00E25530">
        <w:rPr>
          <w:bCs/>
        </w:rPr>
        <w:t xml:space="preserve">101.1528 </w:t>
      </w:r>
      <w:r>
        <w:rPr>
          <w:bCs/>
        </w:rPr>
        <w:t xml:space="preserve">is added </w:t>
      </w:r>
      <w:r w:rsidRPr="00E25530">
        <w:rPr>
          <w:bCs/>
        </w:rPr>
        <w:t>to subpart Q to read as follows:</w:t>
      </w:r>
      <w:r>
        <w:rPr>
          <w:bCs/>
        </w:rPr>
        <w:t xml:space="preserve"> </w:t>
      </w:r>
    </w:p>
    <w:p w:rsidR="00A6145B" w:rsidP="007F1020" w14:paraId="7734E293" w14:textId="3497D7A5">
      <w:pPr>
        <w:spacing w:after="240"/>
        <w:rPr>
          <w:b/>
        </w:rPr>
      </w:pPr>
      <w:r w:rsidRPr="00447371">
        <w:rPr>
          <w:b/>
        </w:rPr>
        <w:t>§</w:t>
      </w:r>
      <w:r>
        <w:rPr>
          <w:b/>
        </w:rPr>
        <w:t xml:space="preserve"> </w:t>
      </w:r>
      <w:r w:rsidRPr="00447371">
        <w:rPr>
          <w:b/>
        </w:rPr>
        <w:t>101.1528</w:t>
      </w:r>
      <w:r>
        <w:rPr>
          <w:b/>
        </w:rPr>
        <w:t xml:space="preserve"> Requirements for </w:t>
      </w:r>
      <w:r w:rsidR="00997DB2">
        <w:rPr>
          <w:b/>
        </w:rPr>
        <w:t>a</w:t>
      </w:r>
      <w:r w:rsidRPr="00447371" w:rsidR="00997DB2">
        <w:rPr>
          <w:b/>
        </w:rPr>
        <w:t xml:space="preserve">eronautical </w:t>
      </w:r>
      <w:r w:rsidRPr="00447371">
        <w:rPr>
          <w:b/>
        </w:rPr>
        <w:t xml:space="preserve">and </w:t>
      </w:r>
      <w:r w:rsidR="00997DB2">
        <w:rPr>
          <w:b/>
          <w:bCs/>
        </w:rPr>
        <w:t>m</w:t>
      </w:r>
      <w:r w:rsidRPr="60E40ABF" w:rsidR="00997DB2">
        <w:rPr>
          <w:b/>
          <w:bCs/>
        </w:rPr>
        <w:t>aritime</w:t>
      </w:r>
      <w:r w:rsidR="00997DB2">
        <w:rPr>
          <w:b/>
          <w:bCs/>
        </w:rPr>
        <w:t xml:space="preserve"> links </w:t>
      </w:r>
      <w:r>
        <w:rPr>
          <w:b/>
          <w:bCs/>
        </w:rPr>
        <w:t>to, from, or between</w:t>
      </w:r>
      <w:r w:rsidRPr="00447371">
        <w:rPr>
          <w:b/>
        </w:rPr>
        <w:t xml:space="preserve"> </w:t>
      </w:r>
      <w:r w:rsidR="00997DB2">
        <w:rPr>
          <w:b/>
        </w:rPr>
        <w:t>e</w:t>
      </w:r>
      <w:r w:rsidRPr="00447371" w:rsidR="00997DB2">
        <w:rPr>
          <w:b/>
        </w:rPr>
        <w:t xml:space="preserve">ndpoints </w:t>
      </w:r>
      <w:r w:rsidRPr="00447371">
        <w:rPr>
          <w:b/>
        </w:rPr>
        <w:t xml:space="preserve">in </w:t>
      </w:r>
      <w:r w:rsidR="00997DB2">
        <w:rPr>
          <w:b/>
        </w:rPr>
        <w:t>m</w:t>
      </w:r>
      <w:r w:rsidRPr="00447371" w:rsidR="00997DB2">
        <w:rPr>
          <w:b/>
        </w:rPr>
        <w:t>otion</w:t>
      </w:r>
      <w:r>
        <w:rPr>
          <w:b/>
        </w:rPr>
        <w:t>.</w:t>
      </w:r>
    </w:p>
    <w:p w:rsidR="00A6145B" w:rsidRPr="006D621A" w:rsidP="00A6145B" w14:paraId="67983379" w14:textId="5EAE072E">
      <w:pPr>
        <w:pStyle w:val="ListParagraph"/>
        <w:spacing w:after="240" w:line="240" w:lineRule="auto"/>
        <w:ind w:left="0" w:firstLine="720"/>
        <w:contextualSpacing w:val="0"/>
        <w:rPr>
          <w:i/>
          <w:iCs/>
        </w:rPr>
      </w:pPr>
      <w:r>
        <w:t xml:space="preserve">(a) </w:t>
      </w:r>
      <w:r w:rsidRPr="006D621A">
        <w:rPr>
          <w:i/>
          <w:iCs/>
        </w:rPr>
        <w:t xml:space="preserve">Requirements for </w:t>
      </w:r>
      <w:r w:rsidRPr="006D621A" w:rsidR="00582B7B">
        <w:rPr>
          <w:i/>
          <w:iCs/>
        </w:rPr>
        <w:t xml:space="preserve">aeronautical ground stations </w:t>
      </w:r>
      <w:r w:rsidRPr="006D621A">
        <w:rPr>
          <w:i/>
          <w:iCs/>
        </w:rPr>
        <w:t xml:space="preserve">and </w:t>
      </w:r>
      <w:r w:rsidRPr="006D621A" w:rsidR="00582B7B">
        <w:rPr>
          <w:i/>
          <w:iCs/>
        </w:rPr>
        <w:t xml:space="preserve">endpoints </w:t>
      </w:r>
      <w:r w:rsidRPr="006D621A">
        <w:rPr>
          <w:i/>
          <w:iCs/>
        </w:rPr>
        <w:t xml:space="preserve">in </w:t>
      </w:r>
      <w:r w:rsidRPr="006D621A" w:rsidR="00582B7B">
        <w:rPr>
          <w:i/>
          <w:iCs/>
        </w:rPr>
        <w:t>motion.</w:t>
      </w:r>
    </w:p>
    <w:p w:rsidR="00A6145B" w:rsidRPr="00447371" w:rsidP="00A6145B" w14:paraId="54FB924E" w14:textId="61AAE50D">
      <w:pPr>
        <w:pStyle w:val="ListParagraph"/>
        <w:spacing w:after="240" w:line="240" w:lineRule="auto"/>
        <w:ind w:left="0" w:firstLine="720"/>
        <w:contextualSpacing w:val="0"/>
        <w:rPr>
          <w:rFonts w:eastAsia="Calibri"/>
        </w:rPr>
      </w:pPr>
      <w:r>
        <w:rPr>
          <w:rFonts w:eastAsia="Calibri"/>
        </w:rPr>
        <w:t xml:space="preserve">(1) </w:t>
      </w:r>
      <w:r w:rsidRPr="00447371">
        <w:rPr>
          <w:rFonts w:eastAsia="Calibri"/>
        </w:rPr>
        <w:t>Air-to-</w:t>
      </w:r>
      <w:r w:rsidR="00997DB2">
        <w:rPr>
          <w:rFonts w:eastAsia="Calibri"/>
        </w:rPr>
        <w:t>g</w:t>
      </w:r>
      <w:r w:rsidRPr="00447371" w:rsidR="00997DB2">
        <w:rPr>
          <w:rFonts w:eastAsia="Calibri"/>
        </w:rPr>
        <w:t xml:space="preserve">round </w:t>
      </w:r>
      <w:r w:rsidRPr="00447371">
        <w:rPr>
          <w:rFonts w:eastAsia="Calibri"/>
        </w:rPr>
        <w:t>transmissions are permitted only in the 71</w:t>
      </w:r>
      <w:r>
        <w:rPr>
          <w:rFonts w:eastAsia="Calibri"/>
        </w:rPr>
        <w:t>–</w:t>
      </w:r>
      <w:r w:rsidRPr="00447371">
        <w:rPr>
          <w:rFonts w:eastAsia="Calibri"/>
        </w:rPr>
        <w:t>76 GHz band</w:t>
      </w:r>
      <w:r>
        <w:rPr>
          <w:rFonts w:eastAsia="Calibri"/>
        </w:rPr>
        <w:t>.</w:t>
      </w:r>
    </w:p>
    <w:p w:rsidR="00A6145B" w:rsidRPr="00447371" w:rsidP="00A6145B" w14:paraId="5228A303" w14:textId="15033E51">
      <w:pPr>
        <w:pStyle w:val="ListParagraph"/>
        <w:spacing w:after="240" w:line="240" w:lineRule="auto"/>
        <w:ind w:left="0" w:firstLine="720"/>
        <w:contextualSpacing w:val="0"/>
        <w:rPr>
          <w:rFonts w:eastAsia="Calibri"/>
        </w:rPr>
      </w:pPr>
      <w:r>
        <w:rPr>
          <w:rFonts w:eastAsia="Calibri"/>
        </w:rPr>
        <w:t xml:space="preserve">(2) </w:t>
      </w:r>
      <w:r w:rsidRPr="00447371">
        <w:rPr>
          <w:rFonts w:eastAsia="Calibri"/>
        </w:rPr>
        <w:t>Ground-to-</w:t>
      </w:r>
      <w:r w:rsidR="00997DB2">
        <w:rPr>
          <w:rFonts w:eastAsia="Calibri"/>
        </w:rPr>
        <w:t>a</w:t>
      </w:r>
      <w:r w:rsidRPr="00447371" w:rsidR="00997DB2">
        <w:rPr>
          <w:rFonts w:eastAsia="Calibri"/>
        </w:rPr>
        <w:t xml:space="preserve">ir </w:t>
      </w:r>
      <w:r w:rsidRPr="00447371">
        <w:rPr>
          <w:rFonts w:eastAsia="Calibri"/>
        </w:rPr>
        <w:t>transmissions are permitted only in the 81</w:t>
      </w:r>
      <w:r>
        <w:rPr>
          <w:rFonts w:eastAsia="Calibri"/>
        </w:rPr>
        <w:t>–</w:t>
      </w:r>
      <w:r w:rsidRPr="00447371">
        <w:rPr>
          <w:rFonts w:eastAsia="Calibri"/>
        </w:rPr>
        <w:t>86 GHz band</w:t>
      </w:r>
      <w:r>
        <w:rPr>
          <w:rFonts w:eastAsia="Calibri"/>
        </w:rPr>
        <w:t>.</w:t>
      </w:r>
    </w:p>
    <w:p w:rsidR="00A6145B" w:rsidRPr="00447371" w:rsidP="00A6145B" w14:paraId="7C027A69" w14:textId="4EAAD66C">
      <w:pPr>
        <w:pStyle w:val="ListParagraph"/>
        <w:spacing w:after="240" w:line="240" w:lineRule="auto"/>
        <w:ind w:left="0" w:firstLine="720"/>
        <w:contextualSpacing w:val="0"/>
        <w:rPr>
          <w:rFonts w:eastAsia="Calibri"/>
        </w:rPr>
      </w:pPr>
      <w:r>
        <w:rPr>
          <w:rFonts w:eastAsia="Calibri"/>
        </w:rPr>
        <w:t xml:space="preserve">(3) </w:t>
      </w:r>
      <w:r w:rsidRPr="00447371">
        <w:rPr>
          <w:rFonts w:eastAsia="Calibri"/>
        </w:rPr>
        <w:t>Air-to-</w:t>
      </w:r>
      <w:r w:rsidR="00997DB2">
        <w:rPr>
          <w:rFonts w:eastAsia="Calibri"/>
        </w:rPr>
        <w:t>a</w:t>
      </w:r>
      <w:r w:rsidRPr="00447371" w:rsidR="00997DB2">
        <w:rPr>
          <w:rFonts w:eastAsia="Calibri"/>
        </w:rPr>
        <w:t xml:space="preserve">ir </w:t>
      </w:r>
      <w:r w:rsidRPr="00447371">
        <w:rPr>
          <w:rFonts w:eastAsia="Calibri"/>
        </w:rPr>
        <w:t>transmissions are permitted only between aircraft that are separated by a minimum slant path distance of 50</w:t>
      </w:r>
      <w:r>
        <w:rPr>
          <w:rFonts w:eastAsia="Calibri"/>
        </w:rPr>
        <w:t xml:space="preserve"> </w:t>
      </w:r>
      <w:r w:rsidRPr="00447371">
        <w:rPr>
          <w:rFonts w:eastAsia="Calibri"/>
        </w:rPr>
        <w:t>km</w:t>
      </w:r>
      <w:r>
        <w:rPr>
          <w:rFonts w:eastAsia="Calibri"/>
        </w:rPr>
        <w:t>.</w:t>
      </w:r>
    </w:p>
    <w:p w:rsidR="00A6145B" w:rsidRPr="00447371" w:rsidP="00A6145B" w14:paraId="061F0390" w14:textId="77777777">
      <w:pPr>
        <w:pStyle w:val="ListParagraph"/>
        <w:spacing w:after="240" w:line="240" w:lineRule="auto"/>
        <w:ind w:left="0" w:firstLine="720"/>
        <w:contextualSpacing w:val="0"/>
        <w:rPr>
          <w:rFonts w:eastAsia="Calibri"/>
        </w:rPr>
      </w:pPr>
      <w:r>
        <w:rPr>
          <w:rFonts w:eastAsia="Calibri"/>
        </w:rPr>
        <w:t xml:space="preserve">(4) </w:t>
      </w:r>
      <w:r w:rsidRPr="00447371">
        <w:rPr>
          <w:rFonts w:eastAsia="Calibri"/>
        </w:rPr>
        <w:t>Transmissions are only permitted to and from aircraft at altitudes between 10,000</w:t>
      </w:r>
      <w:r>
        <w:rPr>
          <w:rFonts w:eastAsia="Calibri"/>
        </w:rPr>
        <w:t xml:space="preserve"> </w:t>
      </w:r>
      <w:r w:rsidRPr="00447371">
        <w:rPr>
          <w:rFonts w:eastAsia="Calibri"/>
        </w:rPr>
        <w:t>ft and 50,000</w:t>
      </w:r>
      <w:r>
        <w:rPr>
          <w:rFonts w:eastAsia="Calibri"/>
        </w:rPr>
        <w:t xml:space="preserve"> </w:t>
      </w:r>
      <w:r w:rsidRPr="00447371">
        <w:rPr>
          <w:rFonts w:eastAsia="Calibri"/>
        </w:rPr>
        <w:t>ft.</w:t>
      </w:r>
    </w:p>
    <w:p w:rsidR="00A6145B" w:rsidRPr="00447371" w:rsidP="00A6145B" w14:paraId="6ED850B3" w14:textId="77777777">
      <w:pPr>
        <w:pStyle w:val="ListParagraph"/>
        <w:spacing w:after="240" w:line="240" w:lineRule="auto"/>
        <w:ind w:left="0" w:firstLine="720"/>
        <w:contextualSpacing w:val="0"/>
      </w:pPr>
      <w:r>
        <w:t xml:space="preserve">(5) </w:t>
      </w:r>
      <w:r w:rsidRPr="00447371">
        <w:t>Ground stations must operate with a minimum elevation angle of 5 degrees and a maximum elevation angle of 45 degrees</w:t>
      </w:r>
      <w:r>
        <w:t>.</w:t>
      </w:r>
    </w:p>
    <w:p w:rsidR="00A6145B" w:rsidRPr="00447371" w:rsidP="00A6145B" w14:paraId="7B9CD55D" w14:textId="67F0E3EA">
      <w:pPr>
        <w:pStyle w:val="ListParagraph"/>
        <w:spacing w:after="240" w:line="240" w:lineRule="auto"/>
        <w:ind w:left="0" w:firstLine="720"/>
        <w:contextualSpacing w:val="0"/>
      </w:pPr>
      <w:r>
        <w:t xml:space="preserve">(6) </w:t>
      </w:r>
      <w:r w:rsidRPr="00447371">
        <w:t>Ground stations must be located at least 10</w:t>
      </w:r>
      <w:r>
        <w:t xml:space="preserve"> </w:t>
      </w:r>
      <w:r w:rsidRPr="00447371">
        <w:t xml:space="preserve">km from any existing Non-Federal FSS earth station or </w:t>
      </w:r>
      <w:r w:rsidR="00A558F9">
        <w:t>F</w:t>
      </w:r>
      <w:r w:rsidRPr="00447371" w:rsidR="00A558F9">
        <w:t xml:space="preserve">ederal </w:t>
      </w:r>
      <w:r w:rsidRPr="00447371">
        <w:t>facility listed in</w:t>
      </w:r>
      <w:r w:rsidR="00A558F9">
        <w:t xml:space="preserve"> table 4 to</w:t>
      </w:r>
      <w:r w:rsidRPr="00447371">
        <w:t xml:space="preserve"> </w:t>
      </w:r>
      <w:r>
        <w:t>paragraph</w:t>
      </w:r>
      <w:r w:rsidRPr="00447371">
        <w:t xml:space="preserve"> (c)(2) </w:t>
      </w:r>
      <w:r>
        <w:t>of this section</w:t>
      </w:r>
      <w:r w:rsidRPr="00447371">
        <w:t>, absent a coordination agreement with the FSS operator.</w:t>
      </w:r>
    </w:p>
    <w:p w:rsidR="00A6145B" w:rsidRPr="00447371" w:rsidP="00A6145B" w14:paraId="4AB2582E" w14:textId="6907DC5E">
      <w:pPr>
        <w:pStyle w:val="ListParagraph"/>
        <w:spacing w:after="240" w:line="240" w:lineRule="auto"/>
        <w:ind w:left="0" w:firstLine="720"/>
        <w:contextualSpacing w:val="0"/>
      </w:pPr>
      <w:r>
        <w:t xml:space="preserve">(7) </w:t>
      </w:r>
      <w:r w:rsidRPr="00447371">
        <w:t>Ground stations must be located at least 150</w:t>
      </w:r>
      <w:r>
        <w:t xml:space="preserve"> </w:t>
      </w:r>
      <w:r w:rsidRPr="00447371">
        <w:t xml:space="preserve">km from the </w:t>
      </w:r>
      <w:r>
        <w:t xml:space="preserve">specific </w:t>
      </w:r>
      <w:r w:rsidR="00A30BE1">
        <w:t>F</w:t>
      </w:r>
      <w:r w:rsidRPr="00447371" w:rsidR="00A30BE1">
        <w:t xml:space="preserve">ederal </w:t>
      </w:r>
      <w:r w:rsidRPr="00447371">
        <w:t xml:space="preserve">facilities </w:t>
      </w:r>
      <w:r>
        <w:t xml:space="preserve">and not within the areas </w:t>
      </w:r>
      <w:r w:rsidRPr="00447371">
        <w:t>listed in</w:t>
      </w:r>
      <w:r w:rsidR="00A30BE1">
        <w:t xml:space="preserve"> table 3 to</w:t>
      </w:r>
      <w:r w:rsidRPr="00447371">
        <w:t xml:space="preserve"> </w:t>
      </w:r>
      <w:r>
        <w:t>paragraph</w:t>
      </w:r>
      <w:r w:rsidRPr="00447371">
        <w:t xml:space="preserve"> (c)(1) </w:t>
      </w:r>
      <w:r>
        <w:t>of this section</w:t>
      </w:r>
      <w:r w:rsidRPr="00447371">
        <w:t xml:space="preserve">, absent a coordination agreement with the </w:t>
      </w:r>
      <w:r w:rsidR="00A30BE1">
        <w:t>F</w:t>
      </w:r>
      <w:r w:rsidRPr="00447371" w:rsidR="00A30BE1">
        <w:t xml:space="preserve">ederal </w:t>
      </w:r>
      <w:r w:rsidRPr="00447371">
        <w:t xml:space="preserve">operator. </w:t>
      </w:r>
    </w:p>
    <w:p w:rsidR="00A6145B" w:rsidRPr="00447371" w:rsidP="00A6145B" w14:paraId="36EDBF3E" w14:textId="27363E55">
      <w:pPr>
        <w:pStyle w:val="ListParagraph"/>
        <w:spacing w:after="240" w:line="240" w:lineRule="auto"/>
        <w:ind w:left="0" w:firstLine="720"/>
        <w:contextualSpacing w:val="0"/>
      </w:pPr>
      <w:r>
        <w:t xml:space="preserve">(8) </w:t>
      </w:r>
      <w:r w:rsidRPr="00447371">
        <w:t>Ground stations must be located at least 10</w:t>
      </w:r>
      <w:r>
        <w:t xml:space="preserve"> </w:t>
      </w:r>
      <w:r w:rsidRPr="00447371">
        <w:t xml:space="preserve">km from any existing </w:t>
      </w:r>
      <w:r w:rsidR="007D0269">
        <w:t>F</w:t>
      </w:r>
      <w:r w:rsidRPr="00447371" w:rsidR="007D0269">
        <w:t xml:space="preserve">ederal </w:t>
      </w:r>
      <w:r w:rsidRPr="00447371">
        <w:t>or non-</w:t>
      </w:r>
      <w:r w:rsidR="007D0269">
        <w:t>F</w:t>
      </w:r>
      <w:r w:rsidRPr="00447371" w:rsidR="007D0269">
        <w:t xml:space="preserve">ederal </w:t>
      </w:r>
      <w:r w:rsidRPr="00447371">
        <w:t>fixed station receiver, absent a coordination agreement with the fixed station operator.</w:t>
      </w:r>
    </w:p>
    <w:p w:rsidR="00A6145B" w:rsidRPr="00447371" w:rsidP="00A6145B" w14:paraId="59CE81E4" w14:textId="77777777">
      <w:pPr>
        <w:pStyle w:val="ListParagraph"/>
        <w:spacing w:after="240" w:line="240" w:lineRule="auto"/>
        <w:ind w:left="0" w:firstLine="720"/>
        <w:contextualSpacing w:val="0"/>
      </w:pPr>
      <w:r>
        <w:t xml:space="preserve">(9) </w:t>
      </w:r>
      <w:r w:rsidRPr="00447371">
        <w:t>Air-to-air transmissions are permitted in 81</w:t>
      </w:r>
      <w:r>
        <w:rPr>
          <w:rFonts w:eastAsia="Calibri"/>
        </w:rPr>
        <w:t>–</w:t>
      </w:r>
      <w:r w:rsidRPr="00447371">
        <w:t>86 GHz subject to the following limitations;</w:t>
      </w:r>
    </w:p>
    <w:p w:rsidR="00A6145B" w:rsidRPr="00447371" w:rsidP="00A6145B" w14:paraId="6259F5E5" w14:textId="23CE6F81">
      <w:pPr>
        <w:pStyle w:val="ListParagraph"/>
        <w:spacing w:after="240" w:line="240" w:lineRule="auto"/>
        <w:ind w:left="0" w:firstLine="720"/>
        <w:contextualSpacing w:val="0"/>
      </w:pPr>
      <w:r>
        <w:t>(</w:t>
      </w:r>
      <w:r>
        <w:t>i</w:t>
      </w:r>
      <w:r>
        <w:t xml:space="preserve">) </w:t>
      </w:r>
      <w:r w:rsidRPr="00447371">
        <w:t>EIRP signal levels radiated along a line between the airborne transmitter and the latitude and longitude of the observatories in</w:t>
      </w:r>
      <w:r w:rsidR="007D0269">
        <w:t xml:space="preserve"> table 3 to</w:t>
      </w:r>
      <w:r w:rsidRPr="00447371">
        <w:t xml:space="preserve"> </w:t>
      </w:r>
      <w:r>
        <w:t xml:space="preserve">paragraph </w:t>
      </w:r>
      <w:r w:rsidRPr="00447371">
        <w:t>(c)(1)</w:t>
      </w:r>
      <w:r>
        <w:t xml:space="preserve"> of this section</w:t>
      </w:r>
      <w:r w:rsidRPr="00447371">
        <w:t>, which must be maintained as the airborne transmitter moves, cannot exceed the levels shown in</w:t>
      </w:r>
      <w:r w:rsidR="007D0269">
        <w:t xml:space="preserve"> t</w:t>
      </w:r>
      <w:r w:rsidRPr="00447371">
        <w:t xml:space="preserve">able </w:t>
      </w:r>
      <w:r w:rsidR="007D0269">
        <w:t>1 to this paragraph (a)(9)(</w:t>
      </w:r>
      <w:r w:rsidR="007D0269">
        <w:t>i</w:t>
      </w:r>
      <w:r w:rsidR="007D0269">
        <w:t>)</w:t>
      </w:r>
      <w:r w:rsidRPr="00447371">
        <w:t>.</w:t>
      </w:r>
      <w:r>
        <w:t xml:space="preserve"> </w:t>
      </w:r>
      <w:r w:rsidRPr="00447371">
        <w:t xml:space="preserve"> Within the range of 150 km and 375 km, the maximum allowable EIRP levels for horizontal distances not listed in table below may be approximated by linear interpolation.</w:t>
      </w:r>
    </w:p>
    <w:p w:rsidR="00A6145B" w:rsidRPr="00447371" w:rsidP="00A6145B" w14:paraId="303B4BE0" w14:textId="4C2C20E2">
      <w:pPr>
        <w:keepNext/>
        <w:spacing w:after="120"/>
        <w:jc w:val="center"/>
        <w:rPr>
          <w:rFonts w:eastAsia="Calibri"/>
          <w:b/>
        </w:rPr>
      </w:pPr>
      <w:r w:rsidRPr="00447371">
        <w:rPr>
          <w:b/>
        </w:rPr>
        <w:t xml:space="preserve">Table </w:t>
      </w:r>
      <w:r w:rsidR="007D0269">
        <w:rPr>
          <w:b/>
        </w:rPr>
        <w:t>1 to Paragraph (a)(9)(</w:t>
      </w:r>
      <w:r w:rsidR="007D0269">
        <w:rPr>
          <w:b/>
        </w:rPr>
        <w:t>i</w:t>
      </w:r>
      <w:r w:rsidR="007D0269">
        <w:rPr>
          <w:b/>
        </w:rPr>
        <w:t>)</w:t>
      </w:r>
      <w:r w:rsidRPr="00447371" w:rsidR="007D0269">
        <w:rPr>
          <w:b/>
        </w:rPr>
        <w:t xml:space="preserve"> </w:t>
      </w:r>
      <w:r w:rsidRPr="00447371">
        <w:rPr>
          <w:b/>
        </w:rPr>
        <w:t xml:space="preserve">- List of Maximum Allowable EIRP levels, in </w:t>
      </w:r>
      <w:r w:rsidRPr="00447371">
        <w:rPr>
          <w:b/>
        </w:rPr>
        <w:t>dBW</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810"/>
        <w:gridCol w:w="810"/>
        <w:gridCol w:w="810"/>
        <w:gridCol w:w="810"/>
        <w:gridCol w:w="810"/>
        <w:gridCol w:w="810"/>
        <w:gridCol w:w="810"/>
        <w:gridCol w:w="810"/>
        <w:gridCol w:w="810"/>
        <w:gridCol w:w="1010"/>
      </w:tblGrid>
      <w:tr w14:paraId="26047E15" w14:textId="77777777" w:rsidTr="0083305B">
        <w:tblPrEx>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1230" w:type="dxa"/>
            <w:vMerge w:val="restart"/>
            <w:shd w:val="clear" w:color="auto" w:fill="auto"/>
            <w:tcMar>
              <w:left w:w="108" w:type="dxa"/>
              <w:right w:w="108" w:type="dxa"/>
            </w:tcMar>
            <w:vAlign w:val="center"/>
          </w:tcPr>
          <w:p w:rsidR="00A6145B" w:rsidRPr="00EA6463" w:rsidP="0083305B" w14:paraId="6DDAA99D" w14:textId="77777777">
            <w:pPr>
              <w:jc w:val="center"/>
              <w:rPr>
                <w:b/>
                <w:bCs/>
              </w:rPr>
            </w:pPr>
            <w:r w:rsidRPr="00EA6463">
              <w:rPr>
                <w:b/>
                <w:bCs/>
              </w:rPr>
              <w:t>Frequency (GHz)</w:t>
            </w:r>
          </w:p>
        </w:tc>
        <w:tc>
          <w:tcPr>
            <w:tcW w:w="8295" w:type="dxa"/>
            <w:gridSpan w:val="10"/>
            <w:shd w:val="clear" w:color="auto" w:fill="auto"/>
            <w:tcMar>
              <w:left w:w="108" w:type="dxa"/>
              <w:right w:w="108" w:type="dxa"/>
            </w:tcMar>
            <w:vAlign w:val="center"/>
          </w:tcPr>
          <w:p w:rsidR="00A6145B" w:rsidRPr="008561EF" w:rsidP="0083305B" w14:paraId="78A9D2AF" w14:textId="77777777">
            <w:pPr>
              <w:jc w:val="center"/>
              <w:rPr>
                <w:b/>
                <w:bCs/>
              </w:rPr>
            </w:pPr>
            <w:r w:rsidRPr="008561EF">
              <w:rPr>
                <w:b/>
                <w:bCs/>
              </w:rPr>
              <w:t>Horizontal Distance (km)</w:t>
            </w:r>
          </w:p>
        </w:tc>
      </w:tr>
      <w:tr w14:paraId="58946534" w14:textId="77777777" w:rsidTr="0083305B">
        <w:tblPrEx>
          <w:tblW w:w="9530" w:type="dxa"/>
          <w:tblLayout w:type="fixed"/>
          <w:tblLook w:val="04A0"/>
        </w:tblPrEx>
        <w:trPr>
          <w:trHeight w:val="300"/>
        </w:trPr>
        <w:tc>
          <w:tcPr>
            <w:tcW w:w="1230" w:type="dxa"/>
            <w:vMerge/>
            <w:shd w:val="clear" w:color="auto" w:fill="auto"/>
            <w:vAlign w:val="center"/>
          </w:tcPr>
          <w:p w:rsidR="00A6145B" w:rsidRPr="00447371" w:rsidP="0083305B" w14:paraId="1565C4DF" w14:textId="77777777"/>
        </w:tc>
        <w:tc>
          <w:tcPr>
            <w:tcW w:w="810" w:type="dxa"/>
            <w:shd w:val="clear" w:color="auto" w:fill="auto"/>
            <w:tcMar>
              <w:left w:w="108" w:type="dxa"/>
              <w:right w:w="108" w:type="dxa"/>
            </w:tcMar>
            <w:vAlign w:val="center"/>
          </w:tcPr>
          <w:p w:rsidR="00A6145B" w:rsidRPr="00447371" w:rsidP="0083305B" w14:paraId="7C3E5F4C" w14:textId="77777777">
            <w:pPr>
              <w:jc w:val="center"/>
            </w:pPr>
            <w:r w:rsidRPr="00447371">
              <w:t>150</w:t>
            </w:r>
          </w:p>
        </w:tc>
        <w:tc>
          <w:tcPr>
            <w:tcW w:w="810" w:type="dxa"/>
            <w:shd w:val="clear" w:color="auto" w:fill="auto"/>
            <w:tcMar>
              <w:left w:w="108" w:type="dxa"/>
              <w:right w:w="108" w:type="dxa"/>
            </w:tcMar>
            <w:vAlign w:val="center"/>
          </w:tcPr>
          <w:p w:rsidR="00A6145B" w:rsidRPr="00447371" w:rsidP="0083305B" w14:paraId="7FDAE0F7" w14:textId="77777777">
            <w:pPr>
              <w:jc w:val="center"/>
            </w:pPr>
            <w:r w:rsidRPr="00447371">
              <w:t>175</w:t>
            </w:r>
          </w:p>
        </w:tc>
        <w:tc>
          <w:tcPr>
            <w:tcW w:w="810" w:type="dxa"/>
            <w:shd w:val="clear" w:color="auto" w:fill="auto"/>
            <w:tcMar>
              <w:left w:w="108" w:type="dxa"/>
              <w:right w:w="108" w:type="dxa"/>
            </w:tcMar>
            <w:vAlign w:val="center"/>
          </w:tcPr>
          <w:p w:rsidR="00A6145B" w:rsidRPr="00447371" w:rsidP="0083305B" w14:paraId="0AF55566" w14:textId="77777777">
            <w:pPr>
              <w:jc w:val="center"/>
            </w:pPr>
            <w:r w:rsidRPr="00447371">
              <w:t>200</w:t>
            </w:r>
          </w:p>
        </w:tc>
        <w:tc>
          <w:tcPr>
            <w:tcW w:w="810" w:type="dxa"/>
            <w:shd w:val="clear" w:color="auto" w:fill="auto"/>
            <w:tcMar>
              <w:left w:w="108" w:type="dxa"/>
              <w:right w:w="108" w:type="dxa"/>
            </w:tcMar>
            <w:vAlign w:val="center"/>
          </w:tcPr>
          <w:p w:rsidR="00A6145B" w:rsidRPr="00447371" w:rsidP="0083305B" w14:paraId="00D9F2AA" w14:textId="77777777">
            <w:pPr>
              <w:jc w:val="center"/>
            </w:pPr>
            <w:r w:rsidRPr="00447371">
              <w:t>225</w:t>
            </w:r>
          </w:p>
        </w:tc>
        <w:tc>
          <w:tcPr>
            <w:tcW w:w="810" w:type="dxa"/>
            <w:shd w:val="clear" w:color="auto" w:fill="auto"/>
            <w:tcMar>
              <w:left w:w="108" w:type="dxa"/>
              <w:right w:w="108" w:type="dxa"/>
            </w:tcMar>
            <w:vAlign w:val="center"/>
          </w:tcPr>
          <w:p w:rsidR="00A6145B" w:rsidRPr="00447371" w:rsidP="0083305B" w14:paraId="443F179C" w14:textId="77777777">
            <w:pPr>
              <w:jc w:val="center"/>
            </w:pPr>
            <w:r w:rsidRPr="00447371">
              <w:t>250</w:t>
            </w:r>
          </w:p>
        </w:tc>
        <w:tc>
          <w:tcPr>
            <w:tcW w:w="810" w:type="dxa"/>
            <w:shd w:val="clear" w:color="auto" w:fill="auto"/>
            <w:tcMar>
              <w:left w:w="108" w:type="dxa"/>
              <w:right w:w="108" w:type="dxa"/>
            </w:tcMar>
            <w:vAlign w:val="center"/>
          </w:tcPr>
          <w:p w:rsidR="00A6145B" w:rsidRPr="00447371" w:rsidP="0083305B" w14:paraId="437989D3" w14:textId="77777777">
            <w:pPr>
              <w:jc w:val="center"/>
            </w:pPr>
            <w:r w:rsidRPr="00447371">
              <w:t>275</w:t>
            </w:r>
          </w:p>
        </w:tc>
        <w:tc>
          <w:tcPr>
            <w:tcW w:w="810" w:type="dxa"/>
            <w:shd w:val="clear" w:color="auto" w:fill="auto"/>
            <w:tcMar>
              <w:left w:w="108" w:type="dxa"/>
              <w:right w:w="108" w:type="dxa"/>
            </w:tcMar>
            <w:vAlign w:val="center"/>
          </w:tcPr>
          <w:p w:rsidR="00A6145B" w:rsidRPr="00447371" w:rsidP="0083305B" w14:paraId="28A933E7" w14:textId="77777777">
            <w:pPr>
              <w:jc w:val="center"/>
            </w:pPr>
            <w:r w:rsidRPr="00447371">
              <w:t>300</w:t>
            </w:r>
          </w:p>
        </w:tc>
        <w:tc>
          <w:tcPr>
            <w:tcW w:w="810" w:type="dxa"/>
            <w:shd w:val="clear" w:color="auto" w:fill="auto"/>
            <w:tcMar>
              <w:left w:w="108" w:type="dxa"/>
              <w:right w:w="108" w:type="dxa"/>
            </w:tcMar>
            <w:vAlign w:val="center"/>
          </w:tcPr>
          <w:p w:rsidR="00A6145B" w:rsidRPr="00447371" w:rsidP="0083305B" w14:paraId="7E38ECFF" w14:textId="77777777">
            <w:pPr>
              <w:jc w:val="center"/>
            </w:pPr>
            <w:r w:rsidRPr="00447371">
              <w:t>325</w:t>
            </w:r>
          </w:p>
        </w:tc>
        <w:tc>
          <w:tcPr>
            <w:tcW w:w="810" w:type="dxa"/>
            <w:shd w:val="clear" w:color="auto" w:fill="auto"/>
            <w:tcMar>
              <w:left w:w="108" w:type="dxa"/>
              <w:right w:w="108" w:type="dxa"/>
            </w:tcMar>
            <w:vAlign w:val="center"/>
          </w:tcPr>
          <w:p w:rsidR="00A6145B" w:rsidRPr="00447371" w:rsidP="0083305B" w14:paraId="68E8E8CC" w14:textId="77777777">
            <w:pPr>
              <w:jc w:val="center"/>
            </w:pPr>
            <w:r w:rsidRPr="00447371">
              <w:t>350</w:t>
            </w:r>
          </w:p>
        </w:tc>
        <w:tc>
          <w:tcPr>
            <w:tcW w:w="1010" w:type="dxa"/>
            <w:shd w:val="clear" w:color="auto" w:fill="auto"/>
            <w:tcMar>
              <w:left w:w="108" w:type="dxa"/>
              <w:right w:w="108" w:type="dxa"/>
            </w:tcMar>
            <w:vAlign w:val="center"/>
          </w:tcPr>
          <w:p w:rsidR="00A6145B" w:rsidRPr="00447371" w:rsidP="0083305B" w14:paraId="4A37C52E" w14:textId="77777777">
            <w:pPr>
              <w:jc w:val="center"/>
            </w:pPr>
            <w:r w:rsidRPr="00447371">
              <w:t>375</w:t>
            </w:r>
          </w:p>
        </w:tc>
      </w:tr>
      <w:tr w14:paraId="77205C10" w14:textId="77777777" w:rsidTr="0083305B">
        <w:tblPrEx>
          <w:tblW w:w="9530" w:type="dxa"/>
          <w:tblLayout w:type="fixed"/>
          <w:tblLook w:val="04A0"/>
        </w:tblPrEx>
        <w:trPr>
          <w:trHeight w:val="300"/>
        </w:trPr>
        <w:tc>
          <w:tcPr>
            <w:tcW w:w="1230" w:type="dxa"/>
            <w:shd w:val="clear" w:color="auto" w:fill="auto"/>
            <w:tcMar>
              <w:left w:w="108" w:type="dxa"/>
              <w:right w:w="108" w:type="dxa"/>
            </w:tcMar>
            <w:vAlign w:val="center"/>
          </w:tcPr>
          <w:p w:rsidR="00A6145B" w:rsidRPr="00447371" w:rsidP="0083305B" w14:paraId="4FFB6085" w14:textId="77777777">
            <w:pPr>
              <w:jc w:val="center"/>
            </w:pPr>
            <w:r w:rsidRPr="00447371">
              <w:t>81</w:t>
            </w:r>
          </w:p>
        </w:tc>
        <w:tc>
          <w:tcPr>
            <w:tcW w:w="810" w:type="dxa"/>
            <w:shd w:val="clear" w:color="auto" w:fill="auto"/>
            <w:tcMar>
              <w:left w:w="108" w:type="dxa"/>
              <w:right w:w="108" w:type="dxa"/>
            </w:tcMar>
            <w:vAlign w:val="center"/>
          </w:tcPr>
          <w:p w:rsidR="00A6145B" w:rsidRPr="00447371" w:rsidP="0083305B" w14:paraId="79B2A5FB" w14:textId="77777777">
            <w:pPr>
              <w:jc w:val="center"/>
            </w:pPr>
            <w:r w:rsidRPr="00447371">
              <w:t>-11.2</w:t>
            </w:r>
          </w:p>
        </w:tc>
        <w:tc>
          <w:tcPr>
            <w:tcW w:w="810" w:type="dxa"/>
            <w:shd w:val="clear" w:color="auto" w:fill="auto"/>
            <w:tcMar>
              <w:left w:w="108" w:type="dxa"/>
              <w:right w:w="108" w:type="dxa"/>
            </w:tcMar>
            <w:vAlign w:val="center"/>
          </w:tcPr>
          <w:p w:rsidR="00A6145B" w:rsidRPr="00447371" w:rsidP="0083305B" w14:paraId="55967BF4" w14:textId="77777777">
            <w:pPr>
              <w:jc w:val="center"/>
            </w:pPr>
            <w:r w:rsidRPr="00447371">
              <w:t>-8.8</w:t>
            </w:r>
          </w:p>
        </w:tc>
        <w:tc>
          <w:tcPr>
            <w:tcW w:w="810" w:type="dxa"/>
            <w:shd w:val="clear" w:color="auto" w:fill="auto"/>
            <w:tcMar>
              <w:left w:w="108" w:type="dxa"/>
              <w:right w:w="108" w:type="dxa"/>
            </w:tcMar>
            <w:vAlign w:val="center"/>
          </w:tcPr>
          <w:p w:rsidR="00A6145B" w:rsidRPr="00447371" w:rsidP="0083305B" w14:paraId="091E1D88" w14:textId="77777777">
            <w:pPr>
              <w:jc w:val="center"/>
            </w:pPr>
            <w:r w:rsidRPr="00447371">
              <w:t>-6.5</w:t>
            </w:r>
          </w:p>
        </w:tc>
        <w:tc>
          <w:tcPr>
            <w:tcW w:w="810" w:type="dxa"/>
            <w:shd w:val="clear" w:color="auto" w:fill="auto"/>
            <w:tcMar>
              <w:left w:w="108" w:type="dxa"/>
              <w:right w:w="108" w:type="dxa"/>
            </w:tcMar>
            <w:vAlign w:val="center"/>
          </w:tcPr>
          <w:p w:rsidR="00A6145B" w:rsidRPr="00447371" w:rsidP="0083305B" w14:paraId="635F8E5F" w14:textId="77777777">
            <w:pPr>
              <w:jc w:val="center"/>
            </w:pPr>
            <w:r w:rsidRPr="00447371">
              <w:t>-4.2</w:t>
            </w:r>
          </w:p>
        </w:tc>
        <w:tc>
          <w:tcPr>
            <w:tcW w:w="810" w:type="dxa"/>
            <w:shd w:val="clear" w:color="auto" w:fill="auto"/>
            <w:tcMar>
              <w:left w:w="108" w:type="dxa"/>
              <w:right w:w="108" w:type="dxa"/>
            </w:tcMar>
            <w:vAlign w:val="center"/>
          </w:tcPr>
          <w:p w:rsidR="00A6145B" w:rsidRPr="00447371" w:rsidP="0083305B" w14:paraId="63E5B38B" w14:textId="77777777">
            <w:pPr>
              <w:jc w:val="center"/>
            </w:pPr>
            <w:r w:rsidRPr="00447371">
              <w:t>-1.5</w:t>
            </w:r>
          </w:p>
        </w:tc>
        <w:tc>
          <w:tcPr>
            <w:tcW w:w="810" w:type="dxa"/>
            <w:shd w:val="clear" w:color="auto" w:fill="auto"/>
            <w:tcMar>
              <w:left w:w="108" w:type="dxa"/>
              <w:right w:w="108" w:type="dxa"/>
            </w:tcMar>
            <w:vAlign w:val="center"/>
          </w:tcPr>
          <w:p w:rsidR="00A6145B" w:rsidRPr="00447371" w:rsidP="0083305B" w14:paraId="7E25BDF3" w14:textId="77777777">
            <w:pPr>
              <w:jc w:val="center"/>
            </w:pPr>
            <w:r w:rsidRPr="00447371">
              <w:t>1.1</w:t>
            </w:r>
          </w:p>
        </w:tc>
        <w:tc>
          <w:tcPr>
            <w:tcW w:w="810" w:type="dxa"/>
            <w:shd w:val="clear" w:color="auto" w:fill="auto"/>
            <w:tcMar>
              <w:left w:w="108" w:type="dxa"/>
              <w:right w:w="108" w:type="dxa"/>
            </w:tcMar>
            <w:vAlign w:val="center"/>
          </w:tcPr>
          <w:p w:rsidR="00A6145B" w:rsidRPr="00447371" w:rsidP="0083305B" w14:paraId="08F5070C" w14:textId="77777777">
            <w:pPr>
              <w:jc w:val="center"/>
            </w:pPr>
            <w:r w:rsidRPr="00447371">
              <w:t>3.9</w:t>
            </w:r>
          </w:p>
        </w:tc>
        <w:tc>
          <w:tcPr>
            <w:tcW w:w="810" w:type="dxa"/>
            <w:shd w:val="clear" w:color="auto" w:fill="auto"/>
            <w:tcMar>
              <w:left w:w="108" w:type="dxa"/>
              <w:right w:w="108" w:type="dxa"/>
            </w:tcMar>
            <w:vAlign w:val="center"/>
          </w:tcPr>
          <w:p w:rsidR="00A6145B" w:rsidRPr="00447371" w:rsidP="0083305B" w14:paraId="3B1BFCE6" w14:textId="77777777">
            <w:pPr>
              <w:jc w:val="center"/>
            </w:pPr>
            <w:r w:rsidRPr="00447371">
              <w:t>6.7</w:t>
            </w:r>
          </w:p>
        </w:tc>
        <w:tc>
          <w:tcPr>
            <w:tcW w:w="810" w:type="dxa"/>
            <w:shd w:val="clear" w:color="auto" w:fill="auto"/>
            <w:tcMar>
              <w:left w:w="108" w:type="dxa"/>
              <w:right w:w="108" w:type="dxa"/>
            </w:tcMar>
            <w:vAlign w:val="center"/>
          </w:tcPr>
          <w:p w:rsidR="00A6145B" w:rsidRPr="00447371" w:rsidP="0083305B" w14:paraId="3BC1DD78" w14:textId="77777777">
            <w:pPr>
              <w:jc w:val="center"/>
            </w:pPr>
            <w:r w:rsidRPr="00447371">
              <w:t>10</w:t>
            </w:r>
          </w:p>
        </w:tc>
        <w:tc>
          <w:tcPr>
            <w:tcW w:w="1005" w:type="dxa"/>
            <w:shd w:val="clear" w:color="auto" w:fill="auto"/>
            <w:tcMar>
              <w:left w:w="108" w:type="dxa"/>
              <w:right w:w="108" w:type="dxa"/>
            </w:tcMar>
            <w:vAlign w:val="center"/>
          </w:tcPr>
          <w:p w:rsidR="00A6145B" w:rsidRPr="00447371" w:rsidP="0083305B" w14:paraId="175A1D3D" w14:textId="77777777">
            <w:pPr>
              <w:jc w:val="center"/>
            </w:pPr>
            <w:r w:rsidRPr="00447371">
              <w:t>13.5</w:t>
            </w:r>
          </w:p>
        </w:tc>
      </w:tr>
      <w:tr w14:paraId="68B3DA6C" w14:textId="77777777" w:rsidTr="0083305B">
        <w:tblPrEx>
          <w:tblW w:w="9530" w:type="dxa"/>
          <w:tblLayout w:type="fixed"/>
          <w:tblLook w:val="04A0"/>
        </w:tblPrEx>
        <w:trPr>
          <w:trHeight w:val="300"/>
        </w:trPr>
        <w:tc>
          <w:tcPr>
            <w:tcW w:w="1230" w:type="dxa"/>
            <w:shd w:val="clear" w:color="auto" w:fill="auto"/>
            <w:tcMar>
              <w:left w:w="108" w:type="dxa"/>
              <w:right w:w="108" w:type="dxa"/>
            </w:tcMar>
            <w:vAlign w:val="center"/>
          </w:tcPr>
          <w:p w:rsidR="00A6145B" w:rsidRPr="00447371" w:rsidP="0083305B" w14:paraId="2F78C6C7" w14:textId="77777777">
            <w:pPr>
              <w:jc w:val="center"/>
            </w:pPr>
            <w:r w:rsidRPr="00447371">
              <w:t>82</w:t>
            </w:r>
          </w:p>
        </w:tc>
        <w:tc>
          <w:tcPr>
            <w:tcW w:w="810" w:type="dxa"/>
            <w:shd w:val="clear" w:color="auto" w:fill="auto"/>
            <w:tcMar>
              <w:left w:w="108" w:type="dxa"/>
              <w:right w:w="108" w:type="dxa"/>
            </w:tcMar>
            <w:vAlign w:val="center"/>
          </w:tcPr>
          <w:p w:rsidR="00A6145B" w:rsidRPr="00447371" w:rsidP="0083305B" w14:paraId="476E8899" w14:textId="77777777">
            <w:pPr>
              <w:jc w:val="center"/>
            </w:pPr>
            <w:r w:rsidRPr="00447371">
              <w:t>-11.5</w:t>
            </w:r>
          </w:p>
        </w:tc>
        <w:tc>
          <w:tcPr>
            <w:tcW w:w="810" w:type="dxa"/>
            <w:shd w:val="clear" w:color="auto" w:fill="auto"/>
            <w:tcMar>
              <w:left w:w="108" w:type="dxa"/>
              <w:right w:w="108" w:type="dxa"/>
            </w:tcMar>
            <w:vAlign w:val="center"/>
          </w:tcPr>
          <w:p w:rsidR="00A6145B" w:rsidRPr="00447371" w:rsidP="0083305B" w14:paraId="767B3A48" w14:textId="77777777">
            <w:pPr>
              <w:jc w:val="center"/>
            </w:pPr>
            <w:r w:rsidRPr="00447371">
              <w:t>-9.2</w:t>
            </w:r>
          </w:p>
        </w:tc>
        <w:tc>
          <w:tcPr>
            <w:tcW w:w="810" w:type="dxa"/>
            <w:shd w:val="clear" w:color="auto" w:fill="auto"/>
            <w:tcMar>
              <w:left w:w="108" w:type="dxa"/>
              <w:right w:w="108" w:type="dxa"/>
            </w:tcMar>
            <w:vAlign w:val="center"/>
          </w:tcPr>
          <w:p w:rsidR="00A6145B" w:rsidRPr="00447371" w:rsidP="0083305B" w14:paraId="7077E127" w14:textId="77777777">
            <w:pPr>
              <w:jc w:val="center"/>
            </w:pPr>
            <w:r w:rsidRPr="00447371">
              <w:t>-6.9</w:t>
            </w:r>
          </w:p>
        </w:tc>
        <w:tc>
          <w:tcPr>
            <w:tcW w:w="810" w:type="dxa"/>
            <w:shd w:val="clear" w:color="auto" w:fill="auto"/>
            <w:tcMar>
              <w:left w:w="108" w:type="dxa"/>
              <w:right w:w="108" w:type="dxa"/>
            </w:tcMar>
            <w:vAlign w:val="center"/>
          </w:tcPr>
          <w:p w:rsidR="00A6145B" w:rsidRPr="00447371" w:rsidP="0083305B" w14:paraId="42057EE4" w14:textId="77777777">
            <w:pPr>
              <w:jc w:val="center"/>
            </w:pPr>
            <w:r w:rsidRPr="00447371">
              <w:t>-4.6</w:t>
            </w:r>
          </w:p>
        </w:tc>
        <w:tc>
          <w:tcPr>
            <w:tcW w:w="810" w:type="dxa"/>
            <w:shd w:val="clear" w:color="auto" w:fill="auto"/>
            <w:tcMar>
              <w:left w:w="108" w:type="dxa"/>
              <w:right w:w="108" w:type="dxa"/>
            </w:tcMar>
            <w:vAlign w:val="center"/>
          </w:tcPr>
          <w:p w:rsidR="00A6145B" w:rsidRPr="00447371" w:rsidP="0083305B" w14:paraId="67E1D60E" w14:textId="77777777">
            <w:pPr>
              <w:jc w:val="center"/>
            </w:pPr>
            <w:r w:rsidRPr="00447371">
              <w:t>-2</w:t>
            </w:r>
          </w:p>
        </w:tc>
        <w:tc>
          <w:tcPr>
            <w:tcW w:w="810" w:type="dxa"/>
            <w:shd w:val="clear" w:color="auto" w:fill="auto"/>
            <w:tcMar>
              <w:left w:w="108" w:type="dxa"/>
              <w:right w:w="108" w:type="dxa"/>
            </w:tcMar>
            <w:vAlign w:val="center"/>
          </w:tcPr>
          <w:p w:rsidR="00A6145B" w:rsidRPr="00447371" w:rsidP="0083305B" w14:paraId="5DDDC022" w14:textId="77777777">
            <w:pPr>
              <w:jc w:val="center"/>
            </w:pPr>
            <w:r w:rsidRPr="00447371">
              <w:t>0.5</w:t>
            </w:r>
          </w:p>
        </w:tc>
        <w:tc>
          <w:tcPr>
            <w:tcW w:w="810" w:type="dxa"/>
            <w:shd w:val="clear" w:color="auto" w:fill="auto"/>
            <w:tcMar>
              <w:left w:w="108" w:type="dxa"/>
              <w:right w:w="108" w:type="dxa"/>
            </w:tcMar>
            <w:vAlign w:val="center"/>
          </w:tcPr>
          <w:p w:rsidR="00A6145B" w:rsidRPr="00447371" w:rsidP="0083305B" w14:paraId="1F20CB85" w14:textId="77777777">
            <w:pPr>
              <w:jc w:val="center"/>
            </w:pPr>
            <w:r w:rsidRPr="00447371">
              <w:t>3.2</w:t>
            </w:r>
          </w:p>
        </w:tc>
        <w:tc>
          <w:tcPr>
            <w:tcW w:w="810" w:type="dxa"/>
            <w:shd w:val="clear" w:color="auto" w:fill="auto"/>
            <w:tcMar>
              <w:left w:w="108" w:type="dxa"/>
              <w:right w:w="108" w:type="dxa"/>
            </w:tcMar>
            <w:vAlign w:val="center"/>
          </w:tcPr>
          <w:p w:rsidR="00A6145B" w:rsidRPr="00447371" w:rsidP="0083305B" w14:paraId="482C67C3" w14:textId="77777777">
            <w:pPr>
              <w:jc w:val="center"/>
            </w:pPr>
            <w:r w:rsidRPr="00447371">
              <w:t>6</w:t>
            </w:r>
          </w:p>
        </w:tc>
        <w:tc>
          <w:tcPr>
            <w:tcW w:w="810" w:type="dxa"/>
            <w:shd w:val="clear" w:color="auto" w:fill="auto"/>
            <w:tcMar>
              <w:left w:w="108" w:type="dxa"/>
              <w:right w:w="108" w:type="dxa"/>
            </w:tcMar>
            <w:vAlign w:val="center"/>
          </w:tcPr>
          <w:p w:rsidR="00A6145B" w:rsidRPr="00447371" w:rsidP="0083305B" w14:paraId="6A957163" w14:textId="77777777">
            <w:pPr>
              <w:jc w:val="center"/>
            </w:pPr>
            <w:r w:rsidRPr="00447371">
              <w:t>9.2</w:t>
            </w:r>
          </w:p>
        </w:tc>
        <w:tc>
          <w:tcPr>
            <w:tcW w:w="1005" w:type="dxa"/>
            <w:shd w:val="clear" w:color="auto" w:fill="auto"/>
            <w:tcMar>
              <w:left w:w="108" w:type="dxa"/>
              <w:right w:w="108" w:type="dxa"/>
            </w:tcMar>
            <w:vAlign w:val="center"/>
          </w:tcPr>
          <w:p w:rsidR="00A6145B" w:rsidRPr="00447371" w:rsidP="0083305B" w14:paraId="022BE319" w14:textId="77777777">
            <w:pPr>
              <w:jc w:val="center"/>
            </w:pPr>
            <w:r w:rsidRPr="00447371">
              <w:t>12.6</w:t>
            </w:r>
          </w:p>
        </w:tc>
      </w:tr>
      <w:tr w14:paraId="55988D6B" w14:textId="77777777" w:rsidTr="0083305B">
        <w:tblPrEx>
          <w:tblW w:w="9530" w:type="dxa"/>
          <w:tblLayout w:type="fixed"/>
          <w:tblLook w:val="04A0"/>
        </w:tblPrEx>
        <w:trPr>
          <w:trHeight w:val="300"/>
        </w:trPr>
        <w:tc>
          <w:tcPr>
            <w:tcW w:w="1230" w:type="dxa"/>
            <w:shd w:val="clear" w:color="auto" w:fill="auto"/>
            <w:tcMar>
              <w:left w:w="108" w:type="dxa"/>
              <w:right w:w="108" w:type="dxa"/>
            </w:tcMar>
            <w:vAlign w:val="center"/>
          </w:tcPr>
          <w:p w:rsidR="00A6145B" w:rsidRPr="00447371" w:rsidP="0083305B" w14:paraId="56CF3EBF" w14:textId="77777777">
            <w:pPr>
              <w:jc w:val="center"/>
            </w:pPr>
            <w:r w:rsidRPr="00447371">
              <w:t>83</w:t>
            </w:r>
          </w:p>
        </w:tc>
        <w:tc>
          <w:tcPr>
            <w:tcW w:w="810" w:type="dxa"/>
            <w:shd w:val="clear" w:color="auto" w:fill="auto"/>
            <w:tcMar>
              <w:left w:w="108" w:type="dxa"/>
              <w:right w:w="108" w:type="dxa"/>
            </w:tcMar>
            <w:vAlign w:val="center"/>
          </w:tcPr>
          <w:p w:rsidR="00A6145B" w:rsidRPr="00447371" w:rsidP="0083305B" w14:paraId="67A70A3D" w14:textId="77777777">
            <w:pPr>
              <w:jc w:val="center"/>
            </w:pPr>
            <w:r w:rsidRPr="00447371">
              <w:t>-11.7</w:t>
            </w:r>
          </w:p>
        </w:tc>
        <w:tc>
          <w:tcPr>
            <w:tcW w:w="810" w:type="dxa"/>
            <w:shd w:val="clear" w:color="auto" w:fill="auto"/>
            <w:tcMar>
              <w:left w:w="108" w:type="dxa"/>
              <w:right w:w="108" w:type="dxa"/>
            </w:tcMar>
            <w:vAlign w:val="center"/>
          </w:tcPr>
          <w:p w:rsidR="00A6145B" w:rsidRPr="00447371" w:rsidP="0083305B" w14:paraId="0E40B2BC" w14:textId="77777777">
            <w:pPr>
              <w:jc w:val="center"/>
            </w:pPr>
            <w:r w:rsidRPr="00447371">
              <w:t>-9.5</w:t>
            </w:r>
          </w:p>
        </w:tc>
        <w:tc>
          <w:tcPr>
            <w:tcW w:w="810" w:type="dxa"/>
            <w:shd w:val="clear" w:color="auto" w:fill="auto"/>
            <w:tcMar>
              <w:left w:w="108" w:type="dxa"/>
              <w:right w:w="108" w:type="dxa"/>
            </w:tcMar>
            <w:vAlign w:val="center"/>
          </w:tcPr>
          <w:p w:rsidR="00A6145B" w:rsidRPr="00447371" w:rsidP="0083305B" w14:paraId="63159157" w14:textId="77777777">
            <w:pPr>
              <w:jc w:val="center"/>
            </w:pPr>
            <w:r w:rsidRPr="00447371">
              <w:t>-7.3</w:t>
            </w:r>
          </w:p>
        </w:tc>
        <w:tc>
          <w:tcPr>
            <w:tcW w:w="810" w:type="dxa"/>
            <w:shd w:val="clear" w:color="auto" w:fill="auto"/>
            <w:tcMar>
              <w:left w:w="108" w:type="dxa"/>
              <w:right w:w="108" w:type="dxa"/>
            </w:tcMar>
            <w:vAlign w:val="center"/>
          </w:tcPr>
          <w:p w:rsidR="00A6145B" w:rsidRPr="00447371" w:rsidP="0083305B" w14:paraId="4D75958A" w14:textId="77777777">
            <w:pPr>
              <w:jc w:val="center"/>
            </w:pPr>
            <w:r w:rsidRPr="00447371">
              <w:t>-5</w:t>
            </w:r>
          </w:p>
        </w:tc>
        <w:tc>
          <w:tcPr>
            <w:tcW w:w="810" w:type="dxa"/>
            <w:shd w:val="clear" w:color="auto" w:fill="auto"/>
            <w:tcMar>
              <w:left w:w="108" w:type="dxa"/>
              <w:right w:w="108" w:type="dxa"/>
            </w:tcMar>
            <w:vAlign w:val="center"/>
          </w:tcPr>
          <w:p w:rsidR="00A6145B" w:rsidRPr="00447371" w:rsidP="0083305B" w14:paraId="32F6AE4B" w14:textId="77777777">
            <w:pPr>
              <w:jc w:val="center"/>
            </w:pPr>
            <w:r w:rsidRPr="00447371">
              <w:t>-2.4</w:t>
            </w:r>
          </w:p>
        </w:tc>
        <w:tc>
          <w:tcPr>
            <w:tcW w:w="810" w:type="dxa"/>
            <w:shd w:val="clear" w:color="auto" w:fill="auto"/>
            <w:tcMar>
              <w:left w:w="108" w:type="dxa"/>
              <w:right w:w="108" w:type="dxa"/>
            </w:tcMar>
            <w:vAlign w:val="center"/>
          </w:tcPr>
          <w:p w:rsidR="00A6145B" w:rsidRPr="00447371" w:rsidP="0083305B" w14:paraId="3C8940F3" w14:textId="77777777">
            <w:pPr>
              <w:jc w:val="center"/>
            </w:pPr>
            <w:r w:rsidRPr="00447371">
              <w:t>0</w:t>
            </w:r>
          </w:p>
        </w:tc>
        <w:tc>
          <w:tcPr>
            <w:tcW w:w="810" w:type="dxa"/>
            <w:shd w:val="clear" w:color="auto" w:fill="auto"/>
            <w:tcMar>
              <w:left w:w="108" w:type="dxa"/>
              <w:right w:w="108" w:type="dxa"/>
            </w:tcMar>
            <w:vAlign w:val="center"/>
          </w:tcPr>
          <w:p w:rsidR="00A6145B" w:rsidRPr="00447371" w:rsidP="0083305B" w14:paraId="788D6B9D" w14:textId="77777777">
            <w:pPr>
              <w:jc w:val="center"/>
            </w:pPr>
            <w:r w:rsidRPr="00447371">
              <w:t>2.7</w:t>
            </w:r>
          </w:p>
        </w:tc>
        <w:tc>
          <w:tcPr>
            <w:tcW w:w="810" w:type="dxa"/>
            <w:shd w:val="clear" w:color="auto" w:fill="auto"/>
            <w:tcMar>
              <w:left w:w="108" w:type="dxa"/>
              <w:right w:w="108" w:type="dxa"/>
            </w:tcMar>
            <w:vAlign w:val="center"/>
          </w:tcPr>
          <w:p w:rsidR="00A6145B" w:rsidRPr="00447371" w:rsidP="0083305B" w14:paraId="64664EDC" w14:textId="77777777">
            <w:pPr>
              <w:jc w:val="center"/>
            </w:pPr>
            <w:r w:rsidRPr="00447371">
              <w:t>5.4</w:t>
            </w:r>
          </w:p>
        </w:tc>
        <w:tc>
          <w:tcPr>
            <w:tcW w:w="810" w:type="dxa"/>
            <w:shd w:val="clear" w:color="auto" w:fill="auto"/>
            <w:tcMar>
              <w:left w:w="108" w:type="dxa"/>
              <w:right w:w="108" w:type="dxa"/>
            </w:tcMar>
            <w:vAlign w:val="center"/>
          </w:tcPr>
          <w:p w:rsidR="00A6145B" w:rsidRPr="00447371" w:rsidP="0083305B" w14:paraId="43EC2C42" w14:textId="77777777">
            <w:pPr>
              <w:jc w:val="center"/>
            </w:pPr>
            <w:r w:rsidRPr="00447371">
              <w:t>8.6</w:t>
            </w:r>
          </w:p>
        </w:tc>
        <w:tc>
          <w:tcPr>
            <w:tcW w:w="1005" w:type="dxa"/>
            <w:shd w:val="clear" w:color="auto" w:fill="auto"/>
            <w:tcMar>
              <w:left w:w="108" w:type="dxa"/>
              <w:right w:w="108" w:type="dxa"/>
            </w:tcMar>
            <w:vAlign w:val="center"/>
          </w:tcPr>
          <w:p w:rsidR="00A6145B" w:rsidRPr="00447371" w:rsidP="0083305B" w14:paraId="566AADC0" w14:textId="77777777">
            <w:pPr>
              <w:jc w:val="center"/>
            </w:pPr>
            <w:r w:rsidRPr="00447371">
              <w:t>11.9</w:t>
            </w:r>
          </w:p>
        </w:tc>
      </w:tr>
      <w:tr w14:paraId="4802910D" w14:textId="77777777" w:rsidTr="0083305B">
        <w:tblPrEx>
          <w:tblW w:w="9530" w:type="dxa"/>
          <w:tblLayout w:type="fixed"/>
          <w:tblLook w:val="04A0"/>
        </w:tblPrEx>
        <w:trPr>
          <w:trHeight w:val="300"/>
        </w:trPr>
        <w:tc>
          <w:tcPr>
            <w:tcW w:w="1230" w:type="dxa"/>
            <w:shd w:val="clear" w:color="auto" w:fill="auto"/>
            <w:tcMar>
              <w:left w:w="108" w:type="dxa"/>
              <w:right w:w="108" w:type="dxa"/>
            </w:tcMar>
            <w:vAlign w:val="center"/>
          </w:tcPr>
          <w:p w:rsidR="00A6145B" w:rsidRPr="00447371" w:rsidP="0083305B" w14:paraId="58762693" w14:textId="77777777">
            <w:pPr>
              <w:jc w:val="center"/>
            </w:pPr>
            <w:r w:rsidRPr="00447371">
              <w:t>84</w:t>
            </w:r>
          </w:p>
        </w:tc>
        <w:tc>
          <w:tcPr>
            <w:tcW w:w="810" w:type="dxa"/>
            <w:shd w:val="clear" w:color="auto" w:fill="auto"/>
            <w:tcMar>
              <w:left w:w="108" w:type="dxa"/>
              <w:right w:w="108" w:type="dxa"/>
            </w:tcMar>
            <w:vAlign w:val="center"/>
          </w:tcPr>
          <w:p w:rsidR="00A6145B" w:rsidRPr="00447371" w:rsidP="0083305B" w14:paraId="47B2B409" w14:textId="77777777">
            <w:pPr>
              <w:jc w:val="center"/>
            </w:pPr>
            <w:r w:rsidRPr="00447371">
              <w:t>-11.9</w:t>
            </w:r>
          </w:p>
        </w:tc>
        <w:tc>
          <w:tcPr>
            <w:tcW w:w="810" w:type="dxa"/>
            <w:shd w:val="clear" w:color="auto" w:fill="auto"/>
            <w:tcMar>
              <w:left w:w="108" w:type="dxa"/>
              <w:right w:w="108" w:type="dxa"/>
            </w:tcMar>
            <w:vAlign w:val="center"/>
          </w:tcPr>
          <w:p w:rsidR="00A6145B" w:rsidRPr="00447371" w:rsidP="0083305B" w14:paraId="2DB1A6EB" w14:textId="77777777">
            <w:pPr>
              <w:jc w:val="center"/>
            </w:pPr>
            <w:r w:rsidRPr="00447371">
              <w:t>-9.7</w:t>
            </w:r>
          </w:p>
        </w:tc>
        <w:tc>
          <w:tcPr>
            <w:tcW w:w="810" w:type="dxa"/>
            <w:shd w:val="clear" w:color="auto" w:fill="auto"/>
            <w:tcMar>
              <w:left w:w="108" w:type="dxa"/>
              <w:right w:w="108" w:type="dxa"/>
            </w:tcMar>
            <w:vAlign w:val="center"/>
          </w:tcPr>
          <w:p w:rsidR="00A6145B" w:rsidRPr="00447371" w:rsidP="0083305B" w14:paraId="135D638F" w14:textId="77777777">
            <w:pPr>
              <w:jc w:val="center"/>
            </w:pPr>
            <w:r w:rsidRPr="00447371">
              <w:t>-7.5</w:t>
            </w:r>
          </w:p>
        </w:tc>
        <w:tc>
          <w:tcPr>
            <w:tcW w:w="810" w:type="dxa"/>
            <w:shd w:val="clear" w:color="auto" w:fill="auto"/>
            <w:tcMar>
              <w:left w:w="108" w:type="dxa"/>
              <w:right w:w="108" w:type="dxa"/>
            </w:tcMar>
            <w:vAlign w:val="center"/>
          </w:tcPr>
          <w:p w:rsidR="00A6145B" w:rsidRPr="00447371" w:rsidP="0083305B" w14:paraId="00C124CB" w14:textId="77777777">
            <w:pPr>
              <w:jc w:val="center"/>
            </w:pPr>
            <w:r w:rsidRPr="00447371">
              <w:t>-5.3</w:t>
            </w:r>
          </w:p>
        </w:tc>
        <w:tc>
          <w:tcPr>
            <w:tcW w:w="810" w:type="dxa"/>
            <w:shd w:val="clear" w:color="auto" w:fill="auto"/>
            <w:tcMar>
              <w:left w:w="108" w:type="dxa"/>
              <w:right w:w="108" w:type="dxa"/>
            </w:tcMar>
            <w:vAlign w:val="center"/>
          </w:tcPr>
          <w:p w:rsidR="00A6145B" w:rsidRPr="00447371" w:rsidP="0083305B" w14:paraId="0CAD29EF" w14:textId="77777777">
            <w:pPr>
              <w:jc w:val="center"/>
            </w:pPr>
            <w:r w:rsidRPr="00447371">
              <w:t>-2.8</w:t>
            </w:r>
          </w:p>
        </w:tc>
        <w:tc>
          <w:tcPr>
            <w:tcW w:w="810" w:type="dxa"/>
            <w:shd w:val="clear" w:color="auto" w:fill="auto"/>
            <w:tcMar>
              <w:left w:w="108" w:type="dxa"/>
              <w:right w:w="108" w:type="dxa"/>
            </w:tcMar>
            <w:vAlign w:val="center"/>
          </w:tcPr>
          <w:p w:rsidR="00A6145B" w:rsidRPr="00447371" w:rsidP="0083305B" w14:paraId="6A2E736A" w14:textId="77777777">
            <w:pPr>
              <w:jc w:val="center"/>
            </w:pPr>
            <w:r w:rsidRPr="00447371">
              <w:t>-0.4</w:t>
            </w:r>
          </w:p>
        </w:tc>
        <w:tc>
          <w:tcPr>
            <w:tcW w:w="810" w:type="dxa"/>
            <w:shd w:val="clear" w:color="auto" w:fill="auto"/>
            <w:tcMar>
              <w:left w:w="108" w:type="dxa"/>
              <w:right w:w="108" w:type="dxa"/>
            </w:tcMar>
            <w:vAlign w:val="center"/>
          </w:tcPr>
          <w:p w:rsidR="00A6145B" w:rsidRPr="00447371" w:rsidP="0083305B" w14:paraId="130E9AB1" w14:textId="77777777">
            <w:pPr>
              <w:jc w:val="center"/>
            </w:pPr>
            <w:r w:rsidRPr="00447371">
              <w:t>2.3</w:t>
            </w:r>
          </w:p>
        </w:tc>
        <w:tc>
          <w:tcPr>
            <w:tcW w:w="810" w:type="dxa"/>
            <w:shd w:val="clear" w:color="auto" w:fill="auto"/>
            <w:tcMar>
              <w:left w:w="108" w:type="dxa"/>
              <w:right w:w="108" w:type="dxa"/>
            </w:tcMar>
            <w:vAlign w:val="center"/>
          </w:tcPr>
          <w:p w:rsidR="00A6145B" w:rsidRPr="00447371" w:rsidP="0083305B" w14:paraId="325126C2" w14:textId="77777777">
            <w:pPr>
              <w:jc w:val="center"/>
            </w:pPr>
            <w:r w:rsidRPr="00447371">
              <w:t>4.9</w:t>
            </w:r>
          </w:p>
        </w:tc>
        <w:tc>
          <w:tcPr>
            <w:tcW w:w="810" w:type="dxa"/>
            <w:shd w:val="clear" w:color="auto" w:fill="auto"/>
            <w:tcMar>
              <w:left w:w="108" w:type="dxa"/>
              <w:right w:w="108" w:type="dxa"/>
            </w:tcMar>
            <w:vAlign w:val="center"/>
          </w:tcPr>
          <w:p w:rsidR="00A6145B" w:rsidRPr="00447371" w:rsidP="0083305B" w14:paraId="6E48ABA1" w14:textId="77777777">
            <w:pPr>
              <w:jc w:val="center"/>
            </w:pPr>
            <w:r w:rsidRPr="00447371">
              <w:t>8</w:t>
            </w:r>
          </w:p>
        </w:tc>
        <w:tc>
          <w:tcPr>
            <w:tcW w:w="1005" w:type="dxa"/>
            <w:shd w:val="clear" w:color="auto" w:fill="auto"/>
            <w:tcMar>
              <w:left w:w="108" w:type="dxa"/>
              <w:right w:w="108" w:type="dxa"/>
            </w:tcMar>
            <w:vAlign w:val="center"/>
          </w:tcPr>
          <w:p w:rsidR="00A6145B" w:rsidRPr="00447371" w:rsidP="0083305B" w14:paraId="74ED2071" w14:textId="77777777">
            <w:pPr>
              <w:jc w:val="center"/>
            </w:pPr>
            <w:r w:rsidRPr="00447371">
              <w:t>11.3</w:t>
            </w:r>
          </w:p>
        </w:tc>
      </w:tr>
      <w:tr w14:paraId="6DCF3946" w14:textId="77777777" w:rsidTr="0083305B">
        <w:tblPrEx>
          <w:tblW w:w="9530" w:type="dxa"/>
          <w:tblLayout w:type="fixed"/>
          <w:tblLook w:val="04A0"/>
        </w:tblPrEx>
        <w:trPr>
          <w:trHeight w:val="300"/>
        </w:trPr>
        <w:tc>
          <w:tcPr>
            <w:tcW w:w="1230" w:type="dxa"/>
            <w:shd w:val="clear" w:color="auto" w:fill="auto"/>
            <w:tcMar>
              <w:left w:w="108" w:type="dxa"/>
              <w:right w:w="108" w:type="dxa"/>
            </w:tcMar>
            <w:vAlign w:val="center"/>
          </w:tcPr>
          <w:p w:rsidR="00A6145B" w:rsidRPr="00447371" w:rsidP="0083305B" w14:paraId="25837F42" w14:textId="77777777">
            <w:pPr>
              <w:jc w:val="center"/>
            </w:pPr>
            <w:r w:rsidRPr="00447371">
              <w:t>85</w:t>
            </w:r>
          </w:p>
        </w:tc>
        <w:tc>
          <w:tcPr>
            <w:tcW w:w="810" w:type="dxa"/>
            <w:shd w:val="clear" w:color="auto" w:fill="auto"/>
            <w:tcMar>
              <w:left w:w="108" w:type="dxa"/>
              <w:right w:w="108" w:type="dxa"/>
            </w:tcMar>
            <w:vAlign w:val="center"/>
          </w:tcPr>
          <w:p w:rsidR="00A6145B" w:rsidRPr="00447371" w:rsidP="0083305B" w14:paraId="40B5D128" w14:textId="77777777">
            <w:pPr>
              <w:jc w:val="center"/>
            </w:pPr>
            <w:r w:rsidRPr="00447371">
              <w:t>-12.1</w:t>
            </w:r>
          </w:p>
        </w:tc>
        <w:tc>
          <w:tcPr>
            <w:tcW w:w="810" w:type="dxa"/>
            <w:shd w:val="clear" w:color="auto" w:fill="auto"/>
            <w:tcMar>
              <w:left w:w="108" w:type="dxa"/>
              <w:right w:w="108" w:type="dxa"/>
            </w:tcMar>
            <w:vAlign w:val="center"/>
          </w:tcPr>
          <w:p w:rsidR="00A6145B" w:rsidRPr="00447371" w:rsidP="0083305B" w14:paraId="1A25BEA1" w14:textId="77777777">
            <w:pPr>
              <w:jc w:val="center"/>
            </w:pPr>
            <w:r w:rsidRPr="00447371">
              <w:t>-9.9</w:t>
            </w:r>
          </w:p>
        </w:tc>
        <w:tc>
          <w:tcPr>
            <w:tcW w:w="810" w:type="dxa"/>
            <w:shd w:val="clear" w:color="auto" w:fill="auto"/>
            <w:tcMar>
              <w:left w:w="108" w:type="dxa"/>
              <w:right w:w="108" w:type="dxa"/>
            </w:tcMar>
            <w:vAlign w:val="center"/>
          </w:tcPr>
          <w:p w:rsidR="00A6145B" w:rsidRPr="00447371" w:rsidP="0083305B" w14:paraId="350EEAD3" w14:textId="77777777">
            <w:pPr>
              <w:jc w:val="center"/>
            </w:pPr>
            <w:r w:rsidRPr="00447371">
              <w:t>-7.8</w:t>
            </w:r>
          </w:p>
        </w:tc>
        <w:tc>
          <w:tcPr>
            <w:tcW w:w="810" w:type="dxa"/>
            <w:shd w:val="clear" w:color="auto" w:fill="auto"/>
            <w:tcMar>
              <w:left w:w="108" w:type="dxa"/>
              <w:right w:w="108" w:type="dxa"/>
            </w:tcMar>
            <w:vAlign w:val="center"/>
          </w:tcPr>
          <w:p w:rsidR="00A6145B" w:rsidRPr="00447371" w:rsidP="0083305B" w14:paraId="18536D4F" w14:textId="77777777">
            <w:pPr>
              <w:jc w:val="center"/>
            </w:pPr>
            <w:r w:rsidRPr="00447371">
              <w:t>-5.5</w:t>
            </w:r>
          </w:p>
        </w:tc>
        <w:tc>
          <w:tcPr>
            <w:tcW w:w="810" w:type="dxa"/>
            <w:shd w:val="clear" w:color="auto" w:fill="auto"/>
            <w:tcMar>
              <w:left w:w="108" w:type="dxa"/>
              <w:right w:w="108" w:type="dxa"/>
            </w:tcMar>
            <w:vAlign w:val="center"/>
          </w:tcPr>
          <w:p w:rsidR="00A6145B" w:rsidRPr="00447371" w:rsidP="0083305B" w14:paraId="53951C35" w14:textId="77777777">
            <w:pPr>
              <w:jc w:val="center"/>
            </w:pPr>
            <w:r w:rsidRPr="00447371">
              <w:t>-3</w:t>
            </w:r>
          </w:p>
        </w:tc>
        <w:tc>
          <w:tcPr>
            <w:tcW w:w="810" w:type="dxa"/>
            <w:shd w:val="clear" w:color="auto" w:fill="auto"/>
            <w:tcMar>
              <w:left w:w="108" w:type="dxa"/>
              <w:right w:w="108" w:type="dxa"/>
            </w:tcMar>
            <w:vAlign w:val="center"/>
          </w:tcPr>
          <w:p w:rsidR="00A6145B" w:rsidRPr="00447371" w:rsidP="0083305B" w14:paraId="1A67F30D" w14:textId="77777777">
            <w:pPr>
              <w:jc w:val="center"/>
            </w:pPr>
            <w:r w:rsidRPr="00447371">
              <w:t>-0.7</w:t>
            </w:r>
          </w:p>
        </w:tc>
        <w:tc>
          <w:tcPr>
            <w:tcW w:w="810" w:type="dxa"/>
            <w:shd w:val="clear" w:color="auto" w:fill="auto"/>
            <w:tcMar>
              <w:left w:w="108" w:type="dxa"/>
              <w:right w:w="108" w:type="dxa"/>
            </w:tcMar>
            <w:vAlign w:val="center"/>
          </w:tcPr>
          <w:p w:rsidR="00A6145B" w:rsidRPr="00447371" w:rsidP="0083305B" w14:paraId="20E3EC60" w14:textId="77777777">
            <w:pPr>
              <w:jc w:val="center"/>
            </w:pPr>
            <w:r w:rsidRPr="00447371">
              <w:t>1.9</w:t>
            </w:r>
          </w:p>
        </w:tc>
        <w:tc>
          <w:tcPr>
            <w:tcW w:w="810" w:type="dxa"/>
            <w:shd w:val="clear" w:color="auto" w:fill="auto"/>
            <w:tcMar>
              <w:left w:w="108" w:type="dxa"/>
              <w:right w:w="108" w:type="dxa"/>
            </w:tcMar>
            <w:vAlign w:val="center"/>
          </w:tcPr>
          <w:p w:rsidR="00A6145B" w:rsidRPr="00447371" w:rsidP="0083305B" w14:paraId="62EFF09F" w14:textId="77777777">
            <w:pPr>
              <w:jc w:val="center"/>
            </w:pPr>
            <w:r w:rsidRPr="00447371">
              <w:t>4.5</w:t>
            </w:r>
          </w:p>
        </w:tc>
        <w:tc>
          <w:tcPr>
            <w:tcW w:w="810" w:type="dxa"/>
            <w:shd w:val="clear" w:color="auto" w:fill="auto"/>
            <w:tcMar>
              <w:left w:w="108" w:type="dxa"/>
              <w:right w:w="108" w:type="dxa"/>
            </w:tcMar>
            <w:vAlign w:val="center"/>
          </w:tcPr>
          <w:p w:rsidR="00A6145B" w:rsidRPr="00447371" w:rsidP="0083305B" w14:paraId="29EEE41F" w14:textId="77777777">
            <w:pPr>
              <w:jc w:val="center"/>
            </w:pPr>
            <w:r w:rsidRPr="00447371">
              <w:t>7.6</w:t>
            </w:r>
          </w:p>
        </w:tc>
        <w:tc>
          <w:tcPr>
            <w:tcW w:w="1005" w:type="dxa"/>
            <w:shd w:val="clear" w:color="auto" w:fill="auto"/>
            <w:tcMar>
              <w:left w:w="108" w:type="dxa"/>
              <w:right w:w="108" w:type="dxa"/>
            </w:tcMar>
            <w:vAlign w:val="center"/>
          </w:tcPr>
          <w:p w:rsidR="00A6145B" w:rsidRPr="00447371" w:rsidP="0083305B" w14:paraId="4CB2435E" w14:textId="77777777">
            <w:pPr>
              <w:jc w:val="center"/>
            </w:pPr>
            <w:r w:rsidRPr="00447371">
              <w:t>10.8</w:t>
            </w:r>
          </w:p>
        </w:tc>
      </w:tr>
      <w:tr w14:paraId="50796226" w14:textId="77777777" w:rsidTr="0083305B">
        <w:tblPrEx>
          <w:tblW w:w="9530" w:type="dxa"/>
          <w:tblLayout w:type="fixed"/>
          <w:tblLook w:val="04A0"/>
        </w:tblPrEx>
        <w:trPr>
          <w:trHeight w:val="300"/>
        </w:trPr>
        <w:tc>
          <w:tcPr>
            <w:tcW w:w="1230" w:type="dxa"/>
            <w:shd w:val="clear" w:color="auto" w:fill="auto"/>
            <w:tcMar>
              <w:left w:w="108" w:type="dxa"/>
              <w:right w:w="108" w:type="dxa"/>
            </w:tcMar>
            <w:vAlign w:val="center"/>
          </w:tcPr>
          <w:p w:rsidR="00A6145B" w:rsidRPr="00447371" w:rsidP="0083305B" w14:paraId="41D52140" w14:textId="77777777">
            <w:pPr>
              <w:jc w:val="center"/>
            </w:pPr>
            <w:r w:rsidRPr="00447371">
              <w:t>86</w:t>
            </w:r>
          </w:p>
        </w:tc>
        <w:tc>
          <w:tcPr>
            <w:tcW w:w="810" w:type="dxa"/>
            <w:shd w:val="clear" w:color="auto" w:fill="auto"/>
            <w:tcMar>
              <w:left w:w="108" w:type="dxa"/>
              <w:right w:w="108" w:type="dxa"/>
            </w:tcMar>
            <w:vAlign w:val="center"/>
          </w:tcPr>
          <w:p w:rsidR="00A6145B" w:rsidRPr="00447371" w:rsidP="0083305B" w14:paraId="2869609B" w14:textId="77777777">
            <w:pPr>
              <w:jc w:val="center"/>
            </w:pPr>
            <w:r w:rsidRPr="00447371">
              <w:t>-12.2</w:t>
            </w:r>
          </w:p>
        </w:tc>
        <w:tc>
          <w:tcPr>
            <w:tcW w:w="810" w:type="dxa"/>
            <w:shd w:val="clear" w:color="auto" w:fill="auto"/>
            <w:tcMar>
              <w:left w:w="108" w:type="dxa"/>
              <w:right w:w="108" w:type="dxa"/>
            </w:tcMar>
            <w:vAlign w:val="center"/>
          </w:tcPr>
          <w:p w:rsidR="00A6145B" w:rsidRPr="00447371" w:rsidP="0083305B" w14:paraId="6DABD14E" w14:textId="77777777">
            <w:pPr>
              <w:jc w:val="center"/>
            </w:pPr>
            <w:r w:rsidRPr="00447371">
              <w:t>-10</w:t>
            </w:r>
          </w:p>
        </w:tc>
        <w:tc>
          <w:tcPr>
            <w:tcW w:w="810" w:type="dxa"/>
            <w:shd w:val="clear" w:color="auto" w:fill="auto"/>
            <w:tcMar>
              <w:left w:w="108" w:type="dxa"/>
              <w:right w:w="108" w:type="dxa"/>
            </w:tcMar>
            <w:vAlign w:val="center"/>
          </w:tcPr>
          <w:p w:rsidR="00A6145B" w:rsidRPr="00447371" w:rsidP="0083305B" w14:paraId="7389839C" w14:textId="77777777">
            <w:pPr>
              <w:jc w:val="center"/>
            </w:pPr>
            <w:r w:rsidRPr="00447371">
              <w:t>-7.9</w:t>
            </w:r>
          </w:p>
        </w:tc>
        <w:tc>
          <w:tcPr>
            <w:tcW w:w="810" w:type="dxa"/>
            <w:shd w:val="clear" w:color="auto" w:fill="auto"/>
            <w:tcMar>
              <w:left w:w="108" w:type="dxa"/>
              <w:right w:w="108" w:type="dxa"/>
            </w:tcMar>
            <w:vAlign w:val="center"/>
          </w:tcPr>
          <w:p w:rsidR="00A6145B" w:rsidRPr="00447371" w:rsidP="0083305B" w14:paraId="7D8AF59F" w14:textId="77777777">
            <w:pPr>
              <w:jc w:val="center"/>
            </w:pPr>
            <w:r w:rsidRPr="00447371">
              <w:t>-5.7</w:t>
            </w:r>
          </w:p>
        </w:tc>
        <w:tc>
          <w:tcPr>
            <w:tcW w:w="810" w:type="dxa"/>
            <w:shd w:val="clear" w:color="auto" w:fill="auto"/>
            <w:tcMar>
              <w:left w:w="108" w:type="dxa"/>
              <w:right w:w="108" w:type="dxa"/>
            </w:tcMar>
            <w:vAlign w:val="center"/>
          </w:tcPr>
          <w:p w:rsidR="00A6145B" w:rsidRPr="00447371" w:rsidP="0083305B" w14:paraId="56FDE200" w14:textId="77777777">
            <w:pPr>
              <w:jc w:val="center"/>
            </w:pPr>
            <w:r w:rsidRPr="00447371">
              <w:t>-3.3</w:t>
            </w:r>
          </w:p>
        </w:tc>
        <w:tc>
          <w:tcPr>
            <w:tcW w:w="810" w:type="dxa"/>
            <w:shd w:val="clear" w:color="auto" w:fill="auto"/>
            <w:tcMar>
              <w:left w:w="108" w:type="dxa"/>
              <w:right w:w="108" w:type="dxa"/>
            </w:tcMar>
            <w:vAlign w:val="center"/>
          </w:tcPr>
          <w:p w:rsidR="00A6145B" w:rsidRPr="00447371" w:rsidP="0083305B" w14:paraId="64D402F9" w14:textId="77777777">
            <w:pPr>
              <w:jc w:val="center"/>
            </w:pPr>
            <w:r w:rsidRPr="00447371">
              <w:t>-0.9</w:t>
            </w:r>
          </w:p>
        </w:tc>
        <w:tc>
          <w:tcPr>
            <w:tcW w:w="810" w:type="dxa"/>
            <w:shd w:val="clear" w:color="auto" w:fill="auto"/>
            <w:tcMar>
              <w:left w:w="108" w:type="dxa"/>
              <w:right w:w="108" w:type="dxa"/>
            </w:tcMar>
            <w:vAlign w:val="center"/>
          </w:tcPr>
          <w:p w:rsidR="00A6145B" w:rsidRPr="00447371" w:rsidP="0083305B" w14:paraId="3482F6A8" w14:textId="77777777">
            <w:pPr>
              <w:jc w:val="center"/>
            </w:pPr>
            <w:r w:rsidRPr="00447371">
              <w:t>1.7</w:t>
            </w:r>
          </w:p>
        </w:tc>
        <w:tc>
          <w:tcPr>
            <w:tcW w:w="810" w:type="dxa"/>
            <w:shd w:val="clear" w:color="auto" w:fill="auto"/>
            <w:tcMar>
              <w:left w:w="108" w:type="dxa"/>
              <w:right w:w="108" w:type="dxa"/>
            </w:tcMar>
            <w:vAlign w:val="center"/>
          </w:tcPr>
          <w:p w:rsidR="00A6145B" w:rsidRPr="00447371" w:rsidP="0083305B" w14:paraId="1F3D4999" w14:textId="77777777">
            <w:pPr>
              <w:jc w:val="center"/>
            </w:pPr>
            <w:r w:rsidRPr="00447371">
              <w:t>4.2</w:t>
            </w:r>
          </w:p>
        </w:tc>
        <w:tc>
          <w:tcPr>
            <w:tcW w:w="810" w:type="dxa"/>
            <w:shd w:val="clear" w:color="auto" w:fill="auto"/>
            <w:tcMar>
              <w:left w:w="108" w:type="dxa"/>
              <w:right w:w="108" w:type="dxa"/>
            </w:tcMar>
            <w:vAlign w:val="center"/>
          </w:tcPr>
          <w:p w:rsidR="00A6145B" w:rsidRPr="00447371" w:rsidP="0083305B" w14:paraId="0D3D3FC3" w14:textId="77777777">
            <w:pPr>
              <w:jc w:val="center"/>
            </w:pPr>
            <w:r w:rsidRPr="00447371">
              <w:t>7.3</w:t>
            </w:r>
          </w:p>
        </w:tc>
        <w:tc>
          <w:tcPr>
            <w:tcW w:w="1005" w:type="dxa"/>
            <w:shd w:val="clear" w:color="auto" w:fill="auto"/>
            <w:tcMar>
              <w:left w:w="108" w:type="dxa"/>
              <w:right w:w="108" w:type="dxa"/>
            </w:tcMar>
            <w:vAlign w:val="center"/>
          </w:tcPr>
          <w:p w:rsidR="00A6145B" w:rsidRPr="00447371" w:rsidP="0083305B" w14:paraId="01C3D2C4" w14:textId="77777777">
            <w:pPr>
              <w:jc w:val="center"/>
            </w:pPr>
            <w:r w:rsidRPr="00447371">
              <w:t>10.5</w:t>
            </w:r>
          </w:p>
        </w:tc>
      </w:tr>
    </w:tbl>
    <w:p w:rsidR="00A6145B" w:rsidRPr="00447371" w:rsidP="00A6145B" w14:paraId="5BB72771" w14:textId="3F1030BB">
      <w:pPr>
        <w:pStyle w:val="ListParagraph"/>
        <w:spacing w:before="240" w:after="240" w:line="257" w:lineRule="auto"/>
        <w:ind w:left="0" w:firstLine="720"/>
      </w:pPr>
      <w:r>
        <w:t xml:space="preserve">(ii) </w:t>
      </w:r>
      <w:r w:rsidRPr="00447371">
        <w:t xml:space="preserve">A licensee of aeronautical end points in motion must have a capability to target specific areas which can be added to a “block list” as part of a dynamic link management system. </w:t>
      </w:r>
      <w:r>
        <w:t xml:space="preserve"> If</w:t>
      </w:r>
      <w:r w:rsidRPr="00447371">
        <w:t xml:space="preserve"> air-to-air transmission within the main beam of the radio astronomy receiver cannot be avoided, air-to-air transmissions within the radio horizon of the radio astronomy site (as specified in </w:t>
      </w:r>
      <w:r w:rsidR="002A7E58">
        <w:t>table 2 to this paragraph (a)(9)(ii)</w:t>
      </w:r>
      <w:r w:rsidRPr="00447371">
        <w:t xml:space="preserve">) should not occur.  </w:t>
      </w:r>
    </w:p>
    <w:p w:rsidR="00A6145B" w:rsidRPr="00447371" w:rsidP="00A6145B" w14:paraId="1C711084" w14:textId="379BABD5">
      <w:pPr>
        <w:spacing w:after="120"/>
        <w:jc w:val="center"/>
        <w:rPr>
          <w:rFonts w:eastAsia="Calibri"/>
          <w:b/>
        </w:rPr>
      </w:pPr>
      <w:r w:rsidRPr="00314760">
        <w:rPr>
          <w:b/>
        </w:rPr>
        <w:t xml:space="preserve">Table </w:t>
      </w:r>
      <w:r w:rsidR="002A7E58">
        <w:rPr>
          <w:b/>
        </w:rPr>
        <w:t>2 to Paragraph (a)(9)(ii)</w:t>
      </w:r>
      <w:r w:rsidRPr="00314760" w:rsidR="002A7E58">
        <w:rPr>
          <w:b/>
        </w:rPr>
        <w:t xml:space="preserve"> </w:t>
      </w:r>
      <w:r w:rsidRPr="00314760">
        <w:rPr>
          <w:b/>
        </w:rPr>
        <w:t>- Approximate</w:t>
      </w:r>
      <w:r w:rsidRPr="00447371">
        <w:rPr>
          <w:b/>
        </w:rPr>
        <w:t xml:space="preserve"> Radio Horizon, in Horizontal Distance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4680"/>
      </w:tblGrid>
      <w:tr w14:paraId="7D2D86CB" w14:textId="77777777" w:rsidTr="008330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4680" w:type="dxa"/>
            <w:shd w:val="clear" w:color="auto" w:fill="auto"/>
            <w:tcMar>
              <w:left w:w="108" w:type="dxa"/>
              <w:right w:w="108" w:type="dxa"/>
            </w:tcMar>
            <w:vAlign w:val="center"/>
          </w:tcPr>
          <w:p w:rsidR="00A6145B" w:rsidRPr="00314760" w:rsidP="0083305B" w14:paraId="38935219" w14:textId="77777777">
            <w:pPr>
              <w:jc w:val="center"/>
              <w:rPr>
                <w:b/>
                <w:bCs/>
              </w:rPr>
            </w:pPr>
            <w:r w:rsidRPr="00314760">
              <w:rPr>
                <w:b/>
                <w:bCs/>
              </w:rPr>
              <w:t>Altitude (m)</w:t>
            </w:r>
          </w:p>
        </w:tc>
        <w:tc>
          <w:tcPr>
            <w:tcW w:w="4680" w:type="dxa"/>
            <w:shd w:val="clear" w:color="auto" w:fill="auto"/>
            <w:tcMar>
              <w:left w:w="108" w:type="dxa"/>
              <w:right w:w="108" w:type="dxa"/>
            </w:tcMar>
            <w:vAlign w:val="center"/>
          </w:tcPr>
          <w:p w:rsidR="00A6145B" w:rsidRPr="00314760" w:rsidP="0083305B" w14:paraId="06C16120" w14:textId="77777777">
            <w:pPr>
              <w:jc w:val="center"/>
              <w:rPr>
                <w:b/>
                <w:bCs/>
              </w:rPr>
            </w:pPr>
            <w:r w:rsidRPr="00314760">
              <w:rPr>
                <w:b/>
                <w:bCs/>
              </w:rPr>
              <w:t>Approximate Radio Horizon (km)</w:t>
            </w:r>
          </w:p>
          <w:p w:rsidR="00A6145B" w:rsidRPr="00314760" w:rsidP="0083305B" w14:paraId="43B7CC83" w14:textId="77777777">
            <w:pPr>
              <w:jc w:val="center"/>
              <w:rPr>
                <w:b/>
                <w:bCs/>
              </w:rPr>
            </w:pPr>
            <w:r w:rsidRPr="00314760">
              <w:rPr>
                <w:b/>
                <w:bCs/>
              </w:rPr>
              <w:t>(horizontal distance)</w:t>
            </w:r>
          </w:p>
        </w:tc>
      </w:tr>
      <w:tr w14:paraId="01DB93BD" w14:textId="77777777" w:rsidTr="0083305B">
        <w:tblPrEx>
          <w:tblW w:w="0" w:type="auto"/>
          <w:tblLayout w:type="fixed"/>
          <w:tblLook w:val="04A0"/>
        </w:tblPrEx>
        <w:trPr>
          <w:trHeight w:val="300"/>
        </w:trPr>
        <w:tc>
          <w:tcPr>
            <w:tcW w:w="4680" w:type="dxa"/>
            <w:shd w:val="clear" w:color="auto" w:fill="auto"/>
            <w:tcMar>
              <w:left w:w="108" w:type="dxa"/>
              <w:right w:w="108" w:type="dxa"/>
            </w:tcMar>
            <w:vAlign w:val="center"/>
          </w:tcPr>
          <w:p w:rsidR="00A6145B" w:rsidRPr="00447371" w:rsidP="0083305B" w14:paraId="56990558" w14:textId="77777777">
            <w:pPr>
              <w:jc w:val="center"/>
            </w:pPr>
            <w:r w:rsidRPr="00447371">
              <w:t>10,360</w:t>
            </w:r>
          </w:p>
        </w:tc>
        <w:tc>
          <w:tcPr>
            <w:tcW w:w="4680" w:type="dxa"/>
            <w:shd w:val="clear" w:color="auto" w:fill="auto"/>
            <w:tcMar>
              <w:left w:w="108" w:type="dxa"/>
              <w:right w:w="108" w:type="dxa"/>
            </w:tcMar>
            <w:vAlign w:val="center"/>
          </w:tcPr>
          <w:p w:rsidR="00A6145B" w:rsidRPr="00447371" w:rsidP="0083305B" w14:paraId="476ED483" w14:textId="77777777">
            <w:pPr>
              <w:jc w:val="center"/>
            </w:pPr>
            <w:r w:rsidRPr="00447371">
              <w:t>375</w:t>
            </w:r>
          </w:p>
        </w:tc>
      </w:tr>
      <w:tr w14:paraId="0877A6B4" w14:textId="77777777" w:rsidTr="0083305B">
        <w:tblPrEx>
          <w:tblW w:w="0" w:type="auto"/>
          <w:tblLayout w:type="fixed"/>
          <w:tblLook w:val="04A0"/>
        </w:tblPrEx>
        <w:trPr>
          <w:trHeight w:val="300"/>
        </w:trPr>
        <w:tc>
          <w:tcPr>
            <w:tcW w:w="4680" w:type="dxa"/>
            <w:shd w:val="clear" w:color="auto" w:fill="auto"/>
            <w:tcMar>
              <w:left w:w="108" w:type="dxa"/>
              <w:right w:w="108" w:type="dxa"/>
            </w:tcMar>
            <w:vAlign w:val="center"/>
          </w:tcPr>
          <w:p w:rsidR="00A6145B" w:rsidRPr="00447371" w:rsidP="0083305B" w14:paraId="5FBF6D95" w14:textId="77777777">
            <w:pPr>
              <w:jc w:val="center"/>
            </w:pPr>
            <w:r w:rsidRPr="00447371">
              <w:t>8,000</w:t>
            </w:r>
          </w:p>
        </w:tc>
        <w:tc>
          <w:tcPr>
            <w:tcW w:w="4680" w:type="dxa"/>
            <w:shd w:val="clear" w:color="auto" w:fill="auto"/>
            <w:tcMar>
              <w:left w:w="108" w:type="dxa"/>
              <w:right w:w="108" w:type="dxa"/>
            </w:tcMar>
            <w:vAlign w:val="center"/>
          </w:tcPr>
          <w:p w:rsidR="00A6145B" w:rsidRPr="00447371" w:rsidP="0083305B" w14:paraId="4DDBE89D" w14:textId="77777777">
            <w:pPr>
              <w:jc w:val="center"/>
            </w:pPr>
            <w:r w:rsidRPr="00447371">
              <w:t>315</w:t>
            </w:r>
          </w:p>
        </w:tc>
      </w:tr>
      <w:tr w14:paraId="4D6D7218" w14:textId="77777777" w:rsidTr="0083305B">
        <w:tblPrEx>
          <w:tblW w:w="0" w:type="auto"/>
          <w:tblLayout w:type="fixed"/>
          <w:tblLook w:val="04A0"/>
        </w:tblPrEx>
        <w:trPr>
          <w:trHeight w:val="300"/>
        </w:trPr>
        <w:tc>
          <w:tcPr>
            <w:tcW w:w="4680" w:type="dxa"/>
            <w:shd w:val="clear" w:color="auto" w:fill="auto"/>
            <w:tcMar>
              <w:left w:w="108" w:type="dxa"/>
              <w:right w:w="108" w:type="dxa"/>
            </w:tcMar>
            <w:vAlign w:val="center"/>
          </w:tcPr>
          <w:p w:rsidR="00A6145B" w:rsidRPr="00447371" w:rsidP="0083305B" w14:paraId="71430ECB" w14:textId="77777777">
            <w:pPr>
              <w:jc w:val="center"/>
            </w:pPr>
            <w:r w:rsidRPr="00447371">
              <w:t>6,000</w:t>
            </w:r>
          </w:p>
        </w:tc>
        <w:tc>
          <w:tcPr>
            <w:tcW w:w="4680" w:type="dxa"/>
            <w:shd w:val="clear" w:color="auto" w:fill="auto"/>
            <w:tcMar>
              <w:left w:w="108" w:type="dxa"/>
              <w:right w:w="108" w:type="dxa"/>
            </w:tcMar>
            <w:vAlign w:val="center"/>
          </w:tcPr>
          <w:p w:rsidR="00A6145B" w:rsidRPr="00447371" w:rsidP="0083305B" w14:paraId="349B85EC" w14:textId="77777777">
            <w:pPr>
              <w:jc w:val="center"/>
            </w:pPr>
            <w:r w:rsidRPr="00447371">
              <w:t>260</w:t>
            </w:r>
          </w:p>
        </w:tc>
      </w:tr>
      <w:tr w14:paraId="03BEC1B8" w14:textId="77777777" w:rsidTr="0083305B">
        <w:tblPrEx>
          <w:tblW w:w="0" w:type="auto"/>
          <w:tblLayout w:type="fixed"/>
          <w:tblLook w:val="04A0"/>
        </w:tblPrEx>
        <w:trPr>
          <w:trHeight w:val="300"/>
        </w:trPr>
        <w:tc>
          <w:tcPr>
            <w:tcW w:w="4680" w:type="dxa"/>
            <w:shd w:val="clear" w:color="auto" w:fill="auto"/>
            <w:tcMar>
              <w:left w:w="108" w:type="dxa"/>
              <w:right w:w="108" w:type="dxa"/>
            </w:tcMar>
            <w:vAlign w:val="center"/>
          </w:tcPr>
          <w:p w:rsidR="00A6145B" w:rsidRPr="00447371" w:rsidP="0083305B" w14:paraId="7ABEE7DE" w14:textId="77777777">
            <w:pPr>
              <w:jc w:val="center"/>
            </w:pPr>
            <w:r w:rsidRPr="00447371">
              <w:t>5,000</w:t>
            </w:r>
          </w:p>
        </w:tc>
        <w:tc>
          <w:tcPr>
            <w:tcW w:w="4680" w:type="dxa"/>
            <w:shd w:val="clear" w:color="auto" w:fill="auto"/>
            <w:tcMar>
              <w:left w:w="108" w:type="dxa"/>
              <w:right w:w="108" w:type="dxa"/>
            </w:tcMar>
            <w:vAlign w:val="center"/>
          </w:tcPr>
          <w:p w:rsidR="00A6145B" w:rsidRPr="00447371" w:rsidP="0083305B" w14:paraId="08D23819" w14:textId="77777777">
            <w:pPr>
              <w:jc w:val="center"/>
            </w:pPr>
            <w:r w:rsidRPr="00447371">
              <w:t>220</w:t>
            </w:r>
          </w:p>
        </w:tc>
      </w:tr>
      <w:tr w14:paraId="19D6F078" w14:textId="77777777" w:rsidTr="0083305B">
        <w:tblPrEx>
          <w:tblW w:w="0" w:type="auto"/>
          <w:tblLayout w:type="fixed"/>
          <w:tblLook w:val="04A0"/>
        </w:tblPrEx>
        <w:trPr>
          <w:trHeight w:val="300"/>
        </w:trPr>
        <w:tc>
          <w:tcPr>
            <w:tcW w:w="4680" w:type="dxa"/>
            <w:shd w:val="clear" w:color="auto" w:fill="auto"/>
            <w:tcMar>
              <w:left w:w="108" w:type="dxa"/>
              <w:right w:w="108" w:type="dxa"/>
            </w:tcMar>
            <w:vAlign w:val="center"/>
          </w:tcPr>
          <w:p w:rsidR="00A6145B" w:rsidRPr="00447371" w:rsidP="0083305B" w14:paraId="481A70E2" w14:textId="77777777">
            <w:pPr>
              <w:jc w:val="center"/>
            </w:pPr>
            <w:r w:rsidRPr="00447371">
              <w:t>4,000</w:t>
            </w:r>
          </w:p>
        </w:tc>
        <w:tc>
          <w:tcPr>
            <w:tcW w:w="4680" w:type="dxa"/>
            <w:shd w:val="clear" w:color="auto" w:fill="auto"/>
            <w:tcMar>
              <w:left w:w="108" w:type="dxa"/>
              <w:right w:w="108" w:type="dxa"/>
            </w:tcMar>
            <w:vAlign w:val="center"/>
          </w:tcPr>
          <w:p w:rsidR="00A6145B" w:rsidRPr="00447371" w:rsidP="0083305B" w14:paraId="39695B0E" w14:textId="77777777">
            <w:pPr>
              <w:jc w:val="center"/>
            </w:pPr>
            <w:r w:rsidRPr="00447371">
              <w:t>180</w:t>
            </w:r>
          </w:p>
        </w:tc>
      </w:tr>
      <w:tr w14:paraId="02C36DFD" w14:textId="77777777" w:rsidTr="0083305B">
        <w:tblPrEx>
          <w:tblW w:w="0" w:type="auto"/>
          <w:tblLayout w:type="fixed"/>
          <w:tblLook w:val="04A0"/>
        </w:tblPrEx>
        <w:trPr>
          <w:trHeight w:val="300"/>
        </w:trPr>
        <w:tc>
          <w:tcPr>
            <w:tcW w:w="4680" w:type="dxa"/>
            <w:shd w:val="clear" w:color="auto" w:fill="auto"/>
            <w:tcMar>
              <w:left w:w="108" w:type="dxa"/>
              <w:right w:w="108" w:type="dxa"/>
            </w:tcMar>
            <w:vAlign w:val="center"/>
          </w:tcPr>
          <w:p w:rsidR="00A6145B" w:rsidRPr="00447371" w:rsidP="0083305B" w14:paraId="65D3F0E7" w14:textId="77777777">
            <w:pPr>
              <w:jc w:val="center"/>
            </w:pPr>
            <w:r w:rsidRPr="00447371">
              <w:t>3,000</w:t>
            </w:r>
          </w:p>
        </w:tc>
        <w:tc>
          <w:tcPr>
            <w:tcW w:w="4680" w:type="dxa"/>
            <w:shd w:val="clear" w:color="auto" w:fill="auto"/>
            <w:tcMar>
              <w:left w:w="108" w:type="dxa"/>
              <w:right w:w="108" w:type="dxa"/>
            </w:tcMar>
            <w:vAlign w:val="center"/>
          </w:tcPr>
          <w:p w:rsidR="00A6145B" w:rsidRPr="00447371" w:rsidP="0083305B" w14:paraId="0ECDA86F" w14:textId="77777777">
            <w:pPr>
              <w:jc w:val="center"/>
            </w:pPr>
            <w:r w:rsidRPr="00447371">
              <w:t>125</w:t>
            </w:r>
          </w:p>
        </w:tc>
      </w:tr>
    </w:tbl>
    <w:p w:rsidR="00A6145B" w:rsidRPr="00735D93" w:rsidP="00A6145B" w14:paraId="1E5F3736" w14:textId="77777777">
      <w:pPr>
        <w:pStyle w:val="ListParagraph"/>
        <w:spacing w:before="240" w:after="240" w:line="240" w:lineRule="auto"/>
        <w:ind w:left="0" w:firstLine="720"/>
        <w:contextualSpacing w:val="0"/>
        <w:rPr>
          <w:rFonts w:eastAsia="Calibri"/>
        </w:rPr>
      </w:pPr>
      <w:r>
        <w:t xml:space="preserve">(iii) </w:t>
      </w:r>
      <w:r w:rsidRPr="00447371">
        <w:t xml:space="preserve">The list of radio astronomy sites may be periodically updated by the NTIA and the FCC. </w:t>
      </w:r>
      <w:r>
        <w:t xml:space="preserve"> </w:t>
      </w:r>
      <w:r w:rsidRPr="00447371">
        <w:t>This rule may be superseded by a coordination agreement between the licensee and NSF, in which case the coordination agreement will specify the technical restrictions.</w:t>
      </w:r>
    </w:p>
    <w:p w:rsidR="00A6145B" w:rsidRPr="00447371" w:rsidP="00A6145B" w14:paraId="45D5E437" w14:textId="77777777">
      <w:pPr>
        <w:pStyle w:val="ListParagraph"/>
        <w:spacing w:after="240" w:line="240" w:lineRule="auto"/>
        <w:ind w:left="0" w:firstLine="720"/>
        <w:contextualSpacing w:val="0"/>
      </w:pPr>
      <w:r>
        <w:t xml:space="preserve">(10) </w:t>
      </w:r>
      <w:r w:rsidRPr="00447371">
        <w:t>Air-to-air transmi</w:t>
      </w:r>
      <w:r>
        <w:t>ssions</w:t>
      </w:r>
      <w:r w:rsidRPr="00447371">
        <w:t xml:space="preserve"> in </w:t>
      </w:r>
      <w:r>
        <w:t xml:space="preserve">the </w:t>
      </w:r>
      <w:r w:rsidRPr="00447371">
        <w:t>71</w:t>
      </w:r>
      <w:r>
        <w:rPr>
          <w:rFonts w:eastAsia="Calibri"/>
        </w:rPr>
        <w:t>–</w:t>
      </w:r>
      <w:r w:rsidRPr="00447371">
        <w:t xml:space="preserve">76 GHz band </w:t>
      </w:r>
      <w:r>
        <w:t>are subject to the following restrictions:</w:t>
      </w:r>
    </w:p>
    <w:p w:rsidR="00A6145B" w:rsidRPr="00447371" w:rsidP="00A6145B" w14:paraId="39A0FB68" w14:textId="7602B12D">
      <w:pPr>
        <w:pStyle w:val="ListParagraph"/>
        <w:spacing w:after="240" w:line="240" w:lineRule="auto"/>
        <w:ind w:left="0" w:firstLine="720"/>
        <w:contextualSpacing w:val="0"/>
      </w:pPr>
      <w:r>
        <w:t>(</w:t>
      </w:r>
      <w:r>
        <w:t>i</w:t>
      </w:r>
      <w:r>
        <w:t xml:space="preserve">) </w:t>
      </w:r>
      <w:r w:rsidRPr="00447371">
        <w:t xml:space="preserve">EIRP </w:t>
      </w:r>
      <w:r>
        <w:t>signal levels shall be limited to</w:t>
      </w:r>
      <w:r w:rsidRPr="00447371">
        <w:t xml:space="preserve"> 20 </w:t>
      </w:r>
      <w:r w:rsidRPr="00447371">
        <w:t>dBW</w:t>
      </w:r>
      <w:r w:rsidRPr="00447371">
        <w:t>/1000 MHz towards each military installation listed in</w:t>
      </w:r>
      <w:r w:rsidR="00544E6C">
        <w:t xml:space="preserve"> table 4 to</w:t>
      </w:r>
      <w:r w:rsidRPr="00447371">
        <w:t xml:space="preserve"> </w:t>
      </w:r>
      <w:r>
        <w:t>paragraph</w:t>
      </w:r>
      <w:r w:rsidRPr="00447371">
        <w:t xml:space="preserve"> (c)(2)</w:t>
      </w:r>
      <w:r>
        <w:t xml:space="preserve"> of this section</w:t>
      </w:r>
      <w:r w:rsidRPr="00447371">
        <w:t xml:space="preserve"> that is within 375 km of the airborne transmitter. </w:t>
      </w:r>
      <w:r>
        <w:t xml:space="preserve"> </w:t>
      </w:r>
      <w:r w:rsidRPr="00447371">
        <w:t xml:space="preserve">This 20 </w:t>
      </w:r>
      <w:r w:rsidRPr="00447371">
        <w:t>dBW</w:t>
      </w:r>
      <w:r w:rsidRPr="00447371">
        <w:t>/1000 MHz EIRP applies to the power radiated along a line between the airborne transmitter and the latitude and longitude of the military installations in</w:t>
      </w:r>
      <w:r w:rsidR="00544E6C">
        <w:t xml:space="preserve"> table 4 to</w:t>
      </w:r>
      <w:r w:rsidRPr="00447371">
        <w:t xml:space="preserve"> </w:t>
      </w:r>
      <w:r>
        <w:t>paragraph</w:t>
      </w:r>
      <w:r w:rsidRPr="00447371">
        <w:t xml:space="preserve"> (c)(2)</w:t>
      </w:r>
      <w:r>
        <w:t xml:space="preserve"> of this section</w:t>
      </w:r>
      <w:r w:rsidRPr="00447371">
        <w:t xml:space="preserve"> and must be maintained as the airborne transmitter moves. </w:t>
      </w:r>
      <w:r>
        <w:t xml:space="preserve"> </w:t>
      </w:r>
      <w:r w:rsidRPr="00447371">
        <w:t xml:space="preserve">An EIRP of 57 </w:t>
      </w:r>
      <w:r w:rsidRPr="00447371">
        <w:t>dBW</w:t>
      </w:r>
      <w:r w:rsidRPr="00447371">
        <w:t>/1000 MHz is allowed in other directions.</w:t>
      </w:r>
      <w:r>
        <w:t xml:space="preserve"> </w:t>
      </w:r>
      <w:r w:rsidRPr="00447371">
        <w:t xml:space="preserve"> The list of military installations in </w:t>
      </w:r>
      <w:r w:rsidR="00965952">
        <w:t xml:space="preserve">table 4 </w:t>
      </w:r>
      <w:r w:rsidR="00810D16">
        <w:t xml:space="preserve">to </w:t>
      </w:r>
      <w:r>
        <w:t>paragraph</w:t>
      </w:r>
      <w:r w:rsidRPr="00447371">
        <w:t xml:space="preserve"> (c)(2) </w:t>
      </w:r>
      <w:r>
        <w:t xml:space="preserve">of this section </w:t>
      </w:r>
      <w:r w:rsidRPr="00447371">
        <w:t xml:space="preserve">may be periodically updated by the NTIA and the FCC. </w:t>
      </w:r>
      <w:r>
        <w:t xml:space="preserve"> </w:t>
      </w:r>
      <w:r w:rsidRPr="00447371">
        <w:t>This rule may be superseded by a coordination agreement between the licensee and the Department of Defense</w:t>
      </w:r>
      <w:r>
        <w:t xml:space="preserve"> (DoD)</w:t>
      </w:r>
      <w:r w:rsidRPr="00447371">
        <w:t>, in which case the coordination agreement will specify the technical restrictions and allow the licensee and DoD to update the list of protected installations in the agreement.  The locations of all aeronautical end-point-in-motion ground stations will be provided to NTIA and DoD as part of the coordination process.</w:t>
      </w:r>
    </w:p>
    <w:p w:rsidR="00A6145B" w:rsidP="00EB50E5" w14:paraId="6FD98E0F" w14:textId="0C028CC8">
      <w:pPr>
        <w:pStyle w:val="ListParagraph"/>
        <w:widowControl/>
        <w:spacing w:before="240" w:after="240" w:line="240" w:lineRule="auto"/>
        <w:ind w:left="0" w:firstLine="720"/>
        <w:contextualSpacing w:val="0"/>
      </w:pPr>
      <w:r>
        <w:t xml:space="preserve">(ii) A licensee of aeronautical end points in motion must have a capability to target specific areas which can be added to a “block list” as part of a dynamic link management system.  If air-to-air transmission within the main beam of the radio astronomy receivers associated with the observatories in </w:t>
      </w:r>
      <w:r w:rsidR="00544E6C">
        <w:t xml:space="preserve">table 3 to </w:t>
      </w:r>
      <w:r>
        <w:t xml:space="preserve">paragraph (c)(1) of this section cannot be avoided, air-to-air transmissions within the radio horizon of the radio astronomy site (as specified in </w:t>
      </w:r>
      <w:r w:rsidR="00270AE1">
        <w:t>t</w:t>
      </w:r>
      <w:r>
        <w:t xml:space="preserve">able </w:t>
      </w:r>
      <w:r w:rsidR="00CD42E9">
        <w:t>2</w:t>
      </w:r>
      <w:r>
        <w:t xml:space="preserve"> </w:t>
      </w:r>
      <w:r w:rsidR="00052A4E">
        <w:t>to paragraph (a)(9)(ii) of this section</w:t>
      </w:r>
      <w:r>
        <w:t xml:space="preserve">) should not occur.  </w:t>
      </w:r>
    </w:p>
    <w:p w:rsidR="00A6145B" w:rsidP="00A6145B" w14:paraId="082BC805" w14:textId="77777777">
      <w:pPr>
        <w:pStyle w:val="ListParagraph"/>
        <w:widowControl/>
        <w:spacing w:before="240" w:after="240" w:line="240" w:lineRule="auto"/>
        <w:ind w:left="0" w:firstLine="720"/>
        <w:contextualSpacing w:val="0"/>
      </w:pPr>
      <w:r>
        <w:t>(iii) The list of radio astronomy sites may be periodically updated by the NTIA and the FCC.  This rule may be superseded by a coordination agreement between the licensee and NSF, in which case the coordination agreement will specify the technical restrictions.</w:t>
      </w:r>
    </w:p>
    <w:p w:rsidR="00A6145B" w:rsidRPr="00737D2D" w:rsidP="00A6145B" w14:paraId="12A510F5" w14:textId="6F46BFE6">
      <w:pPr>
        <w:pStyle w:val="ListParagraph"/>
        <w:spacing w:before="240" w:after="240" w:line="240" w:lineRule="auto"/>
        <w:ind w:left="0" w:firstLine="720"/>
        <w:contextualSpacing w:val="0"/>
        <w:rPr>
          <w:rFonts w:eastAsia="Calibri"/>
          <w:szCs w:val="22"/>
        </w:rPr>
      </w:pPr>
      <w:r>
        <w:t xml:space="preserve">(11) Aeronautical operators must coordinate with </w:t>
      </w:r>
      <w:r w:rsidR="003C178C">
        <w:t xml:space="preserve">Federal </w:t>
      </w:r>
      <w:r>
        <w:t>operators and register ground-to-air stations, and must not operate such facilities or any associated air-to-ground transmissions until registration has successfully been completed.</w:t>
      </w:r>
    </w:p>
    <w:p w:rsidR="00A6145B" w:rsidRPr="00447371" w:rsidP="00A6145B" w14:paraId="61882FC3" w14:textId="2AD5ABD5">
      <w:pPr>
        <w:pStyle w:val="ListParagraph"/>
        <w:spacing w:after="160" w:line="240" w:lineRule="auto"/>
        <w:ind w:left="0" w:firstLine="720"/>
        <w:contextualSpacing w:val="0"/>
      </w:pPr>
      <w:r>
        <w:t xml:space="preserve">(b) </w:t>
      </w:r>
      <w:r w:rsidRPr="006D621A">
        <w:rPr>
          <w:i/>
          <w:iCs/>
        </w:rPr>
        <w:t xml:space="preserve">Requirements for </w:t>
      </w:r>
      <w:r w:rsidRPr="006D621A" w:rsidR="00544E6C">
        <w:rPr>
          <w:i/>
          <w:iCs/>
        </w:rPr>
        <w:t>maritime shore stations</w:t>
      </w:r>
      <w:r w:rsidRPr="006D621A">
        <w:rPr>
          <w:i/>
          <w:iCs/>
        </w:rPr>
        <w:t xml:space="preserve">, </w:t>
      </w:r>
      <w:r w:rsidRPr="006D621A" w:rsidR="00544E6C">
        <w:rPr>
          <w:i/>
          <w:iCs/>
        </w:rPr>
        <w:t>aerostats</w:t>
      </w:r>
      <w:r w:rsidRPr="006D621A">
        <w:rPr>
          <w:i/>
          <w:iCs/>
        </w:rPr>
        <w:t xml:space="preserve">, and </w:t>
      </w:r>
      <w:r w:rsidRPr="006D621A" w:rsidR="00544E6C">
        <w:rPr>
          <w:i/>
          <w:iCs/>
        </w:rPr>
        <w:t xml:space="preserve">endpoints </w:t>
      </w:r>
      <w:r w:rsidRPr="006D621A">
        <w:rPr>
          <w:i/>
          <w:iCs/>
        </w:rPr>
        <w:t xml:space="preserve">in </w:t>
      </w:r>
      <w:r w:rsidRPr="006D621A" w:rsidR="00544E6C">
        <w:rPr>
          <w:i/>
          <w:iCs/>
        </w:rPr>
        <w:t>motion.</w:t>
      </w:r>
    </w:p>
    <w:p w:rsidR="00A6145B" w:rsidRPr="00447371" w:rsidP="00A6145B" w14:paraId="409D44D9" w14:textId="26572D32">
      <w:pPr>
        <w:pStyle w:val="ListParagraph"/>
        <w:spacing w:after="160" w:line="240" w:lineRule="auto"/>
        <w:ind w:left="0" w:firstLine="720"/>
        <w:contextualSpacing w:val="0"/>
        <w:rPr>
          <w:rFonts w:eastAsia="Calibri"/>
        </w:rPr>
      </w:pPr>
      <w:r>
        <w:rPr>
          <w:rFonts w:eastAsia="Calibri"/>
        </w:rPr>
        <w:t xml:space="preserve">(1) </w:t>
      </w:r>
      <w:r w:rsidRPr="00447371">
        <w:rPr>
          <w:rFonts w:eastAsia="Calibri"/>
        </w:rPr>
        <w:t>Ship</w:t>
      </w:r>
      <w:r>
        <w:rPr>
          <w:rFonts w:eastAsia="Calibri"/>
        </w:rPr>
        <w:t>-</w:t>
      </w:r>
      <w:r w:rsidRPr="00447371">
        <w:rPr>
          <w:rFonts w:eastAsia="Calibri"/>
        </w:rPr>
        <w:t>to</w:t>
      </w:r>
      <w:r>
        <w:rPr>
          <w:rFonts w:eastAsia="Calibri"/>
        </w:rPr>
        <w:t>-</w:t>
      </w:r>
      <w:r w:rsidR="00544E6C">
        <w:rPr>
          <w:rFonts w:eastAsia="Calibri"/>
        </w:rPr>
        <w:t>s</w:t>
      </w:r>
      <w:r w:rsidRPr="00447371" w:rsidR="00544E6C">
        <w:rPr>
          <w:rFonts w:eastAsia="Calibri"/>
        </w:rPr>
        <w:t xml:space="preserve">hore </w:t>
      </w:r>
      <w:r w:rsidR="00544E6C">
        <w:rPr>
          <w:rFonts w:eastAsia="Calibri"/>
        </w:rPr>
        <w:t>t</w:t>
      </w:r>
      <w:r w:rsidRPr="00447371" w:rsidR="00544E6C">
        <w:rPr>
          <w:rFonts w:eastAsia="Calibri"/>
        </w:rPr>
        <w:t xml:space="preserve">ransmissions </w:t>
      </w:r>
      <w:r w:rsidRPr="00447371">
        <w:rPr>
          <w:rFonts w:eastAsia="Calibri"/>
        </w:rPr>
        <w:t>are only permitted in the 81</w:t>
      </w:r>
      <w:r>
        <w:t>–</w:t>
      </w:r>
      <w:r w:rsidRPr="00447371">
        <w:rPr>
          <w:rFonts w:eastAsia="Calibri"/>
        </w:rPr>
        <w:t>86 GHz band.</w:t>
      </w:r>
    </w:p>
    <w:p w:rsidR="00A6145B" w:rsidRPr="00447371" w:rsidP="00A6145B" w14:paraId="6C672015" w14:textId="46776030">
      <w:pPr>
        <w:pStyle w:val="ListParagraph"/>
        <w:spacing w:after="160" w:line="240" w:lineRule="auto"/>
        <w:ind w:left="0" w:firstLine="720"/>
        <w:contextualSpacing w:val="0"/>
        <w:rPr>
          <w:rFonts w:eastAsia="Calibri"/>
        </w:rPr>
      </w:pPr>
      <w:bookmarkStart w:id="3" w:name="_Hlk149547086"/>
      <w:r>
        <w:rPr>
          <w:rFonts w:eastAsia="Calibri"/>
        </w:rPr>
        <w:t xml:space="preserve">(2) </w:t>
      </w:r>
      <w:r w:rsidRPr="00447371">
        <w:rPr>
          <w:rFonts w:eastAsia="Calibri"/>
        </w:rPr>
        <w:t>Shore</w:t>
      </w:r>
      <w:r>
        <w:rPr>
          <w:rFonts w:eastAsia="Calibri"/>
        </w:rPr>
        <w:t>-</w:t>
      </w:r>
      <w:r w:rsidRPr="00447371">
        <w:rPr>
          <w:rFonts w:eastAsia="Calibri"/>
        </w:rPr>
        <w:t>to</w:t>
      </w:r>
      <w:r>
        <w:rPr>
          <w:rFonts w:eastAsia="Calibri"/>
        </w:rPr>
        <w:t>-</w:t>
      </w:r>
      <w:r w:rsidR="00544E6C">
        <w:rPr>
          <w:rFonts w:eastAsia="Calibri"/>
        </w:rPr>
        <w:t>s</w:t>
      </w:r>
      <w:r w:rsidRPr="00447371" w:rsidR="00544E6C">
        <w:rPr>
          <w:rFonts w:eastAsia="Calibri"/>
        </w:rPr>
        <w:t xml:space="preserve">hip </w:t>
      </w:r>
      <w:r w:rsidR="00544E6C">
        <w:rPr>
          <w:rFonts w:eastAsia="Calibri"/>
        </w:rPr>
        <w:t>t</w:t>
      </w:r>
      <w:r w:rsidRPr="00447371" w:rsidR="00544E6C">
        <w:rPr>
          <w:rFonts w:eastAsia="Calibri"/>
        </w:rPr>
        <w:t xml:space="preserve">ransmissions </w:t>
      </w:r>
      <w:r w:rsidRPr="00447371">
        <w:rPr>
          <w:rFonts w:eastAsia="Calibri"/>
        </w:rPr>
        <w:t>are only permitted in the 71</w:t>
      </w:r>
      <w:r>
        <w:t>–</w:t>
      </w:r>
      <w:r w:rsidRPr="00447371">
        <w:rPr>
          <w:rFonts w:eastAsia="Calibri"/>
        </w:rPr>
        <w:t>76 GHz band</w:t>
      </w:r>
      <w:bookmarkEnd w:id="3"/>
      <w:r w:rsidRPr="00447371">
        <w:rPr>
          <w:rFonts w:eastAsia="Calibri"/>
        </w:rPr>
        <w:t>.</w:t>
      </w:r>
    </w:p>
    <w:p w:rsidR="00A6145B" w:rsidRPr="00447371" w:rsidP="00A6145B" w14:paraId="4B46AB02" w14:textId="480D9151">
      <w:pPr>
        <w:pStyle w:val="ListParagraph"/>
        <w:spacing w:after="160" w:line="240" w:lineRule="auto"/>
        <w:ind w:left="0" w:firstLine="720"/>
        <w:contextualSpacing w:val="0"/>
        <w:rPr>
          <w:rFonts w:eastAsia="Calibri"/>
        </w:rPr>
      </w:pPr>
      <w:r>
        <w:rPr>
          <w:rFonts w:eastAsia="Calibri"/>
        </w:rPr>
        <w:t xml:space="preserve">(3) </w:t>
      </w:r>
      <w:r w:rsidRPr="00447371">
        <w:rPr>
          <w:rFonts w:eastAsia="Calibri"/>
        </w:rPr>
        <w:t>Shore</w:t>
      </w:r>
      <w:r>
        <w:rPr>
          <w:rFonts w:eastAsia="Calibri"/>
        </w:rPr>
        <w:t>-</w:t>
      </w:r>
      <w:r w:rsidRPr="00447371">
        <w:rPr>
          <w:rFonts w:eastAsia="Calibri"/>
        </w:rPr>
        <w:t>to</w:t>
      </w:r>
      <w:r>
        <w:rPr>
          <w:rFonts w:eastAsia="Calibri"/>
        </w:rPr>
        <w:t>-</w:t>
      </w:r>
      <w:r w:rsidR="00544E6C">
        <w:rPr>
          <w:rFonts w:eastAsia="Calibri"/>
        </w:rPr>
        <w:t>a</w:t>
      </w:r>
      <w:r w:rsidRPr="00447371" w:rsidR="00544E6C">
        <w:rPr>
          <w:rFonts w:eastAsia="Calibri"/>
        </w:rPr>
        <w:t xml:space="preserve">erostat </w:t>
      </w:r>
      <w:r w:rsidR="00544E6C">
        <w:rPr>
          <w:rFonts w:eastAsia="Calibri"/>
        </w:rPr>
        <w:t>t</w:t>
      </w:r>
      <w:r w:rsidRPr="00447371" w:rsidR="00544E6C">
        <w:rPr>
          <w:rFonts w:eastAsia="Calibri"/>
        </w:rPr>
        <w:t xml:space="preserve">ransmissions </w:t>
      </w:r>
      <w:r w:rsidRPr="00447371">
        <w:rPr>
          <w:rFonts w:eastAsia="Calibri"/>
        </w:rPr>
        <w:t>are only permitted in the 71</w:t>
      </w:r>
      <w:r>
        <w:t>–</w:t>
      </w:r>
      <w:r w:rsidRPr="00447371">
        <w:rPr>
          <w:rFonts w:eastAsia="Calibri"/>
        </w:rPr>
        <w:t>76 GHz band.</w:t>
      </w:r>
    </w:p>
    <w:p w:rsidR="00A6145B" w:rsidRPr="00447371" w:rsidP="00A6145B" w14:paraId="711B3C6C" w14:textId="6190F9AF">
      <w:pPr>
        <w:pStyle w:val="ListParagraph"/>
        <w:spacing w:after="160" w:line="240" w:lineRule="auto"/>
        <w:ind w:left="0" w:firstLine="720"/>
        <w:contextualSpacing w:val="0"/>
        <w:rPr>
          <w:rFonts w:eastAsia="Calibri"/>
        </w:rPr>
      </w:pPr>
      <w:r>
        <w:rPr>
          <w:rFonts w:eastAsia="Calibri"/>
        </w:rPr>
        <w:t xml:space="preserve">(4) </w:t>
      </w:r>
      <w:r w:rsidRPr="00447371">
        <w:rPr>
          <w:rFonts w:eastAsia="Calibri"/>
        </w:rPr>
        <w:t>Aerostat</w:t>
      </w:r>
      <w:r>
        <w:rPr>
          <w:rFonts w:eastAsia="Calibri"/>
        </w:rPr>
        <w:t>-</w:t>
      </w:r>
      <w:r w:rsidRPr="00447371">
        <w:rPr>
          <w:rFonts w:eastAsia="Calibri"/>
        </w:rPr>
        <w:t>to</w:t>
      </w:r>
      <w:r>
        <w:rPr>
          <w:rFonts w:eastAsia="Calibri"/>
        </w:rPr>
        <w:t>-</w:t>
      </w:r>
      <w:r w:rsidR="00544E6C">
        <w:rPr>
          <w:rFonts w:eastAsia="Calibri"/>
        </w:rPr>
        <w:t>s</w:t>
      </w:r>
      <w:r w:rsidRPr="00447371" w:rsidR="00544E6C">
        <w:rPr>
          <w:rFonts w:eastAsia="Calibri"/>
        </w:rPr>
        <w:t xml:space="preserve">hip </w:t>
      </w:r>
      <w:r w:rsidR="00544E6C">
        <w:rPr>
          <w:rFonts w:eastAsia="Calibri"/>
        </w:rPr>
        <w:t>t</w:t>
      </w:r>
      <w:r w:rsidRPr="00447371" w:rsidR="00544E6C">
        <w:rPr>
          <w:rFonts w:eastAsia="Calibri"/>
        </w:rPr>
        <w:t xml:space="preserve">ransmissions </w:t>
      </w:r>
      <w:r w:rsidRPr="00447371">
        <w:rPr>
          <w:rFonts w:eastAsia="Calibri"/>
        </w:rPr>
        <w:t>are only permitted in the 71</w:t>
      </w:r>
      <w:r>
        <w:t>–</w:t>
      </w:r>
      <w:r w:rsidRPr="00447371">
        <w:rPr>
          <w:rFonts w:eastAsia="Calibri"/>
        </w:rPr>
        <w:t>76</w:t>
      </w:r>
      <w:r w:rsidR="001A61DB">
        <w:rPr>
          <w:rFonts w:eastAsia="Calibri"/>
        </w:rPr>
        <w:t xml:space="preserve"> </w:t>
      </w:r>
      <w:r w:rsidRPr="00447371">
        <w:rPr>
          <w:rFonts w:eastAsia="Calibri"/>
        </w:rPr>
        <w:t>GHz band.</w:t>
      </w:r>
    </w:p>
    <w:p w:rsidR="00A6145B" w:rsidRPr="00447371" w:rsidP="00A6145B" w14:paraId="3CE9ED20" w14:textId="11C7A5CA">
      <w:pPr>
        <w:pStyle w:val="ListParagraph"/>
        <w:spacing w:after="160" w:line="240" w:lineRule="auto"/>
        <w:ind w:left="0" w:firstLine="720"/>
        <w:contextualSpacing w:val="0"/>
        <w:rPr>
          <w:rFonts w:eastAsia="Calibri"/>
        </w:rPr>
      </w:pPr>
      <w:r>
        <w:rPr>
          <w:rFonts w:eastAsia="Calibri"/>
        </w:rPr>
        <w:t xml:space="preserve">(5) </w:t>
      </w:r>
      <w:r w:rsidRPr="00447371">
        <w:rPr>
          <w:rFonts w:eastAsia="Calibri"/>
        </w:rPr>
        <w:t>Aerostat</w:t>
      </w:r>
      <w:r>
        <w:rPr>
          <w:rFonts w:eastAsia="Calibri"/>
        </w:rPr>
        <w:t>-</w:t>
      </w:r>
      <w:r w:rsidRPr="00447371">
        <w:rPr>
          <w:rFonts w:eastAsia="Calibri"/>
        </w:rPr>
        <w:t>to</w:t>
      </w:r>
      <w:r>
        <w:rPr>
          <w:rFonts w:eastAsia="Calibri"/>
        </w:rPr>
        <w:t>-</w:t>
      </w:r>
      <w:r w:rsidR="00544E6C">
        <w:rPr>
          <w:rFonts w:eastAsia="Calibri"/>
        </w:rPr>
        <w:t>s</w:t>
      </w:r>
      <w:r w:rsidRPr="00447371" w:rsidR="00544E6C">
        <w:rPr>
          <w:rFonts w:eastAsia="Calibri"/>
        </w:rPr>
        <w:t xml:space="preserve">hore </w:t>
      </w:r>
      <w:r w:rsidR="00544E6C">
        <w:rPr>
          <w:rFonts w:eastAsia="Calibri"/>
        </w:rPr>
        <w:t>t</w:t>
      </w:r>
      <w:r w:rsidRPr="00447371" w:rsidR="00544E6C">
        <w:rPr>
          <w:rFonts w:eastAsia="Calibri"/>
        </w:rPr>
        <w:t xml:space="preserve">ransmissions </w:t>
      </w:r>
      <w:r w:rsidRPr="00447371">
        <w:rPr>
          <w:rFonts w:eastAsia="Calibri"/>
        </w:rPr>
        <w:t>are only permitted in the 81</w:t>
      </w:r>
      <w:r>
        <w:t>–</w:t>
      </w:r>
      <w:r w:rsidRPr="00447371">
        <w:rPr>
          <w:rFonts w:eastAsia="Calibri"/>
        </w:rPr>
        <w:t>86</w:t>
      </w:r>
      <w:r w:rsidR="001A61DB">
        <w:rPr>
          <w:rFonts w:eastAsia="Calibri"/>
        </w:rPr>
        <w:t xml:space="preserve"> </w:t>
      </w:r>
      <w:r w:rsidRPr="00447371">
        <w:rPr>
          <w:rFonts w:eastAsia="Calibri"/>
        </w:rPr>
        <w:t>GHz band.</w:t>
      </w:r>
    </w:p>
    <w:p w:rsidR="00A6145B" w:rsidRPr="00447371" w:rsidP="00A6145B" w14:paraId="753AC20F" w14:textId="77777777">
      <w:pPr>
        <w:pStyle w:val="ListParagraph"/>
        <w:spacing w:after="160" w:line="240" w:lineRule="auto"/>
        <w:ind w:left="0" w:firstLine="720"/>
        <w:contextualSpacing w:val="0"/>
        <w:rPr>
          <w:rFonts w:eastAsia="Calibri"/>
        </w:rPr>
      </w:pPr>
      <w:r>
        <w:rPr>
          <w:rFonts w:eastAsia="Calibri"/>
        </w:rPr>
        <w:t xml:space="preserve">(6) </w:t>
      </w:r>
      <w:r w:rsidRPr="00447371">
        <w:rPr>
          <w:rFonts w:eastAsia="Calibri"/>
        </w:rPr>
        <w:t>Aerostat must not operate above an altitude limit of 1000</w:t>
      </w:r>
      <w:r>
        <w:rPr>
          <w:rFonts w:eastAsia="Calibri"/>
        </w:rPr>
        <w:t xml:space="preserve"> </w:t>
      </w:r>
      <w:r w:rsidRPr="00447371">
        <w:rPr>
          <w:rFonts w:eastAsia="Calibri"/>
        </w:rPr>
        <w:t xml:space="preserve">ft. </w:t>
      </w:r>
    </w:p>
    <w:p w:rsidR="00A6145B" w:rsidRPr="00447371" w:rsidP="0024261E" w14:paraId="6A33A6B1" w14:textId="77777777">
      <w:pPr>
        <w:pStyle w:val="ListParagraph"/>
        <w:widowControl/>
        <w:spacing w:after="160" w:line="240" w:lineRule="auto"/>
        <w:ind w:left="0" w:firstLine="720"/>
        <w:contextualSpacing w:val="0"/>
        <w:rPr>
          <w:rFonts w:eastAsia="Calibri"/>
        </w:rPr>
      </w:pPr>
      <w:r>
        <w:rPr>
          <w:rFonts w:eastAsia="Calibri"/>
        </w:rPr>
        <w:t xml:space="preserve">(7) </w:t>
      </w:r>
      <w:r w:rsidRPr="00447371">
        <w:rPr>
          <w:rFonts w:eastAsia="Calibri"/>
        </w:rPr>
        <w:t>Ship-to-ship communications are limited to ships located more than 30</w:t>
      </w:r>
      <w:r>
        <w:rPr>
          <w:rFonts w:eastAsia="Calibri"/>
        </w:rPr>
        <w:t xml:space="preserve"> </w:t>
      </w:r>
      <w:r w:rsidRPr="00447371">
        <w:rPr>
          <w:rFonts w:eastAsia="Calibri"/>
        </w:rPr>
        <w:t>km offshore, or closer only where the main beam of the transmit antenna is oriented at least 15 degrees away from any point on the shore.</w:t>
      </w:r>
    </w:p>
    <w:p w:rsidR="00A6145B" w:rsidRPr="00447371" w:rsidP="00A6145B" w14:paraId="5A8ECE35" w14:textId="7E042593">
      <w:pPr>
        <w:pStyle w:val="ListParagraph"/>
        <w:spacing w:after="160" w:line="240" w:lineRule="auto"/>
        <w:ind w:left="0" w:firstLine="720"/>
        <w:contextualSpacing w:val="0"/>
        <w:rPr>
          <w:rFonts w:eastAsia="Calibri"/>
        </w:rPr>
      </w:pPr>
      <w:r>
        <w:rPr>
          <w:rFonts w:eastAsia="Calibri"/>
        </w:rPr>
        <w:t xml:space="preserve">(8) </w:t>
      </w:r>
      <w:r w:rsidRPr="00447371">
        <w:rPr>
          <w:rFonts w:eastAsia="Calibri"/>
        </w:rPr>
        <w:t xml:space="preserve">Ship stations and </w:t>
      </w:r>
      <w:r w:rsidR="00544E6C">
        <w:rPr>
          <w:rFonts w:eastAsia="Calibri"/>
        </w:rPr>
        <w:t>a</w:t>
      </w:r>
      <w:r w:rsidRPr="00447371" w:rsidR="00544E6C">
        <w:rPr>
          <w:rFonts w:eastAsia="Calibri"/>
        </w:rPr>
        <w:t xml:space="preserve">erostat </w:t>
      </w:r>
      <w:r w:rsidRPr="00447371">
        <w:rPr>
          <w:rFonts w:eastAsia="Calibri"/>
        </w:rPr>
        <w:t>stations must only operate when there is a minimum separation of 150</w:t>
      </w:r>
      <w:r>
        <w:rPr>
          <w:rFonts w:eastAsia="Calibri"/>
        </w:rPr>
        <w:t xml:space="preserve"> </w:t>
      </w:r>
      <w:r w:rsidRPr="00447371">
        <w:rPr>
          <w:rFonts w:eastAsia="Calibri"/>
        </w:rPr>
        <w:t xml:space="preserve">km to the </w:t>
      </w:r>
      <w:r>
        <w:rPr>
          <w:rFonts w:eastAsia="Calibri"/>
        </w:rPr>
        <w:t xml:space="preserve">specific </w:t>
      </w:r>
      <w:r w:rsidR="00544E6C">
        <w:rPr>
          <w:rFonts w:eastAsia="Calibri"/>
        </w:rPr>
        <w:t>F</w:t>
      </w:r>
      <w:r w:rsidRPr="00447371" w:rsidR="00544E6C">
        <w:rPr>
          <w:rFonts w:eastAsia="Calibri"/>
        </w:rPr>
        <w:t xml:space="preserve">ederal </w:t>
      </w:r>
      <w:r w:rsidRPr="00447371">
        <w:rPr>
          <w:rFonts w:eastAsia="Calibri"/>
        </w:rPr>
        <w:t>facilities</w:t>
      </w:r>
      <w:r>
        <w:rPr>
          <w:rFonts w:eastAsia="Calibri"/>
        </w:rPr>
        <w:t xml:space="preserve"> and not within the areas</w:t>
      </w:r>
      <w:r w:rsidRPr="00447371">
        <w:rPr>
          <w:rFonts w:eastAsia="Calibri"/>
        </w:rPr>
        <w:t xml:space="preserve"> listed in</w:t>
      </w:r>
      <w:r w:rsidR="00544E6C">
        <w:rPr>
          <w:rFonts w:eastAsia="Calibri"/>
        </w:rPr>
        <w:t xml:space="preserve"> table 3 to</w:t>
      </w:r>
      <w:r w:rsidRPr="00447371">
        <w:rPr>
          <w:rFonts w:eastAsia="Calibri"/>
        </w:rPr>
        <w:t xml:space="preserve"> </w:t>
      </w:r>
      <w:r>
        <w:rPr>
          <w:rFonts w:eastAsia="Calibri"/>
        </w:rPr>
        <w:t>paragraph</w:t>
      </w:r>
      <w:r w:rsidRPr="00447371">
        <w:rPr>
          <w:rFonts w:eastAsia="Calibri"/>
        </w:rPr>
        <w:t xml:space="preserve"> (c)(1) </w:t>
      </w:r>
      <w:r>
        <w:rPr>
          <w:rFonts w:eastAsia="Calibri"/>
        </w:rPr>
        <w:t>of this section</w:t>
      </w:r>
      <w:r w:rsidRPr="00447371">
        <w:rPr>
          <w:rFonts w:eastAsia="Calibri"/>
        </w:rPr>
        <w:t xml:space="preserve">, absent a coordination agreement with the </w:t>
      </w:r>
      <w:r w:rsidR="00EA39A6">
        <w:rPr>
          <w:rFonts w:eastAsia="Calibri"/>
        </w:rPr>
        <w:t>f</w:t>
      </w:r>
      <w:r w:rsidRPr="00447371" w:rsidR="00EA39A6">
        <w:rPr>
          <w:rFonts w:eastAsia="Calibri"/>
        </w:rPr>
        <w:t xml:space="preserve">ederal </w:t>
      </w:r>
      <w:r w:rsidRPr="00447371">
        <w:rPr>
          <w:rFonts w:eastAsia="Calibri"/>
        </w:rPr>
        <w:t>operator.</w:t>
      </w:r>
    </w:p>
    <w:p w:rsidR="00A6145B" w:rsidP="00A6145B" w14:paraId="3389B566" w14:textId="65691151">
      <w:pPr>
        <w:pStyle w:val="ListParagraph"/>
        <w:spacing w:after="160" w:line="240" w:lineRule="auto"/>
        <w:ind w:left="0" w:firstLine="720"/>
        <w:contextualSpacing w:val="0"/>
        <w:rPr>
          <w:rFonts w:eastAsia="Calibri"/>
        </w:rPr>
      </w:pPr>
      <w:r>
        <w:rPr>
          <w:rFonts w:eastAsia="Calibri"/>
        </w:rPr>
        <w:t xml:space="preserve">(9) </w:t>
      </w:r>
      <w:r w:rsidRPr="00447371">
        <w:rPr>
          <w:rFonts w:eastAsia="Calibri"/>
        </w:rPr>
        <w:t>Shore-to-</w:t>
      </w:r>
      <w:r w:rsidR="00544E6C">
        <w:rPr>
          <w:rFonts w:eastAsia="Calibri"/>
        </w:rPr>
        <w:t>s</w:t>
      </w:r>
      <w:r w:rsidRPr="00447371" w:rsidR="00544E6C">
        <w:rPr>
          <w:rFonts w:eastAsia="Calibri"/>
        </w:rPr>
        <w:t xml:space="preserve">hip </w:t>
      </w:r>
      <w:r w:rsidRPr="00447371">
        <w:rPr>
          <w:rFonts w:eastAsia="Calibri"/>
        </w:rPr>
        <w:t xml:space="preserve">and </w:t>
      </w:r>
      <w:r w:rsidR="00544E6C">
        <w:rPr>
          <w:rFonts w:eastAsia="Calibri"/>
        </w:rPr>
        <w:t>s</w:t>
      </w:r>
      <w:r w:rsidRPr="00447371" w:rsidR="00544E6C">
        <w:rPr>
          <w:rFonts w:eastAsia="Calibri"/>
        </w:rPr>
        <w:t>hip</w:t>
      </w:r>
      <w:r w:rsidRPr="00447371">
        <w:rPr>
          <w:rFonts w:eastAsia="Calibri"/>
        </w:rPr>
        <w:t>-to-</w:t>
      </w:r>
      <w:r w:rsidR="00544E6C">
        <w:rPr>
          <w:rFonts w:eastAsia="Calibri"/>
        </w:rPr>
        <w:t>s</w:t>
      </w:r>
      <w:r w:rsidRPr="00447371" w:rsidR="00544E6C">
        <w:rPr>
          <w:rFonts w:eastAsia="Calibri"/>
        </w:rPr>
        <w:t xml:space="preserve">hore </w:t>
      </w:r>
      <w:r w:rsidRPr="00447371">
        <w:rPr>
          <w:rFonts w:eastAsia="Calibri"/>
        </w:rPr>
        <w:t>transmission must only occur between stations that are located at least 10</w:t>
      </w:r>
      <w:r>
        <w:rPr>
          <w:rFonts w:eastAsia="Calibri"/>
        </w:rPr>
        <w:t xml:space="preserve"> </w:t>
      </w:r>
      <w:r w:rsidRPr="00447371">
        <w:rPr>
          <w:rFonts w:eastAsia="Calibri"/>
        </w:rPr>
        <w:t xml:space="preserve">km from the </w:t>
      </w:r>
      <w:r w:rsidR="00544E6C">
        <w:rPr>
          <w:rFonts w:eastAsia="Calibri"/>
        </w:rPr>
        <w:t>F</w:t>
      </w:r>
      <w:r w:rsidRPr="00447371" w:rsidR="00544E6C">
        <w:rPr>
          <w:rFonts w:eastAsia="Calibri"/>
        </w:rPr>
        <w:t xml:space="preserve">ederal </w:t>
      </w:r>
      <w:r w:rsidRPr="00447371">
        <w:rPr>
          <w:rFonts w:eastAsia="Calibri"/>
        </w:rPr>
        <w:t>military installations listed in</w:t>
      </w:r>
      <w:r w:rsidR="00544E6C">
        <w:rPr>
          <w:rFonts w:eastAsia="Calibri"/>
        </w:rPr>
        <w:t xml:space="preserve"> table 4 to</w:t>
      </w:r>
      <w:r w:rsidRPr="00447371">
        <w:rPr>
          <w:rFonts w:eastAsia="Calibri"/>
        </w:rPr>
        <w:t xml:space="preserve"> </w:t>
      </w:r>
      <w:r>
        <w:rPr>
          <w:rFonts w:eastAsia="Calibri"/>
        </w:rPr>
        <w:t>paragraph</w:t>
      </w:r>
      <w:r w:rsidRPr="00447371">
        <w:rPr>
          <w:rFonts w:eastAsia="Calibri"/>
        </w:rPr>
        <w:t xml:space="preserve"> (c)(2) </w:t>
      </w:r>
      <w:r>
        <w:rPr>
          <w:rFonts w:eastAsia="Calibri"/>
        </w:rPr>
        <w:t>of this section</w:t>
      </w:r>
      <w:r w:rsidRPr="00447371">
        <w:rPr>
          <w:rFonts w:eastAsia="Calibri"/>
        </w:rPr>
        <w:t xml:space="preserve">, absent a coordination agreement with the </w:t>
      </w:r>
      <w:r w:rsidR="00544E6C">
        <w:rPr>
          <w:rFonts w:eastAsia="Calibri"/>
        </w:rPr>
        <w:t>F</w:t>
      </w:r>
      <w:r w:rsidRPr="00447371" w:rsidR="00544E6C">
        <w:rPr>
          <w:rFonts w:eastAsia="Calibri"/>
        </w:rPr>
        <w:t xml:space="preserve">ederal </w:t>
      </w:r>
      <w:r w:rsidRPr="00447371">
        <w:rPr>
          <w:rFonts w:eastAsia="Calibri"/>
        </w:rPr>
        <w:t>operator.</w:t>
      </w:r>
    </w:p>
    <w:p w:rsidR="00A6145B" w:rsidRPr="00447371" w:rsidP="00A6145B" w14:paraId="4500E458" w14:textId="7DF687F2">
      <w:pPr>
        <w:pStyle w:val="ListParagraph"/>
        <w:spacing w:after="160" w:line="240" w:lineRule="auto"/>
        <w:ind w:left="0" w:firstLine="720"/>
        <w:contextualSpacing w:val="0"/>
        <w:rPr>
          <w:rFonts w:eastAsia="Calibri"/>
        </w:rPr>
      </w:pPr>
      <w:r>
        <w:rPr>
          <w:rFonts w:eastAsia="Calibri"/>
        </w:rPr>
        <w:t xml:space="preserve">(10) </w:t>
      </w:r>
      <w:r w:rsidRPr="00325AB7">
        <w:rPr>
          <w:rFonts w:eastAsia="Calibri"/>
        </w:rPr>
        <w:t xml:space="preserve">Maritime operators must coordinate with </w:t>
      </w:r>
      <w:r w:rsidR="003C178C">
        <w:rPr>
          <w:rFonts w:eastAsia="Calibri"/>
        </w:rPr>
        <w:t>F</w:t>
      </w:r>
      <w:r w:rsidRPr="00325AB7" w:rsidR="003C178C">
        <w:rPr>
          <w:rFonts w:eastAsia="Calibri"/>
        </w:rPr>
        <w:t xml:space="preserve">ederal </w:t>
      </w:r>
      <w:r w:rsidRPr="00325AB7">
        <w:rPr>
          <w:rFonts w:eastAsia="Calibri"/>
        </w:rPr>
        <w:t>operators and register shore and aerostat transmitters, and must not operate such facilities or any associated ship-to-shore transmissions until registration has successfully been completed</w:t>
      </w:r>
      <w:r>
        <w:rPr>
          <w:rFonts w:eastAsia="Calibri"/>
        </w:rPr>
        <w:t>.</w:t>
      </w:r>
      <w:r w:rsidRPr="00447371">
        <w:rPr>
          <w:rFonts w:eastAsia="Calibri"/>
        </w:rPr>
        <w:t xml:space="preserve"> </w:t>
      </w:r>
    </w:p>
    <w:p w:rsidR="00A6145B" w:rsidRPr="006D621A" w:rsidP="00A6145B" w14:paraId="4E44D916" w14:textId="2C8B1792">
      <w:pPr>
        <w:pStyle w:val="ListParagraph"/>
        <w:spacing w:after="160" w:line="240" w:lineRule="auto"/>
        <w:ind w:left="0" w:firstLine="720"/>
        <w:contextualSpacing w:val="0"/>
        <w:rPr>
          <w:rFonts w:eastAsia="Calibri"/>
          <w:i/>
          <w:iCs/>
        </w:rPr>
      </w:pPr>
      <w:r>
        <w:rPr>
          <w:rFonts w:eastAsia="Calibri"/>
        </w:rPr>
        <w:t xml:space="preserve">(c) </w:t>
      </w:r>
      <w:r w:rsidRPr="006D621A">
        <w:rPr>
          <w:rFonts w:eastAsia="Calibri"/>
          <w:i/>
          <w:iCs/>
        </w:rPr>
        <w:t xml:space="preserve">Protected Federal </w:t>
      </w:r>
      <w:r w:rsidR="00544E6C">
        <w:rPr>
          <w:rFonts w:eastAsia="Calibri"/>
          <w:i/>
          <w:iCs/>
        </w:rPr>
        <w:t>s</w:t>
      </w:r>
      <w:r w:rsidRPr="006D621A" w:rsidR="00544E6C">
        <w:rPr>
          <w:rFonts w:eastAsia="Calibri"/>
          <w:i/>
          <w:iCs/>
        </w:rPr>
        <w:t>ites.</w:t>
      </w:r>
    </w:p>
    <w:p w:rsidR="00A6145B" w:rsidRPr="00447371" w:rsidP="00A6145B" w14:paraId="42490805" w14:textId="47FC62F6">
      <w:pPr>
        <w:pStyle w:val="ListParagraph"/>
        <w:spacing w:after="160" w:line="240" w:lineRule="auto"/>
        <w:ind w:left="0" w:firstLine="720"/>
        <w:contextualSpacing w:val="0"/>
        <w:rPr>
          <w:rFonts w:eastAsia="Calibri"/>
        </w:rPr>
      </w:pPr>
      <w:r>
        <w:rPr>
          <w:rFonts w:eastAsia="Calibri"/>
        </w:rPr>
        <w:t xml:space="preserve">(1) </w:t>
      </w:r>
      <w:r w:rsidRPr="00447371">
        <w:rPr>
          <w:rFonts w:eastAsia="Calibri"/>
        </w:rPr>
        <w:t>RAS and VLBA sites</w:t>
      </w:r>
      <w:r w:rsidR="00544E6C">
        <w:rPr>
          <w:rFonts w:eastAsia="Calibri"/>
        </w:rPr>
        <w:t>:</w:t>
      </w:r>
    </w:p>
    <w:p w:rsidR="00A6145B" w:rsidRPr="00447371" w:rsidP="00A6145B" w14:paraId="06C5784B" w14:textId="75E7CC9B">
      <w:pPr>
        <w:keepNext/>
        <w:keepLines/>
        <w:spacing w:after="120"/>
        <w:jc w:val="center"/>
        <w:rPr>
          <w:rFonts w:eastAsia="Calibri"/>
          <w:b/>
        </w:rPr>
      </w:pPr>
      <w:r w:rsidRPr="00447371">
        <w:rPr>
          <w:rFonts w:eastAsia="Calibri"/>
          <w:b/>
        </w:rPr>
        <w:t xml:space="preserve">Table </w:t>
      </w:r>
      <w:r w:rsidR="003C178C">
        <w:rPr>
          <w:rFonts w:eastAsia="Calibri"/>
          <w:b/>
        </w:rPr>
        <w:t>3 to Paragraph (c)(1)</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7"/>
        <w:gridCol w:w="1560"/>
        <w:gridCol w:w="1733"/>
      </w:tblGrid>
      <w:tr w14:paraId="719B5E58" w14:textId="77777777" w:rsidTr="0083305B">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6067" w:type="dxa"/>
            <w:tcMar>
              <w:left w:w="108" w:type="dxa"/>
              <w:right w:w="108" w:type="dxa"/>
            </w:tcMar>
            <w:vAlign w:val="center"/>
          </w:tcPr>
          <w:p w:rsidR="00A6145B" w:rsidRPr="00CB187C" w:rsidP="0083305B" w14:paraId="60A48BDE" w14:textId="77777777">
            <w:pPr>
              <w:keepNext/>
              <w:keepLines/>
              <w:spacing w:line="257" w:lineRule="auto"/>
              <w:jc w:val="center"/>
              <w:rPr>
                <w:b/>
              </w:rPr>
            </w:pPr>
            <w:r w:rsidRPr="00CB187C">
              <w:rPr>
                <w:b/>
              </w:rPr>
              <w:t>RAS Station Name</w:t>
            </w:r>
          </w:p>
        </w:tc>
        <w:tc>
          <w:tcPr>
            <w:tcW w:w="1560" w:type="dxa"/>
            <w:tcMar>
              <w:left w:w="108" w:type="dxa"/>
              <w:right w:w="108" w:type="dxa"/>
            </w:tcMar>
            <w:vAlign w:val="center"/>
          </w:tcPr>
          <w:p w:rsidR="00A6145B" w:rsidRPr="00CB187C" w:rsidP="0083305B" w14:paraId="2396AD73" w14:textId="77777777">
            <w:pPr>
              <w:keepNext/>
              <w:keepLines/>
              <w:spacing w:line="257" w:lineRule="auto"/>
              <w:jc w:val="center"/>
              <w:rPr>
                <w:b/>
              </w:rPr>
            </w:pPr>
            <w:r w:rsidRPr="00CB187C">
              <w:rPr>
                <w:b/>
              </w:rPr>
              <w:t>North</w:t>
            </w:r>
          </w:p>
          <w:p w:rsidR="00A6145B" w:rsidRPr="00CB187C" w:rsidP="0083305B" w14:paraId="6688DA89" w14:textId="77777777">
            <w:pPr>
              <w:keepNext/>
              <w:keepLines/>
              <w:spacing w:line="257" w:lineRule="auto"/>
              <w:jc w:val="center"/>
              <w:rPr>
                <w:b/>
              </w:rPr>
            </w:pPr>
            <w:r w:rsidRPr="00CB187C">
              <w:rPr>
                <w:b/>
              </w:rPr>
              <w:t>Latitude</w:t>
            </w:r>
          </w:p>
        </w:tc>
        <w:tc>
          <w:tcPr>
            <w:tcW w:w="1733" w:type="dxa"/>
            <w:tcMar>
              <w:left w:w="108" w:type="dxa"/>
              <w:right w:w="108" w:type="dxa"/>
            </w:tcMar>
            <w:vAlign w:val="center"/>
          </w:tcPr>
          <w:p w:rsidR="00A6145B" w:rsidRPr="00CB187C" w:rsidP="0083305B" w14:paraId="2B3497BB" w14:textId="77777777">
            <w:pPr>
              <w:keepNext/>
              <w:keepLines/>
              <w:spacing w:line="257" w:lineRule="auto"/>
              <w:jc w:val="center"/>
              <w:rPr>
                <w:b/>
              </w:rPr>
            </w:pPr>
            <w:r w:rsidRPr="00CB187C">
              <w:rPr>
                <w:b/>
              </w:rPr>
              <w:t>West</w:t>
            </w:r>
          </w:p>
          <w:p w:rsidR="00A6145B" w:rsidRPr="00CB187C" w:rsidP="0083305B" w14:paraId="1BADB23C" w14:textId="77777777">
            <w:pPr>
              <w:keepNext/>
              <w:keepLines/>
              <w:spacing w:line="257" w:lineRule="auto"/>
              <w:jc w:val="center"/>
              <w:rPr>
                <w:b/>
              </w:rPr>
            </w:pPr>
            <w:r w:rsidRPr="00CB187C">
              <w:rPr>
                <w:b/>
              </w:rPr>
              <w:t>Longitude</w:t>
            </w:r>
          </w:p>
        </w:tc>
      </w:tr>
      <w:tr w14:paraId="7BAEC4BC"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707F38CC" w14:textId="77777777">
            <w:pPr>
              <w:spacing w:line="257" w:lineRule="auto"/>
            </w:pPr>
            <w:r w:rsidRPr="00CB187C">
              <w:t xml:space="preserve">Arizona Radio Observatory (ARO) 12-meter </w:t>
            </w:r>
          </w:p>
        </w:tc>
        <w:tc>
          <w:tcPr>
            <w:tcW w:w="1560" w:type="dxa"/>
            <w:tcMar>
              <w:left w:w="108" w:type="dxa"/>
              <w:right w:w="108" w:type="dxa"/>
            </w:tcMar>
            <w:vAlign w:val="center"/>
          </w:tcPr>
          <w:p w:rsidR="00A6145B" w:rsidRPr="00CB187C" w:rsidP="0083305B" w14:paraId="5BB2DA6D" w14:textId="77777777">
            <w:pPr>
              <w:spacing w:line="257" w:lineRule="auto"/>
              <w:jc w:val="center"/>
            </w:pPr>
            <w:r w:rsidRPr="00CB187C">
              <w:t>31° 57' 11.9"</w:t>
            </w:r>
          </w:p>
        </w:tc>
        <w:tc>
          <w:tcPr>
            <w:tcW w:w="1733" w:type="dxa"/>
            <w:tcMar>
              <w:left w:w="108" w:type="dxa"/>
              <w:right w:w="108" w:type="dxa"/>
            </w:tcMar>
            <w:vAlign w:val="center"/>
          </w:tcPr>
          <w:p w:rsidR="00A6145B" w:rsidRPr="00CB187C" w:rsidP="0083305B" w14:paraId="77726C39" w14:textId="77777777">
            <w:pPr>
              <w:spacing w:line="257" w:lineRule="auto"/>
              <w:jc w:val="center"/>
            </w:pPr>
            <w:r w:rsidRPr="00CB187C">
              <w:t>111° 36' 53.6"</w:t>
            </w:r>
          </w:p>
        </w:tc>
      </w:tr>
      <w:tr w14:paraId="4A55F676"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7ABE4E37" w14:textId="77777777">
            <w:pPr>
              <w:spacing w:line="257" w:lineRule="auto"/>
            </w:pPr>
            <w:r w:rsidRPr="00CB187C">
              <w:t xml:space="preserve">Green Bank Observatory </w:t>
            </w:r>
          </w:p>
        </w:tc>
        <w:tc>
          <w:tcPr>
            <w:tcW w:w="1560" w:type="dxa"/>
            <w:tcMar>
              <w:left w:w="108" w:type="dxa"/>
              <w:right w:w="108" w:type="dxa"/>
            </w:tcMar>
            <w:vAlign w:val="center"/>
          </w:tcPr>
          <w:p w:rsidR="00A6145B" w:rsidRPr="00CB187C" w:rsidP="0083305B" w14:paraId="71CB7FCD" w14:textId="77777777">
            <w:pPr>
              <w:spacing w:line="257" w:lineRule="auto"/>
              <w:jc w:val="center"/>
            </w:pPr>
            <w:r w:rsidRPr="00CB187C">
              <w:t>38° 25' 59"</w:t>
            </w:r>
          </w:p>
        </w:tc>
        <w:tc>
          <w:tcPr>
            <w:tcW w:w="1733" w:type="dxa"/>
            <w:tcMar>
              <w:left w:w="108" w:type="dxa"/>
              <w:right w:w="108" w:type="dxa"/>
            </w:tcMar>
            <w:vAlign w:val="center"/>
          </w:tcPr>
          <w:p w:rsidR="00A6145B" w:rsidRPr="00CB187C" w:rsidP="0083305B" w14:paraId="26F2C400" w14:textId="77777777">
            <w:pPr>
              <w:spacing w:line="257" w:lineRule="auto"/>
              <w:jc w:val="center"/>
            </w:pPr>
            <w:r w:rsidRPr="00CB187C">
              <w:t>79° 50' 23"</w:t>
            </w:r>
          </w:p>
        </w:tc>
      </w:tr>
      <w:tr w14:paraId="2A80A11A"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5EDCEB20" w14:textId="77777777">
            <w:pPr>
              <w:spacing w:line="257" w:lineRule="auto"/>
            </w:pPr>
            <w:r w:rsidRPr="00CB187C">
              <w:t>Very Large Array (VLA), Socorro, NM</w:t>
            </w:r>
          </w:p>
        </w:tc>
        <w:tc>
          <w:tcPr>
            <w:tcW w:w="1560" w:type="dxa"/>
            <w:tcMar>
              <w:left w:w="108" w:type="dxa"/>
              <w:right w:w="108" w:type="dxa"/>
            </w:tcMar>
            <w:vAlign w:val="center"/>
          </w:tcPr>
          <w:p w:rsidR="00A6145B" w:rsidRPr="00CB187C" w:rsidP="0083305B" w14:paraId="5C3517CB" w14:textId="77777777">
            <w:pPr>
              <w:spacing w:line="257" w:lineRule="auto"/>
              <w:jc w:val="center"/>
            </w:pPr>
            <w:r w:rsidRPr="00CB187C">
              <w:t>34° 04' 44"</w:t>
            </w:r>
          </w:p>
        </w:tc>
        <w:tc>
          <w:tcPr>
            <w:tcW w:w="1733" w:type="dxa"/>
            <w:tcMar>
              <w:left w:w="108" w:type="dxa"/>
              <w:right w:w="108" w:type="dxa"/>
            </w:tcMar>
            <w:vAlign w:val="center"/>
          </w:tcPr>
          <w:p w:rsidR="00A6145B" w:rsidRPr="00CB187C" w:rsidP="0083305B" w14:paraId="7BDEB988" w14:textId="77777777">
            <w:pPr>
              <w:spacing w:line="257" w:lineRule="auto"/>
              <w:jc w:val="center"/>
            </w:pPr>
            <w:r w:rsidRPr="00CB187C">
              <w:t>107° 37' 06"</w:t>
            </w:r>
          </w:p>
        </w:tc>
      </w:tr>
      <w:tr w14:paraId="74AA1FEB"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23B11E51" w14:textId="77777777">
            <w:pPr>
              <w:spacing w:line="257" w:lineRule="auto"/>
            </w:pPr>
            <w:r w:rsidRPr="00CB187C">
              <w:t xml:space="preserve">Owens Valley Radio Observatory (OVRO), Big Pine, CA </w:t>
            </w:r>
          </w:p>
        </w:tc>
        <w:tc>
          <w:tcPr>
            <w:tcW w:w="1560" w:type="dxa"/>
            <w:tcMar>
              <w:left w:w="108" w:type="dxa"/>
              <w:right w:w="108" w:type="dxa"/>
            </w:tcMar>
            <w:vAlign w:val="center"/>
          </w:tcPr>
          <w:p w:rsidR="00A6145B" w:rsidRPr="00CB187C" w:rsidP="0083305B" w14:paraId="5CE4C1EC" w14:textId="77777777">
            <w:pPr>
              <w:spacing w:line="257" w:lineRule="auto"/>
              <w:jc w:val="center"/>
            </w:pPr>
            <w:r w:rsidRPr="00CB187C">
              <w:t>37° 14′ 02″</w:t>
            </w:r>
          </w:p>
        </w:tc>
        <w:tc>
          <w:tcPr>
            <w:tcW w:w="1733" w:type="dxa"/>
            <w:tcMar>
              <w:left w:w="108" w:type="dxa"/>
              <w:right w:w="108" w:type="dxa"/>
            </w:tcMar>
            <w:vAlign w:val="center"/>
          </w:tcPr>
          <w:p w:rsidR="00A6145B" w:rsidRPr="00CB187C" w:rsidP="0083305B" w14:paraId="4EF052ED" w14:textId="77777777">
            <w:pPr>
              <w:spacing w:line="257" w:lineRule="auto"/>
              <w:jc w:val="center"/>
            </w:pPr>
            <w:r w:rsidRPr="00CB187C">
              <w:t>118° 16′ 55″</w:t>
            </w:r>
          </w:p>
        </w:tc>
      </w:tr>
      <w:tr w14:paraId="745CDF31"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3D9761B3" w14:textId="77777777">
            <w:pPr>
              <w:spacing w:line="257" w:lineRule="auto"/>
            </w:pPr>
            <w:r w:rsidRPr="00CB187C">
              <w:t xml:space="preserve">Haystack Observatory, Westford, MA </w:t>
            </w:r>
          </w:p>
        </w:tc>
        <w:tc>
          <w:tcPr>
            <w:tcW w:w="1560" w:type="dxa"/>
            <w:tcMar>
              <w:left w:w="108" w:type="dxa"/>
              <w:right w:w="108" w:type="dxa"/>
            </w:tcMar>
            <w:vAlign w:val="center"/>
          </w:tcPr>
          <w:p w:rsidR="00A6145B" w:rsidRPr="00CB187C" w:rsidP="0083305B" w14:paraId="738BD615" w14:textId="77777777">
            <w:pPr>
              <w:spacing w:line="257" w:lineRule="auto"/>
              <w:jc w:val="center"/>
            </w:pPr>
            <w:r w:rsidRPr="00CB187C">
              <w:t>42° 37' 24''</w:t>
            </w:r>
          </w:p>
        </w:tc>
        <w:tc>
          <w:tcPr>
            <w:tcW w:w="1733" w:type="dxa"/>
            <w:tcMar>
              <w:left w:w="108" w:type="dxa"/>
              <w:right w:w="108" w:type="dxa"/>
            </w:tcMar>
            <w:vAlign w:val="center"/>
          </w:tcPr>
          <w:p w:rsidR="00A6145B" w:rsidRPr="00CB187C" w:rsidP="0083305B" w14:paraId="56A0DD76" w14:textId="77777777">
            <w:pPr>
              <w:spacing w:line="257" w:lineRule="auto"/>
              <w:jc w:val="center"/>
            </w:pPr>
            <w:r w:rsidRPr="00CB187C">
              <w:t>071° 29' 18''</w:t>
            </w:r>
          </w:p>
        </w:tc>
      </w:tr>
      <w:tr w14:paraId="42154975" w14:textId="77777777" w:rsidTr="0083305B">
        <w:tblPrEx>
          <w:tblW w:w="9360" w:type="dxa"/>
          <w:tblLayout w:type="fixed"/>
          <w:tblLook w:val="04A0"/>
        </w:tblPrEx>
        <w:trPr>
          <w:trHeight w:val="394"/>
        </w:trPr>
        <w:tc>
          <w:tcPr>
            <w:tcW w:w="9360" w:type="dxa"/>
            <w:gridSpan w:val="3"/>
            <w:tcMar>
              <w:left w:w="108" w:type="dxa"/>
              <w:right w:w="108" w:type="dxa"/>
            </w:tcMar>
            <w:vAlign w:val="center"/>
          </w:tcPr>
          <w:p w:rsidR="00A6145B" w:rsidRPr="00CB187C" w:rsidP="0083305B" w14:paraId="29EB4726" w14:textId="77777777">
            <w:pPr>
              <w:spacing w:line="257" w:lineRule="auto"/>
            </w:pPr>
            <w:r w:rsidRPr="00CB187C">
              <w:t>National Radio Astronomy Observatory, Very Long Baseline Array Stations</w:t>
            </w:r>
          </w:p>
        </w:tc>
      </w:tr>
      <w:tr w14:paraId="3A285D76"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45AFE060" w14:textId="77777777">
            <w:pPr>
              <w:spacing w:line="257" w:lineRule="auto"/>
            </w:pPr>
            <w:r w:rsidRPr="00CB187C">
              <w:t xml:space="preserve">Brewster, WA  </w:t>
            </w:r>
          </w:p>
        </w:tc>
        <w:tc>
          <w:tcPr>
            <w:tcW w:w="1560" w:type="dxa"/>
            <w:tcMar>
              <w:left w:w="108" w:type="dxa"/>
              <w:right w:w="108" w:type="dxa"/>
            </w:tcMar>
            <w:vAlign w:val="center"/>
          </w:tcPr>
          <w:p w:rsidR="00A6145B" w:rsidRPr="00CB187C" w:rsidP="0083305B" w14:paraId="073F98AC" w14:textId="77777777">
            <w:pPr>
              <w:spacing w:line="257" w:lineRule="auto"/>
              <w:jc w:val="center"/>
            </w:pPr>
            <w:r w:rsidRPr="00CB187C">
              <w:t>48° 07' 52"</w:t>
            </w:r>
          </w:p>
        </w:tc>
        <w:tc>
          <w:tcPr>
            <w:tcW w:w="1733" w:type="dxa"/>
            <w:tcMar>
              <w:left w:w="108" w:type="dxa"/>
              <w:right w:w="108" w:type="dxa"/>
            </w:tcMar>
            <w:vAlign w:val="center"/>
          </w:tcPr>
          <w:p w:rsidR="00A6145B" w:rsidRPr="00CB187C" w:rsidP="0083305B" w14:paraId="2DD0B123" w14:textId="77777777">
            <w:pPr>
              <w:spacing w:line="257" w:lineRule="auto"/>
              <w:jc w:val="center"/>
            </w:pPr>
            <w:r w:rsidRPr="00CB187C">
              <w:t>119° 41' 00"</w:t>
            </w:r>
          </w:p>
        </w:tc>
      </w:tr>
      <w:tr w14:paraId="59107DC6"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3996583A" w14:textId="77777777">
            <w:pPr>
              <w:spacing w:line="257" w:lineRule="auto"/>
            </w:pPr>
            <w:r w:rsidRPr="00CB187C">
              <w:t xml:space="preserve">Fort Davis, TX  </w:t>
            </w:r>
          </w:p>
        </w:tc>
        <w:tc>
          <w:tcPr>
            <w:tcW w:w="1560" w:type="dxa"/>
            <w:tcMar>
              <w:left w:w="108" w:type="dxa"/>
              <w:right w:w="108" w:type="dxa"/>
            </w:tcMar>
            <w:vAlign w:val="center"/>
          </w:tcPr>
          <w:p w:rsidR="00A6145B" w:rsidRPr="00CB187C" w:rsidP="0083305B" w14:paraId="57C3732C" w14:textId="77777777">
            <w:pPr>
              <w:spacing w:line="257" w:lineRule="auto"/>
              <w:jc w:val="center"/>
            </w:pPr>
            <w:r w:rsidRPr="00CB187C">
              <w:t>30° 38' 06"</w:t>
            </w:r>
          </w:p>
        </w:tc>
        <w:tc>
          <w:tcPr>
            <w:tcW w:w="1733" w:type="dxa"/>
            <w:tcMar>
              <w:left w:w="108" w:type="dxa"/>
              <w:right w:w="108" w:type="dxa"/>
            </w:tcMar>
            <w:vAlign w:val="center"/>
          </w:tcPr>
          <w:p w:rsidR="00A6145B" w:rsidRPr="00CB187C" w:rsidP="0083305B" w14:paraId="0026517B" w14:textId="77777777">
            <w:pPr>
              <w:spacing w:line="257" w:lineRule="auto"/>
              <w:jc w:val="center"/>
            </w:pPr>
            <w:r w:rsidRPr="00CB187C">
              <w:t>103° 56' 41"</w:t>
            </w:r>
          </w:p>
        </w:tc>
      </w:tr>
      <w:tr w14:paraId="051EEB93"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68B60792" w14:textId="77777777">
            <w:pPr>
              <w:spacing w:line="257" w:lineRule="auto"/>
            </w:pPr>
            <w:r w:rsidRPr="00CB187C">
              <w:t xml:space="preserve">Hancock, NH  </w:t>
            </w:r>
          </w:p>
        </w:tc>
        <w:tc>
          <w:tcPr>
            <w:tcW w:w="1560" w:type="dxa"/>
            <w:tcMar>
              <w:left w:w="108" w:type="dxa"/>
              <w:right w:w="108" w:type="dxa"/>
            </w:tcMar>
            <w:vAlign w:val="center"/>
          </w:tcPr>
          <w:p w:rsidR="00A6145B" w:rsidRPr="00CB187C" w:rsidP="0083305B" w14:paraId="2A4D50D2" w14:textId="77777777">
            <w:pPr>
              <w:spacing w:line="257" w:lineRule="auto"/>
              <w:jc w:val="center"/>
            </w:pPr>
            <w:r w:rsidRPr="00CB187C">
              <w:t>42° 56' 01"</w:t>
            </w:r>
          </w:p>
        </w:tc>
        <w:tc>
          <w:tcPr>
            <w:tcW w:w="1733" w:type="dxa"/>
            <w:tcMar>
              <w:left w:w="108" w:type="dxa"/>
              <w:right w:w="108" w:type="dxa"/>
            </w:tcMar>
            <w:vAlign w:val="center"/>
          </w:tcPr>
          <w:p w:rsidR="00A6145B" w:rsidRPr="00CB187C" w:rsidP="0083305B" w14:paraId="73224787" w14:textId="77777777">
            <w:pPr>
              <w:spacing w:line="257" w:lineRule="auto"/>
              <w:jc w:val="center"/>
            </w:pPr>
            <w:r w:rsidRPr="00CB187C">
              <w:t>71° 59' 12"</w:t>
            </w:r>
          </w:p>
        </w:tc>
      </w:tr>
      <w:tr w14:paraId="652C91F8"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0E401EAD" w14:textId="77777777">
            <w:pPr>
              <w:spacing w:line="257" w:lineRule="auto"/>
            </w:pPr>
            <w:r w:rsidRPr="00CB187C">
              <w:t xml:space="preserve">Kitt Peak, AZ  </w:t>
            </w:r>
          </w:p>
        </w:tc>
        <w:tc>
          <w:tcPr>
            <w:tcW w:w="1560" w:type="dxa"/>
            <w:tcMar>
              <w:left w:w="108" w:type="dxa"/>
              <w:right w:w="108" w:type="dxa"/>
            </w:tcMar>
            <w:vAlign w:val="center"/>
          </w:tcPr>
          <w:p w:rsidR="00A6145B" w:rsidRPr="00CB187C" w:rsidP="0083305B" w14:paraId="4CE59622" w14:textId="77777777">
            <w:pPr>
              <w:spacing w:line="257" w:lineRule="auto"/>
              <w:jc w:val="center"/>
            </w:pPr>
            <w:r w:rsidRPr="00CB187C">
              <w:t>31° 57' 23"</w:t>
            </w:r>
          </w:p>
        </w:tc>
        <w:tc>
          <w:tcPr>
            <w:tcW w:w="1733" w:type="dxa"/>
            <w:tcMar>
              <w:left w:w="108" w:type="dxa"/>
              <w:right w:w="108" w:type="dxa"/>
            </w:tcMar>
            <w:vAlign w:val="center"/>
          </w:tcPr>
          <w:p w:rsidR="00A6145B" w:rsidRPr="00CB187C" w:rsidP="0083305B" w14:paraId="1EBD748A" w14:textId="77777777">
            <w:pPr>
              <w:spacing w:line="257" w:lineRule="auto"/>
              <w:jc w:val="center"/>
            </w:pPr>
            <w:r w:rsidRPr="00CB187C">
              <w:t>111° 36' 45"</w:t>
            </w:r>
          </w:p>
        </w:tc>
      </w:tr>
      <w:tr w14:paraId="0A9FB6C3"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79E8CE00" w14:textId="77777777">
            <w:pPr>
              <w:spacing w:line="257" w:lineRule="auto"/>
            </w:pPr>
            <w:r w:rsidRPr="00CB187C">
              <w:t xml:space="preserve">Los Alamos, NM  </w:t>
            </w:r>
          </w:p>
        </w:tc>
        <w:tc>
          <w:tcPr>
            <w:tcW w:w="1560" w:type="dxa"/>
            <w:tcMar>
              <w:left w:w="108" w:type="dxa"/>
              <w:right w:w="108" w:type="dxa"/>
            </w:tcMar>
            <w:vAlign w:val="center"/>
          </w:tcPr>
          <w:p w:rsidR="00A6145B" w:rsidRPr="00CB187C" w:rsidP="0083305B" w14:paraId="7333E051" w14:textId="77777777">
            <w:pPr>
              <w:spacing w:line="257" w:lineRule="auto"/>
              <w:jc w:val="center"/>
            </w:pPr>
            <w:r w:rsidRPr="00CB187C">
              <w:t>35° 46' 30"</w:t>
            </w:r>
          </w:p>
        </w:tc>
        <w:tc>
          <w:tcPr>
            <w:tcW w:w="1733" w:type="dxa"/>
            <w:tcMar>
              <w:left w:w="108" w:type="dxa"/>
              <w:right w:w="108" w:type="dxa"/>
            </w:tcMar>
            <w:vAlign w:val="center"/>
          </w:tcPr>
          <w:p w:rsidR="00A6145B" w:rsidRPr="00CB187C" w:rsidP="0083305B" w14:paraId="28316941" w14:textId="77777777">
            <w:pPr>
              <w:spacing w:line="257" w:lineRule="auto"/>
              <w:jc w:val="center"/>
            </w:pPr>
            <w:r w:rsidRPr="00CB187C">
              <w:t>106° 14' 44"</w:t>
            </w:r>
          </w:p>
        </w:tc>
      </w:tr>
      <w:tr w14:paraId="424FE55C"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2C3309A5" w14:textId="77777777">
            <w:pPr>
              <w:spacing w:line="257" w:lineRule="auto"/>
            </w:pPr>
            <w:r w:rsidRPr="00CB187C">
              <w:t xml:space="preserve">Mauna Kea, HI  </w:t>
            </w:r>
          </w:p>
        </w:tc>
        <w:tc>
          <w:tcPr>
            <w:tcW w:w="1560" w:type="dxa"/>
            <w:tcMar>
              <w:left w:w="108" w:type="dxa"/>
              <w:right w:w="108" w:type="dxa"/>
            </w:tcMar>
            <w:vAlign w:val="center"/>
          </w:tcPr>
          <w:p w:rsidR="00A6145B" w:rsidRPr="00CB187C" w:rsidP="0083305B" w14:paraId="3D05B843" w14:textId="77777777">
            <w:pPr>
              <w:spacing w:line="257" w:lineRule="auto"/>
              <w:jc w:val="center"/>
            </w:pPr>
            <w:r w:rsidRPr="00CB187C">
              <w:t>19° 48' 05"</w:t>
            </w:r>
          </w:p>
        </w:tc>
        <w:tc>
          <w:tcPr>
            <w:tcW w:w="1733" w:type="dxa"/>
            <w:tcMar>
              <w:left w:w="108" w:type="dxa"/>
              <w:right w:w="108" w:type="dxa"/>
            </w:tcMar>
            <w:vAlign w:val="center"/>
          </w:tcPr>
          <w:p w:rsidR="00A6145B" w:rsidRPr="00CB187C" w:rsidP="0083305B" w14:paraId="1F7ABA75" w14:textId="77777777">
            <w:pPr>
              <w:spacing w:line="257" w:lineRule="auto"/>
              <w:jc w:val="center"/>
            </w:pPr>
            <w:r w:rsidRPr="00CB187C">
              <w:t>155° 27' 20"</w:t>
            </w:r>
          </w:p>
        </w:tc>
      </w:tr>
      <w:tr w14:paraId="3841F0BE"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0E1EBF82" w14:textId="77777777">
            <w:pPr>
              <w:spacing w:line="257" w:lineRule="auto"/>
            </w:pPr>
            <w:r w:rsidRPr="00CB187C">
              <w:t xml:space="preserve">North Liberty, IA  </w:t>
            </w:r>
          </w:p>
        </w:tc>
        <w:tc>
          <w:tcPr>
            <w:tcW w:w="1560" w:type="dxa"/>
            <w:tcMar>
              <w:left w:w="108" w:type="dxa"/>
              <w:right w:w="108" w:type="dxa"/>
            </w:tcMar>
            <w:vAlign w:val="center"/>
          </w:tcPr>
          <w:p w:rsidR="00A6145B" w:rsidRPr="00CB187C" w:rsidP="0083305B" w14:paraId="4CA5A3D6" w14:textId="77777777">
            <w:pPr>
              <w:spacing w:line="257" w:lineRule="auto"/>
              <w:jc w:val="center"/>
            </w:pPr>
            <w:r w:rsidRPr="00CB187C">
              <w:t>41° 46' 17"</w:t>
            </w:r>
          </w:p>
        </w:tc>
        <w:tc>
          <w:tcPr>
            <w:tcW w:w="1733" w:type="dxa"/>
            <w:tcMar>
              <w:left w:w="108" w:type="dxa"/>
              <w:right w:w="108" w:type="dxa"/>
            </w:tcMar>
            <w:vAlign w:val="center"/>
          </w:tcPr>
          <w:p w:rsidR="00A6145B" w:rsidRPr="00CB187C" w:rsidP="0083305B" w14:paraId="098B18C5" w14:textId="77777777">
            <w:pPr>
              <w:spacing w:line="257" w:lineRule="auto"/>
              <w:jc w:val="center"/>
            </w:pPr>
            <w:r w:rsidRPr="00CB187C">
              <w:t>91° 34' 27"</w:t>
            </w:r>
          </w:p>
        </w:tc>
      </w:tr>
      <w:tr w14:paraId="2A822834"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54BD852F" w14:textId="77777777">
            <w:pPr>
              <w:spacing w:line="257" w:lineRule="auto"/>
            </w:pPr>
            <w:r w:rsidRPr="00CB187C">
              <w:t xml:space="preserve">Owens Valley, CA  </w:t>
            </w:r>
          </w:p>
        </w:tc>
        <w:tc>
          <w:tcPr>
            <w:tcW w:w="1560" w:type="dxa"/>
            <w:tcMar>
              <w:left w:w="108" w:type="dxa"/>
              <w:right w:w="108" w:type="dxa"/>
            </w:tcMar>
            <w:vAlign w:val="center"/>
          </w:tcPr>
          <w:p w:rsidR="00A6145B" w:rsidRPr="00CB187C" w:rsidP="0083305B" w14:paraId="05AB45F4" w14:textId="77777777">
            <w:pPr>
              <w:spacing w:line="257" w:lineRule="auto"/>
              <w:jc w:val="center"/>
            </w:pPr>
            <w:r w:rsidRPr="00CB187C">
              <w:t>37° 13' 54"</w:t>
            </w:r>
          </w:p>
        </w:tc>
        <w:tc>
          <w:tcPr>
            <w:tcW w:w="1733" w:type="dxa"/>
            <w:tcMar>
              <w:left w:w="108" w:type="dxa"/>
              <w:right w:w="108" w:type="dxa"/>
            </w:tcMar>
            <w:vAlign w:val="center"/>
          </w:tcPr>
          <w:p w:rsidR="00A6145B" w:rsidRPr="00CB187C" w:rsidP="0083305B" w14:paraId="16A74802" w14:textId="77777777">
            <w:pPr>
              <w:spacing w:line="257" w:lineRule="auto"/>
              <w:jc w:val="center"/>
            </w:pPr>
            <w:r w:rsidRPr="00CB187C">
              <w:t>118° 16' 37"</w:t>
            </w:r>
          </w:p>
        </w:tc>
      </w:tr>
      <w:tr w14:paraId="33440D27"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5E4D2490" w14:textId="77777777">
            <w:pPr>
              <w:spacing w:line="257" w:lineRule="auto"/>
            </w:pPr>
            <w:r w:rsidRPr="00CB187C">
              <w:t xml:space="preserve">Pie Town, NM  </w:t>
            </w:r>
          </w:p>
        </w:tc>
        <w:tc>
          <w:tcPr>
            <w:tcW w:w="1560" w:type="dxa"/>
            <w:tcMar>
              <w:left w:w="108" w:type="dxa"/>
              <w:right w:w="108" w:type="dxa"/>
            </w:tcMar>
            <w:vAlign w:val="center"/>
          </w:tcPr>
          <w:p w:rsidR="00A6145B" w:rsidRPr="00CB187C" w:rsidP="0083305B" w14:paraId="508081B4" w14:textId="77777777">
            <w:pPr>
              <w:spacing w:line="257" w:lineRule="auto"/>
              <w:jc w:val="center"/>
            </w:pPr>
            <w:r w:rsidRPr="00CB187C">
              <w:t>34° 18' 04"</w:t>
            </w:r>
          </w:p>
        </w:tc>
        <w:tc>
          <w:tcPr>
            <w:tcW w:w="1733" w:type="dxa"/>
            <w:tcMar>
              <w:left w:w="108" w:type="dxa"/>
              <w:right w:w="108" w:type="dxa"/>
            </w:tcMar>
            <w:vAlign w:val="center"/>
          </w:tcPr>
          <w:p w:rsidR="00A6145B" w:rsidRPr="00CB187C" w:rsidP="0083305B" w14:paraId="6CFCA49D" w14:textId="77777777">
            <w:pPr>
              <w:spacing w:line="257" w:lineRule="auto"/>
              <w:jc w:val="center"/>
            </w:pPr>
            <w:r w:rsidRPr="00CB187C">
              <w:t>108° 07' 09"</w:t>
            </w:r>
          </w:p>
        </w:tc>
      </w:tr>
      <w:tr w14:paraId="45323D55"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54B95D38" w14:textId="77777777">
            <w:pPr>
              <w:spacing w:line="257" w:lineRule="auto"/>
            </w:pPr>
            <w:r w:rsidRPr="00CB187C">
              <w:t xml:space="preserve">Saint Croix, VI  </w:t>
            </w:r>
          </w:p>
        </w:tc>
        <w:tc>
          <w:tcPr>
            <w:tcW w:w="1560" w:type="dxa"/>
            <w:tcMar>
              <w:left w:w="108" w:type="dxa"/>
              <w:right w:w="108" w:type="dxa"/>
            </w:tcMar>
            <w:vAlign w:val="center"/>
          </w:tcPr>
          <w:p w:rsidR="00A6145B" w:rsidRPr="00CB187C" w:rsidP="0083305B" w14:paraId="663A1531" w14:textId="77777777">
            <w:pPr>
              <w:spacing w:line="257" w:lineRule="auto"/>
              <w:jc w:val="center"/>
            </w:pPr>
            <w:r w:rsidRPr="00CB187C">
              <w:t>17° 45' 24"</w:t>
            </w:r>
          </w:p>
        </w:tc>
        <w:tc>
          <w:tcPr>
            <w:tcW w:w="1733" w:type="dxa"/>
            <w:tcMar>
              <w:left w:w="108" w:type="dxa"/>
              <w:right w:w="108" w:type="dxa"/>
            </w:tcMar>
            <w:vAlign w:val="center"/>
          </w:tcPr>
          <w:p w:rsidR="00A6145B" w:rsidRPr="00CB187C" w:rsidP="0083305B" w14:paraId="5D4BEF90" w14:textId="77777777">
            <w:pPr>
              <w:spacing w:line="257" w:lineRule="auto"/>
              <w:jc w:val="center"/>
            </w:pPr>
            <w:r w:rsidRPr="00CB187C">
              <w:t>64° 35' 01"</w:t>
            </w:r>
          </w:p>
        </w:tc>
      </w:tr>
      <w:tr w14:paraId="51FFFF05"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3367AD70" w14:textId="77777777">
            <w:pPr>
              <w:spacing w:line="257" w:lineRule="auto"/>
            </w:pPr>
            <w:r w:rsidRPr="00CB187C">
              <w:t>National Radio Quiet Zone</w:t>
            </w:r>
          </w:p>
        </w:tc>
        <w:tc>
          <w:tcPr>
            <w:tcW w:w="3293" w:type="dxa"/>
            <w:gridSpan w:val="2"/>
            <w:tcMar>
              <w:left w:w="108" w:type="dxa"/>
              <w:right w:w="108" w:type="dxa"/>
            </w:tcMar>
            <w:vAlign w:val="center"/>
          </w:tcPr>
          <w:p w:rsidR="00A6145B" w:rsidRPr="00CB187C" w:rsidP="0083305B" w14:paraId="2B756713" w14:textId="3D7665C9">
            <w:pPr>
              <w:spacing w:line="257" w:lineRule="auto"/>
            </w:pPr>
            <w:r w:rsidRPr="00CB187C">
              <w:t>Rectangular area between latitudes 37°30'</w:t>
            </w:r>
            <w:r w:rsidR="00D56C0F">
              <w:t xml:space="preserve"> </w:t>
            </w:r>
            <w:r w:rsidRPr="00CB187C">
              <w:t>N and 39°15'</w:t>
            </w:r>
            <w:r w:rsidR="00D56C0F">
              <w:t xml:space="preserve"> </w:t>
            </w:r>
            <w:r w:rsidRPr="00CB187C">
              <w:t>N, and longitudes 78°30'</w:t>
            </w:r>
            <w:r w:rsidR="00D56C0F">
              <w:t xml:space="preserve"> </w:t>
            </w:r>
            <w:r w:rsidRPr="00CB187C">
              <w:t>W and 80°30'</w:t>
            </w:r>
            <w:r w:rsidR="00D56C0F">
              <w:t> </w:t>
            </w:r>
            <w:r w:rsidRPr="00CB187C">
              <w:t>W.</w:t>
            </w:r>
          </w:p>
        </w:tc>
      </w:tr>
      <w:tr w14:paraId="2ACBCD2E" w14:textId="77777777" w:rsidTr="0083305B">
        <w:tblPrEx>
          <w:tblW w:w="9360" w:type="dxa"/>
          <w:tblLayout w:type="fixed"/>
          <w:tblLook w:val="04A0"/>
        </w:tblPrEx>
        <w:trPr>
          <w:trHeight w:val="300"/>
        </w:trPr>
        <w:tc>
          <w:tcPr>
            <w:tcW w:w="6067" w:type="dxa"/>
            <w:tcMar>
              <w:left w:w="108" w:type="dxa"/>
              <w:right w:w="108" w:type="dxa"/>
            </w:tcMar>
            <w:vAlign w:val="center"/>
          </w:tcPr>
          <w:p w:rsidR="00A6145B" w:rsidRPr="00CB187C" w:rsidP="0083305B" w14:paraId="64E748B8" w14:textId="77777777">
            <w:pPr>
              <w:spacing w:line="257" w:lineRule="auto"/>
            </w:pPr>
            <w:r w:rsidRPr="00CB187C">
              <w:t>Next-generation Very Large Array (</w:t>
            </w:r>
            <w:r w:rsidRPr="00CB187C">
              <w:t>ngVLA</w:t>
            </w:r>
            <w:r w:rsidRPr="00CB187C">
              <w:t xml:space="preserve">) </w:t>
            </w:r>
          </w:p>
        </w:tc>
        <w:tc>
          <w:tcPr>
            <w:tcW w:w="3293" w:type="dxa"/>
            <w:gridSpan w:val="2"/>
            <w:tcMar>
              <w:left w:w="108" w:type="dxa"/>
              <w:right w:w="108" w:type="dxa"/>
            </w:tcMar>
            <w:vAlign w:val="center"/>
          </w:tcPr>
          <w:p w:rsidR="00A6145B" w:rsidRPr="00CB187C" w:rsidP="0083305B" w14:paraId="17DD95E2" w14:textId="08CCEFA5">
            <w:pPr>
              <w:spacing w:line="257" w:lineRule="auto"/>
            </w:pPr>
            <w:r w:rsidRPr="00CB187C">
              <w:t>Rectangular area between latitudes 31°22'1.9"</w:t>
            </w:r>
            <w:r w:rsidR="00D56C0F">
              <w:t xml:space="preserve"> </w:t>
            </w:r>
            <w:r w:rsidRPr="00CB187C">
              <w:t>N and 34°23'10"</w:t>
            </w:r>
            <w:r w:rsidR="00D56C0F">
              <w:t xml:space="preserve"> </w:t>
            </w:r>
            <w:r w:rsidRPr="00CB187C">
              <w:t>N, and longitudes 109°1'53.4"</w:t>
            </w:r>
            <w:r w:rsidR="00D56C0F">
              <w:t xml:space="preserve"> </w:t>
            </w:r>
            <w:r w:rsidRPr="00CB187C">
              <w:t>W and 103°4'39"</w:t>
            </w:r>
            <w:r w:rsidR="00D56C0F">
              <w:t xml:space="preserve"> </w:t>
            </w:r>
            <w:r w:rsidRPr="00CB187C">
              <w:t>W</w:t>
            </w:r>
          </w:p>
        </w:tc>
      </w:tr>
    </w:tbl>
    <w:p w:rsidR="00A6145B" w:rsidRPr="00447371" w:rsidP="00A6145B" w14:paraId="678B1B86" w14:textId="254E18F1">
      <w:pPr>
        <w:pStyle w:val="ListParagraph"/>
        <w:spacing w:before="240" w:after="0" w:line="480" w:lineRule="auto"/>
        <w:ind w:left="0" w:firstLine="720"/>
        <w:contextualSpacing w:val="0"/>
        <w:rPr>
          <w:b/>
        </w:rPr>
      </w:pPr>
      <w:r>
        <w:rPr>
          <w:rFonts w:eastAsia="Calibri"/>
        </w:rPr>
        <w:t xml:space="preserve">(2) </w:t>
      </w:r>
      <w:r w:rsidRPr="00447371">
        <w:rPr>
          <w:rFonts w:eastAsia="Calibri"/>
        </w:rPr>
        <w:t xml:space="preserve">Military </w:t>
      </w:r>
      <w:r w:rsidR="003C178C">
        <w:rPr>
          <w:rFonts w:eastAsia="Calibri"/>
        </w:rPr>
        <w:t>i</w:t>
      </w:r>
      <w:r w:rsidRPr="00447371" w:rsidR="003C178C">
        <w:rPr>
          <w:rFonts w:eastAsia="Calibri"/>
        </w:rPr>
        <w:t>nstallations</w:t>
      </w:r>
      <w:r>
        <w:rPr>
          <w:rFonts w:eastAsia="Calibri"/>
        </w:rPr>
        <w:t>:</w:t>
      </w:r>
    </w:p>
    <w:p w:rsidR="00A6145B" w:rsidRPr="00447371" w:rsidP="00A6145B" w14:paraId="5EABDE43" w14:textId="0EA7B431">
      <w:pPr>
        <w:jc w:val="center"/>
        <w:rPr>
          <w:b/>
        </w:rPr>
      </w:pPr>
      <w:r w:rsidRPr="00447371">
        <w:rPr>
          <w:b/>
        </w:rPr>
        <w:t xml:space="preserve">Table </w:t>
      </w:r>
      <w:r w:rsidR="003C178C">
        <w:rPr>
          <w:b/>
        </w:rPr>
        <w:t>4 to Paragraph (c)(2)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210"/>
        <w:gridCol w:w="1605"/>
        <w:gridCol w:w="1665"/>
      </w:tblGrid>
      <w:tr w14:paraId="3F7A4689" w14:textId="77777777" w:rsidTr="008330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Ex>
        <w:trPr>
          <w:trHeight w:val="255"/>
        </w:trPr>
        <w:tc>
          <w:tcPr>
            <w:tcW w:w="6210" w:type="dxa"/>
            <w:tcMar>
              <w:left w:w="108" w:type="dxa"/>
              <w:right w:w="108" w:type="dxa"/>
            </w:tcMar>
            <w:vAlign w:val="center"/>
          </w:tcPr>
          <w:p w:rsidR="00A6145B" w:rsidRPr="00447371" w:rsidP="0083305B" w14:paraId="027A907A" w14:textId="77777777">
            <w:pPr>
              <w:tabs>
                <w:tab w:val="left" w:pos="810"/>
              </w:tabs>
              <w:jc w:val="center"/>
              <w:rPr>
                <w:b/>
              </w:rPr>
            </w:pPr>
            <w:r w:rsidRPr="00447371">
              <w:rPr>
                <w:b/>
              </w:rPr>
              <w:t>Military Installation</w:t>
            </w:r>
          </w:p>
        </w:tc>
        <w:tc>
          <w:tcPr>
            <w:tcW w:w="1605" w:type="dxa"/>
            <w:tcMar>
              <w:left w:w="108" w:type="dxa"/>
              <w:right w:w="108" w:type="dxa"/>
            </w:tcMar>
            <w:vAlign w:val="center"/>
          </w:tcPr>
          <w:p w:rsidR="00A6145B" w:rsidRPr="00447371" w:rsidP="0083305B" w14:paraId="33054D85" w14:textId="77777777">
            <w:pPr>
              <w:tabs>
                <w:tab w:val="left" w:pos="810"/>
              </w:tabs>
              <w:jc w:val="center"/>
              <w:rPr>
                <w:b/>
              </w:rPr>
            </w:pPr>
            <w:r w:rsidRPr="00447371">
              <w:rPr>
                <w:b/>
              </w:rPr>
              <w:t>Latitude</w:t>
            </w:r>
          </w:p>
        </w:tc>
        <w:tc>
          <w:tcPr>
            <w:tcW w:w="1665" w:type="dxa"/>
            <w:tcMar>
              <w:left w:w="108" w:type="dxa"/>
              <w:right w:w="108" w:type="dxa"/>
            </w:tcMar>
            <w:vAlign w:val="center"/>
          </w:tcPr>
          <w:p w:rsidR="00A6145B" w:rsidRPr="00447371" w:rsidP="0083305B" w14:paraId="6D7BBFCE" w14:textId="77777777">
            <w:pPr>
              <w:tabs>
                <w:tab w:val="left" w:pos="810"/>
              </w:tabs>
              <w:jc w:val="center"/>
              <w:rPr>
                <w:b/>
              </w:rPr>
            </w:pPr>
            <w:r w:rsidRPr="00447371">
              <w:rPr>
                <w:b/>
              </w:rPr>
              <w:t>Longitude</w:t>
            </w:r>
          </w:p>
        </w:tc>
      </w:tr>
      <w:tr w14:paraId="218F68B1" w14:textId="77777777" w:rsidTr="0083305B">
        <w:tblPrEx>
          <w:tblW w:w="0" w:type="auto"/>
          <w:tblLayout w:type="fixed"/>
          <w:tblLook w:val="0600"/>
        </w:tblPrEx>
        <w:trPr>
          <w:trHeight w:val="457"/>
        </w:trPr>
        <w:tc>
          <w:tcPr>
            <w:tcW w:w="6210" w:type="dxa"/>
            <w:tcMar>
              <w:left w:w="108" w:type="dxa"/>
              <w:right w:w="108" w:type="dxa"/>
            </w:tcMar>
            <w:vAlign w:val="center"/>
          </w:tcPr>
          <w:p w:rsidR="00A6145B" w:rsidRPr="00447371" w:rsidP="0083305B" w14:paraId="50F0C39F" w14:textId="77777777">
            <w:pPr>
              <w:tabs>
                <w:tab w:val="left" w:pos="810"/>
              </w:tabs>
            </w:pPr>
            <w:r w:rsidRPr="00447371">
              <w:rPr>
                <w:lang w:val="da"/>
              </w:rPr>
              <w:t>Redstone Arsenal, AL………………………………………………</w:t>
            </w:r>
          </w:p>
          <w:p w:rsidR="00A6145B" w:rsidRPr="00447371" w:rsidP="0083305B" w14:paraId="3F8D7A09" w14:textId="77777777">
            <w:pPr>
              <w:tabs>
                <w:tab w:val="left" w:pos="810"/>
              </w:tabs>
            </w:pPr>
            <w:r w:rsidRPr="00447371">
              <w:rPr>
                <w:lang w:val="da"/>
              </w:rPr>
              <w:t>Fort Huachuca, AZ…………………………………………………</w:t>
            </w:r>
            <w:r>
              <w:rPr>
                <w:lang w:val="da"/>
              </w:rPr>
              <w:t>.</w:t>
            </w:r>
          </w:p>
          <w:p w:rsidR="00A6145B" w:rsidRPr="00447371" w:rsidP="0083305B" w14:paraId="318F8BDA" w14:textId="77777777">
            <w:pPr>
              <w:tabs>
                <w:tab w:val="left" w:pos="810"/>
              </w:tabs>
            </w:pPr>
            <w:r w:rsidRPr="00447371">
              <w:t>Yuma Proving Ground, AZ…………………………………………</w:t>
            </w:r>
          </w:p>
          <w:p w:rsidR="00A6145B" w:rsidRPr="00447371" w:rsidP="0083305B" w14:paraId="6AF50934" w14:textId="77777777">
            <w:pPr>
              <w:tabs>
                <w:tab w:val="left" w:pos="810"/>
              </w:tabs>
            </w:pPr>
            <w:r w:rsidRPr="00447371">
              <w:t>Beale AFB, CA……………………………………………………</w:t>
            </w:r>
            <w:r>
              <w:t>...</w:t>
            </w:r>
          </w:p>
          <w:p w:rsidR="00A6145B" w:rsidRPr="00447371" w:rsidP="0083305B" w14:paraId="556EF604" w14:textId="77777777">
            <w:pPr>
              <w:tabs>
                <w:tab w:val="left" w:pos="810"/>
              </w:tabs>
            </w:pPr>
            <w:r w:rsidRPr="00447371">
              <w:t>Camp Parks Reserve Forces Training Area, CA……………………</w:t>
            </w:r>
          </w:p>
          <w:p w:rsidR="00A6145B" w:rsidRPr="00447371" w:rsidP="0083305B" w14:paraId="1CE0E779" w14:textId="77777777">
            <w:pPr>
              <w:tabs>
                <w:tab w:val="left" w:pos="810"/>
              </w:tabs>
            </w:pPr>
            <w:r w:rsidRPr="00447371">
              <w:t>China Lake Naval Air Weapons Station, CA………………………</w:t>
            </w:r>
            <w:r>
              <w:t>.</w:t>
            </w:r>
          </w:p>
          <w:p w:rsidR="00A6145B" w:rsidRPr="00447371" w:rsidP="0083305B" w14:paraId="7B1CD5A2" w14:textId="77777777">
            <w:pPr>
              <w:tabs>
                <w:tab w:val="left" w:pos="810"/>
              </w:tabs>
            </w:pPr>
            <w:r w:rsidRPr="00447371">
              <w:t>Edwards AFB, CA…………………………………………………</w:t>
            </w:r>
            <w:r>
              <w:t>..</w:t>
            </w:r>
          </w:p>
          <w:p w:rsidR="00A6145B" w:rsidP="0083305B" w14:paraId="1C3CAF66" w14:textId="77777777">
            <w:pPr>
              <w:tabs>
                <w:tab w:val="left" w:pos="810"/>
              </w:tabs>
            </w:pPr>
            <w:r w:rsidRPr="00447371">
              <w:t>Fort Irwin, CA………………………………………………………</w:t>
            </w:r>
          </w:p>
          <w:p w:rsidR="00A6145B" w:rsidRPr="00447371" w:rsidP="0083305B" w14:paraId="5F21A628" w14:textId="77777777">
            <w:pPr>
              <w:tabs>
                <w:tab w:val="left" w:pos="810"/>
              </w:tabs>
            </w:pPr>
            <w:r w:rsidRPr="0031790A">
              <w:t>Marine</w:t>
            </w:r>
            <w:r w:rsidRPr="00447371">
              <w:t xml:space="preserve"> Corps Air Ground Combat Center, CA……………………</w:t>
            </w:r>
            <w:r>
              <w:t>..</w:t>
            </w:r>
          </w:p>
          <w:p w:rsidR="00A6145B" w:rsidRPr="00447371" w:rsidP="0083305B" w14:paraId="28F03F06" w14:textId="77777777">
            <w:pPr>
              <w:tabs>
                <w:tab w:val="left" w:pos="810"/>
              </w:tabs>
            </w:pPr>
            <w:r w:rsidRPr="00447371">
              <w:t>Buckley AFB, CO…………………………………………………</w:t>
            </w:r>
            <w:r>
              <w:t>...</w:t>
            </w:r>
          </w:p>
          <w:p w:rsidR="00A6145B" w:rsidRPr="00447371" w:rsidP="0083305B" w14:paraId="23AE91A3" w14:textId="77777777">
            <w:pPr>
              <w:tabs>
                <w:tab w:val="left" w:pos="810"/>
              </w:tabs>
            </w:pPr>
            <w:r w:rsidRPr="00447371">
              <w:t>Schriever AFB, CO…………………………………………………</w:t>
            </w:r>
            <w:r>
              <w:t>.</w:t>
            </w:r>
          </w:p>
          <w:p w:rsidR="00A6145B" w:rsidRPr="00447371" w:rsidP="0083305B" w14:paraId="7B15E67D" w14:textId="77777777">
            <w:pPr>
              <w:tabs>
                <w:tab w:val="left" w:pos="810"/>
              </w:tabs>
            </w:pPr>
            <w:r w:rsidRPr="00447371">
              <w:t>Fort Gordon, GA……………………………………………………</w:t>
            </w:r>
          </w:p>
          <w:p w:rsidR="00A6145B" w:rsidP="0083305B" w14:paraId="1238462B" w14:textId="77777777">
            <w:pPr>
              <w:tabs>
                <w:tab w:val="left" w:pos="810"/>
              </w:tabs>
            </w:pPr>
            <w:r w:rsidRPr="0031790A">
              <w:t>Naval Satellite Operations Center, GU……………………………...</w:t>
            </w:r>
          </w:p>
          <w:p w:rsidR="00A6145B" w:rsidRPr="00447371" w:rsidP="0083305B" w14:paraId="13E8A3BC" w14:textId="77777777">
            <w:pPr>
              <w:tabs>
                <w:tab w:val="left" w:pos="810"/>
              </w:tabs>
            </w:pPr>
            <w:r w:rsidRPr="00447371">
              <w:t>Naval Computer and Telecomm Area Master Station, Pacific, HI…</w:t>
            </w:r>
          </w:p>
          <w:p w:rsidR="00A6145B" w:rsidRPr="00447371" w:rsidP="0083305B" w14:paraId="5EDE1B0B" w14:textId="77777777">
            <w:pPr>
              <w:tabs>
                <w:tab w:val="left" w:pos="810"/>
              </w:tabs>
            </w:pPr>
            <w:r w:rsidRPr="00447371">
              <w:t>Fort Detrick, MD……………………………………………………</w:t>
            </w:r>
          </w:p>
          <w:p w:rsidR="00A6145B" w:rsidRPr="00447371" w:rsidP="0083305B" w14:paraId="09C0543C" w14:textId="77777777">
            <w:pPr>
              <w:tabs>
                <w:tab w:val="left" w:pos="810"/>
              </w:tabs>
            </w:pPr>
            <w:r w:rsidRPr="00447371">
              <w:t>Nellis AFB, NV……………………………………………………</w:t>
            </w:r>
            <w:r>
              <w:t>..</w:t>
            </w:r>
          </w:p>
          <w:p w:rsidR="00A6145B" w:rsidRPr="00447371" w:rsidP="0083305B" w14:paraId="326C301B" w14:textId="77777777">
            <w:pPr>
              <w:tabs>
                <w:tab w:val="left" w:pos="810"/>
              </w:tabs>
            </w:pPr>
            <w:r w:rsidRPr="00447371">
              <w:t>Nevada Test Site, NV………………………………………………</w:t>
            </w:r>
            <w:r>
              <w:t>.</w:t>
            </w:r>
          </w:p>
          <w:p w:rsidR="00A6145B" w:rsidRPr="00447371" w:rsidP="0083305B" w14:paraId="7B7E3906" w14:textId="77777777">
            <w:pPr>
              <w:tabs>
                <w:tab w:val="left" w:pos="810"/>
              </w:tabs>
            </w:pPr>
            <w:r w:rsidRPr="00447371">
              <w:t>Tonapah</w:t>
            </w:r>
            <w:r w:rsidRPr="00447371">
              <w:t xml:space="preserve"> Test Range Airfield, NV…………………………………</w:t>
            </w:r>
            <w:r>
              <w:t>..</w:t>
            </w:r>
          </w:p>
          <w:p w:rsidR="00A6145B" w:rsidRPr="00447371" w:rsidP="0083305B" w14:paraId="345E8461" w14:textId="77777777">
            <w:pPr>
              <w:tabs>
                <w:tab w:val="left" w:pos="810"/>
              </w:tabs>
            </w:pPr>
            <w:r w:rsidRPr="00447371">
              <w:t>Cannon AFB, NM…………………………………………………</w:t>
            </w:r>
            <w:r>
              <w:t>...</w:t>
            </w:r>
          </w:p>
          <w:p w:rsidR="00A6145B" w:rsidRPr="00447371" w:rsidP="0083305B" w14:paraId="290957FA" w14:textId="77777777">
            <w:pPr>
              <w:tabs>
                <w:tab w:val="left" w:pos="810"/>
              </w:tabs>
            </w:pPr>
            <w:r w:rsidRPr="00447371">
              <w:t>White Sands Missile Range, NM……………………………………</w:t>
            </w:r>
          </w:p>
          <w:p w:rsidR="00A6145B" w:rsidRPr="00447371" w:rsidP="0083305B" w14:paraId="6680EA62" w14:textId="77777777">
            <w:pPr>
              <w:tabs>
                <w:tab w:val="left" w:pos="810"/>
              </w:tabs>
            </w:pPr>
            <w:r w:rsidRPr="00447371">
              <w:t>Dyess AFB, TX……………………………………………………</w:t>
            </w:r>
            <w:r>
              <w:t>...</w:t>
            </w:r>
          </w:p>
          <w:p w:rsidR="00A6145B" w:rsidRPr="00447371" w:rsidP="0083305B" w14:paraId="7AACA643" w14:textId="77777777">
            <w:pPr>
              <w:tabs>
                <w:tab w:val="left" w:pos="810"/>
              </w:tabs>
            </w:pPr>
            <w:r w:rsidRPr="00447371">
              <w:t>Fort Bliss, TX………………………………………………………</w:t>
            </w:r>
            <w:r>
              <w:t>.</w:t>
            </w:r>
          </w:p>
          <w:p w:rsidR="00A6145B" w:rsidRPr="00447371" w:rsidP="0083305B" w14:paraId="4C73516C" w14:textId="77777777">
            <w:pPr>
              <w:tabs>
                <w:tab w:val="left" w:pos="810"/>
              </w:tabs>
            </w:pPr>
            <w:r w:rsidRPr="00447371">
              <w:t>Fort Sam Houston, TX………………………………………………</w:t>
            </w:r>
          </w:p>
          <w:p w:rsidR="00A6145B" w:rsidRPr="00447371" w:rsidP="0083305B" w14:paraId="7F078A73" w14:textId="77777777">
            <w:pPr>
              <w:tabs>
                <w:tab w:val="left" w:pos="810"/>
              </w:tabs>
            </w:pPr>
            <w:r w:rsidRPr="00447371">
              <w:t>Goodfellow AFB, TX………………………………………………</w:t>
            </w:r>
            <w:r>
              <w:t>.</w:t>
            </w:r>
          </w:p>
          <w:p w:rsidR="00A6145B" w:rsidRPr="00447371" w:rsidP="0083305B" w14:paraId="5F576565" w14:textId="77777777">
            <w:pPr>
              <w:tabs>
                <w:tab w:val="left" w:pos="810"/>
              </w:tabs>
            </w:pPr>
            <w:r w:rsidRPr="00447371">
              <w:t>Kelly AFB, TX……………………………………………………</w:t>
            </w:r>
            <w:r>
              <w:t>...</w:t>
            </w:r>
          </w:p>
          <w:p w:rsidR="00A6145B" w:rsidRPr="00447371" w:rsidP="0083305B" w14:paraId="36D9CB34" w14:textId="77777777">
            <w:pPr>
              <w:tabs>
                <w:tab w:val="left" w:pos="810"/>
              </w:tabs>
            </w:pPr>
            <w:r w:rsidRPr="00447371">
              <w:t>Utah Test and Training Range, UT…………………………………</w:t>
            </w:r>
          </w:p>
          <w:p w:rsidR="00A6145B" w:rsidP="0083305B" w14:paraId="5C5558DD" w14:textId="77777777">
            <w:pPr>
              <w:tabs>
                <w:tab w:val="left" w:pos="810"/>
              </w:tabs>
            </w:pPr>
            <w:r w:rsidRPr="00447371">
              <w:rPr>
                <w:lang w:val="fr"/>
              </w:rPr>
              <w:t>Fort Belvoir, VA……………………………………………</w:t>
            </w:r>
            <w:r w:rsidRPr="00447371">
              <w:t>………</w:t>
            </w:r>
            <w:r>
              <w:t>.</w:t>
            </w:r>
          </w:p>
          <w:p w:rsidR="00A6145B" w:rsidRPr="00447371" w:rsidP="0083305B" w14:paraId="513F015B" w14:textId="77777777">
            <w:pPr>
              <w:tabs>
                <w:tab w:val="left" w:pos="810"/>
              </w:tabs>
            </w:pPr>
            <w:r w:rsidRPr="0031790A">
              <w:t>Naval Satellite Operations Center, VA……………………………...</w:t>
            </w:r>
          </w:p>
        </w:tc>
        <w:tc>
          <w:tcPr>
            <w:tcW w:w="1605" w:type="dxa"/>
            <w:tcMar>
              <w:left w:w="108" w:type="dxa"/>
              <w:right w:w="108" w:type="dxa"/>
            </w:tcMar>
            <w:vAlign w:val="center"/>
          </w:tcPr>
          <w:p w:rsidR="00A6145B" w:rsidRPr="00447371" w:rsidP="0083305B" w14:paraId="7923EF8C" w14:textId="77777777">
            <w:pPr>
              <w:tabs>
                <w:tab w:val="left" w:pos="810"/>
              </w:tabs>
            </w:pPr>
            <w:r w:rsidRPr="00447371">
              <w:t>34° 41' 42" N</w:t>
            </w:r>
          </w:p>
          <w:p w:rsidR="00A6145B" w:rsidRPr="00447371" w:rsidP="0083305B" w14:paraId="72A9D8D9" w14:textId="77777777">
            <w:pPr>
              <w:tabs>
                <w:tab w:val="left" w:pos="810"/>
              </w:tabs>
            </w:pPr>
            <w:r w:rsidRPr="00447371">
              <w:t>31° 33 '18" N</w:t>
            </w:r>
          </w:p>
          <w:p w:rsidR="00A6145B" w:rsidRPr="00447371" w:rsidP="0083305B" w14:paraId="78F0FAEF" w14:textId="77777777">
            <w:pPr>
              <w:tabs>
                <w:tab w:val="left" w:pos="810"/>
              </w:tabs>
            </w:pPr>
            <w:r w:rsidRPr="00447371">
              <w:t>33° 01' 02" N</w:t>
            </w:r>
          </w:p>
          <w:p w:rsidR="00A6145B" w:rsidRPr="00447371" w:rsidP="0083305B" w14:paraId="4FD797A3" w14:textId="77777777">
            <w:pPr>
              <w:tabs>
                <w:tab w:val="left" w:pos="810"/>
              </w:tabs>
            </w:pPr>
            <w:r w:rsidRPr="00447371">
              <w:t>39° 06' 41" N</w:t>
            </w:r>
          </w:p>
          <w:p w:rsidR="00A6145B" w:rsidRPr="00447371" w:rsidP="0083305B" w14:paraId="1CE128F3" w14:textId="77777777">
            <w:pPr>
              <w:tabs>
                <w:tab w:val="left" w:pos="810"/>
              </w:tabs>
            </w:pPr>
            <w:r w:rsidRPr="00447371">
              <w:t>34° 43' 00" N</w:t>
            </w:r>
          </w:p>
          <w:p w:rsidR="00A6145B" w:rsidRPr="00447371" w:rsidP="0083305B" w14:paraId="04ECB8DD" w14:textId="77777777">
            <w:pPr>
              <w:tabs>
                <w:tab w:val="left" w:pos="810"/>
              </w:tabs>
            </w:pPr>
            <w:r w:rsidRPr="00447371">
              <w:rPr>
                <w:lang w:val="da"/>
              </w:rPr>
              <w:t>35° 41' 05" N</w:t>
            </w:r>
          </w:p>
          <w:p w:rsidR="00A6145B" w:rsidRPr="00447371" w:rsidP="0083305B" w14:paraId="087CADD0" w14:textId="77777777">
            <w:pPr>
              <w:tabs>
                <w:tab w:val="left" w:pos="810"/>
              </w:tabs>
            </w:pPr>
            <w:r w:rsidRPr="00447371">
              <w:rPr>
                <w:lang w:val="da"/>
              </w:rPr>
              <w:t>34° 54′ 58″ N</w:t>
            </w:r>
          </w:p>
          <w:p w:rsidR="00A6145B" w:rsidRPr="00447371" w:rsidP="0083305B" w14:paraId="3224A887" w14:textId="77777777">
            <w:pPr>
              <w:tabs>
                <w:tab w:val="left" w:pos="810"/>
              </w:tabs>
            </w:pPr>
            <w:r w:rsidRPr="00447371">
              <w:rPr>
                <w:lang w:val="da"/>
              </w:rPr>
              <w:t>35° 16' 22" N</w:t>
            </w:r>
          </w:p>
          <w:p w:rsidR="00A6145B" w:rsidRPr="00447371" w:rsidP="0083305B" w14:paraId="43622413" w14:textId="77777777">
            <w:r w:rsidRPr="00447371">
              <w:rPr>
                <w:lang w:val="da"/>
              </w:rPr>
              <w:t>34° 13' 54" N</w:t>
            </w:r>
          </w:p>
          <w:p w:rsidR="00A6145B" w:rsidRPr="00447371" w:rsidP="0083305B" w14:paraId="270ECF5C" w14:textId="77777777">
            <w:pPr>
              <w:tabs>
                <w:tab w:val="left" w:pos="810"/>
              </w:tabs>
            </w:pPr>
            <w:r w:rsidRPr="00447371">
              <w:rPr>
                <w:lang w:val="da"/>
              </w:rPr>
              <w:t>39° 42' 36" N</w:t>
            </w:r>
          </w:p>
          <w:p w:rsidR="00A6145B" w:rsidRPr="00447371" w:rsidP="0083305B" w14:paraId="7E35C9D2" w14:textId="77777777">
            <w:pPr>
              <w:tabs>
                <w:tab w:val="left" w:pos="810"/>
              </w:tabs>
            </w:pPr>
            <w:r w:rsidRPr="00447371">
              <w:rPr>
                <w:lang w:val="da"/>
              </w:rPr>
              <w:t>38° 48' 12" N</w:t>
            </w:r>
          </w:p>
          <w:p w:rsidR="00A6145B" w:rsidP="0083305B" w14:paraId="708C6F7A" w14:textId="77777777">
            <w:pPr>
              <w:tabs>
                <w:tab w:val="left" w:pos="810"/>
              </w:tabs>
              <w:rPr>
                <w:lang w:val="da"/>
              </w:rPr>
            </w:pPr>
            <w:r w:rsidRPr="00447371">
              <w:rPr>
                <w:lang w:val="da"/>
              </w:rPr>
              <w:t>33° 25' 14" N</w:t>
            </w:r>
          </w:p>
          <w:p w:rsidR="00A6145B" w:rsidRPr="00447371" w:rsidP="0083305B" w14:paraId="569D94A1" w14:textId="77777777">
            <w:pPr>
              <w:tabs>
                <w:tab w:val="left" w:pos="810"/>
              </w:tabs>
            </w:pPr>
            <w:r w:rsidRPr="0031790A">
              <w:t>13° 34' 55'' N</w:t>
            </w:r>
          </w:p>
          <w:p w:rsidR="00A6145B" w:rsidRPr="00447371" w:rsidP="0083305B" w14:paraId="765BC152" w14:textId="77777777">
            <w:pPr>
              <w:tabs>
                <w:tab w:val="left" w:pos="810"/>
              </w:tabs>
            </w:pPr>
            <w:r w:rsidRPr="00447371">
              <w:rPr>
                <w:lang w:val="da"/>
              </w:rPr>
              <w:t>21° 31' 16" N</w:t>
            </w:r>
          </w:p>
          <w:p w:rsidR="00A6145B" w:rsidRPr="00447371" w:rsidP="0083305B" w14:paraId="39146904" w14:textId="77777777">
            <w:pPr>
              <w:tabs>
                <w:tab w:val="left" w:pos="810"/>
              </w:tabs>
            </w:pPr>
            <w:r w:rsidRPr="00447371">
              <w:rPr>
                <w:lang w:val="da"/>
              </w:rPr>
              <w:t>39° 26' 08" N</w:t>
            </w:r>
          </w:p>
          <w:p w:rsidR="00A6145B" w:rsidRPr="00447371" w:rsidP="0083305B" w14:paraId="5F0D8C9A" w14:textId="77777777">
            <w:pPr>
              <w:tabs>
                <w:tab w:val="left" w:pos="810"/>
              </w:tabs>
            </w:pPr>
            <w:r w:rsidRPr="00447371">
              <w:rPr>
                <w:lang w:val="da"/>
              </w:rPr>
              <w:t>36° 14' 29" N</w:t>
            </w:r>
          </w:p>
          <w:p w:rsidR="00A6145B" w:rsidRPr="00447371" w:rsidP="0083305B" w14:paraId="25D7DB18" w14:textId="77777777">
            <w:pPr>
              <w:tabs>
                <w:tab w:val="left" w:pos="810"/>
              </w:tabs>
            </w:pPr>
            <w:r w:rsidRPr="00447371">
              <w:rPr>
                <w:lang w:val="da"/>
              </w:rPr>
              <w:t>38° 33' 41" N</w:t>
            </w:r>
          </w:p>
          <w:p w:rsidR="00A6145B" w:rsidRPr="00447371" w:rsidP="0083305B" w14:paraId="64FCF7D1" w14:textId="77777777">
            <w:pPr>
              <w:tabs>
                <w:tab w:val="left" w:pos="810"/>
              </w:tabs>
            </w:pPr>
            <w:r w:rsidRPr="00447371">
              <w:rPr>
                <w:lang w:val="da"/>
              </w:rPr>
              <w:t>37° 47' 56" N</w:t>
            </w:r>
          </w:p>
          <w:p w:rsidR="00A6145B" w:rsidRPr="00447371" w:rsidP="0083305B" w14:paraId="57BBED6F" w14:textId="77777777">
            <w:pPr>
              <w:tabs>
                <w:tab w:val="left" w:pos="810"/>
              </w:tabs>
            </w:pPr>
            <w:r w:rsidRPr="00447371">
              <w:rPr>
                <w:lang w:val="da"/>
              </w:rPr>
              <w:t>34° 23' 23" N</w:t>
            </w:r>
          </w:p>
          <w:p w:rsidR="00A6145B" w:rsidRPr="00447371" w:rsidP="0083305B" w14:paraId="5F90935D" w14:textId="77777777">
            <w:pPr>
              <w:tabs>
                <w:tab w:val="left" w:pos="810"/>
              </w:tabs>
            </w:pPr>
            <w:r w:rsidRPr="00447371">
              <w:rPr>
                <w:lang w:val="da"/>
              </w:rPr>
              <w:t>32° 56' 38" N</w:t>
            </w:r>
          </w:p>
          <w:p w:rsidR="00A6145B" w:rsidRPr="00447371" w:rsidP="0083305B" w14:paraId="48724109" w14:textId="77777777">
            <w:pPr>
              <w:tabs>
                <w:tab w:val="left" w:pos="810"/>
              </w:tabs>
            </w:pPr>
            <w:r w:rsidRPr="00447371">
              <w:rPr>
                <w:lang w:val="da"/>
              </w:rPr>
              <w:t>31° 10' 10" N</w:t>
            </w:r>
          </w:p>
          <w:p w:rsidR="00A6145B" w:rsidRPr="00447371" w:rsidP="0083305B" w14:paraId="6235BF79" w14:textId="77777777">
            <w:pPr>
              <w:tabs>
                <w:tab w:val="left" w:pos="810"/>
              </w:tabs>
            </w:pPr>
            <w:r w:rsidRPr="00447371">
              <w:rPr>
                <w:lang w:val="da"/>
              </w:rPr>
              <w:t>31° 48' 45" N</w:t>
            </w:r>
          </w:p>
          <w:p w:rsidR="00A6145B" w:rsidRPr="00447371" w:rsidP="0083305B" w14:paraId="42FF708E" w14:textId="77777777">
            <w:pPr>
              <w:tabs>
                <w:tab w:val="left" w:pos="810"/>
              </w:tabs>
            </w:pPr>
            <w:r w:rsidRPr="00447371">
              <w:rPr>
                <w:lang w:val="da"/>
              </w:rPr>
              <w:t>29° 26' 34" N</w:t>
            </w:r>
          </w:p>
          <w:p w:rsidR="00A6145B" w:rsidRPr="00447371" w:rsidP="0083305B" w14:paraId="5C8DCB21" w14:textId="77777777">
            <w:pPr>
              <w:tabs>
                <w:tab w:val="left" w:pos="810"/>
              </w:tabs>
            </w:pPr>
            <w:r w:rsidRPr="00447371">
              <w:rPr>
                <w:lang w:val="da"/>
              </w:rPr>
              <w:t>31° 26' 05" N</w:t>
            </w:r>
          </w:p>
          <w:p w:rsidR="00A6145B" w:rsidRPr="00447371" w:rsidP="0083305B" w14:paraId="46B69F22" w14:textId="77777777">
            <w:pPr>
              <w:tabs>
                <w:tab w:val="left" w:pos="810"/>
              </w:tabs>
            </w:pPr>
            <w:r w:rsidRPr="00447371">
              <w:rPr>
                <w:lang w:val="da"/>
              </w:rPr>
              <w:t>29° 22' 51" N</w:t>
            </w:r>
          </w:p>
          <w:p w:rsidR="00A6145B" w:rsidRPr="00447371" w:rsidP="0083305B" w14:paraId="6703B5A3" w14:textId="77777777">
            <w:pPr>
              <w:tabs>
                <w:tab w:val="left" w:pos="810"/>
              </w:tabs>
            </w:pPr>
            <w:r w:rsidRPr="00447371">
              <w:rPr>
                <w:lang w:val="da"/>
              </w:rPr>
              <w:t>40° 12' 00" N</w:t>
            </w:r>
          </w:p>
          <w:p w:rsidR="00A6145B" w:rsidP="0083305B" w14:paraId="145C29B3" w14:textId="77777777">
            <w:pPr>
              <w:tabs>
                <w:tab w:val="left" w:pos="810"/>
              </w:tabs>
              <w:rPr>
                <w:lang w:val="da"/>
              </w:rPr>
            </w:pPr>
            <w:r w:rsidRPr="00447371">
              <w:rPr>
                <w:lang w:val="da"/>
              </w:rPr>
              <w:t>38° 43' 08" N</w:t>
            </w:r>
          </w:p>
          <w:p w:rsidR="00A6145B" w:rsidRPr="00447371" w:rsidP="0083305B" w14:paraId="2EB878B1" w14:textId="77777777">
            <w:pPr>
              <w:tabs>
                <w:tab w:val="left" w:pos="810"/>
              </w:tabs>
            </w:pPr>
            <w:r w:rsidRPr="0031790A">
              <w:t>36° 34' 00'' N</w:t>
            </w:r>
          </w:p>
        </w:tc>
        <w:tc>
          <w:tcPr>
            <w:tcW w:w="1665" w:type="dxa"/>
            <w:tcMar>
              <w:left w:w="108" w:type="dxa"/>
              <w:right w:w="108" w:type="dxa"/>
            </w:tcMar>
            <w:vAlign w:val="center"/>
          </w:tcPr>
          <w:p w:rsidR="00A6145B" w:rsidRPr="00447371" w:rsidP="0083305B" w14:paraId="75FAEEC5" w14:textId="77777777">
            <w:pPr>
              <w:tabs>
                <w:tab w:val="left" w:pos="810"/>
              </w:tabs>
            </w:pPr>
            <w:r w:rsidRPr="00447371">
              <w:t>086° 39' 04" W</w:t>
            </w:r>
          </w:p>
          <w:p w:rsidR="00A6145B" w:rsidRPr="00447371" w:rsidP="0083305B" w14:paraId="36A6FEEB" w14:textId="77777777">
            <w:pPr>
              <w:tabs>
                <w:tab w:val="left" w:pos="810"/>
              </w:tabs>
            </w:pPr>
            <w:r w:rsidRPr="00447371">
              <w:t>110° 20' 59" W</w:t>
            </w:r>
          </w:p>
          <w:p w:rsidR="00A6145B" w:rsidRPr="00447371" w:rsidP="0083305B" w14:paraId="3F8E40E2" w14:textId="77777777">
            <w:pPr>
              <w:tabs>
                <w:tab w:val="left" w:pos="810"/>
              </w:tabs>
            </w:pPr>
            <w:r w:rsidRPr="00447371">
              <w:t>114° 15' 05" W</w:t>
            </w:r>
          </w:p>
          <w:p w:rsidR="00A6145B" w:rsidRPr="00447371" w:rsidP="0083305B" w14:paraId="4F5BEAD4" w14:textId="77777777">
            <w:pPr>
              <w:tabs>
                <w:tab w:val="left" w:pos="810"/>
              </w:tabs>
            </w:pPr>
            <w:r w:rsidRPr="00447371">
              <w:t>121° 21' 36" W</w:t>
            </w:r>
          </w:p>
          <w:p w:rsidR="00A6145B" w:rsidRPr="00447371" w:rsidP="0083305B" w14:paraId="144CA0DC" w14:textId="77777777">
            <w:pPr>
              <w:tabs>
                <w:tab w:val="left" w:pos="810"/>
              </w:tabs>
            </w:pPr>
            <w:r w:rsidRPr="00447371">
              <w:t>121° 54' 08" W</w:t>
            </w:r>
          </w:p>
          <w:p w:rsidR="00A6145B" w:rsidRPr="00447371" w:rsidP="0083305B" w14:paraId="5AC3C33B" w14:textId="77777777">
            <w:pPr>
              <w:tabs>
                <w:tab w:val="left" w:pos="810"/>
              </w:tabs>
            </w:pPr>
            <w:r w:rsidRPr="00447371">
              <w:t>117° 41' 19" W</w:t>
            </w:r>
          </w:p>
          <w:p w:rsidR="00A6145B" w:rsidRPr="00447371" w:rsidP="0083305B" w14:paraId="232587D3" w14:textId="77777777">
            <w:pPr>
              <w:tabs>
                <w:tab w:val="left" w:pos="810"/>
              </w:tabs>
            </w:pPr>
            <w:r w:rsidRPr="00447371">
              <w:t>117° 56′ 07″ W</w:t>
            </w:r>
          </w:p>
          <w:p w:rsidR="00A6145B" w:rsidRPr="00447371" w:rsidP="0083305B" w14:paraId="71D877E0" w14:textId="77777777">
            <w:pPr>
              <w:tabs>
                <w:tab w:val="left" w:pos="810"/>
              </w:tabs>
            </w:pPr>
            <w:r w:rsidRPr="00447371">
              <w:t>116° 41' 05" W</w:t>
            </w:r>
          </w:p>
          <w:p w:rsidR="00A6145B" w:rsidRPr="00447371" w:rsidP="0083305B" w14:paraId="187BBE7E" w14:textId="77777777">
            <w:pPr>
              <w:tabs>
                <w:tab w:val="left" w:pos="810"/>
              </w:tabs>
            </w:pPr>
            <w:r w:rsidRPr="00447371">
              <w:t>116° 03' 42"W</w:t>
            </w:r>
          </w:p>
          <w:p w:rsidR="00A6145B" w:rsidRPr="00447371" w:rsidP="0083305B" w14:paraId="5E47B3D3" w14:textId="77777777">
            <w:pPr>
              <w:tabs>
                <w:tab w:val="left" w:pos="810"/>
              </w:tabs>
            </w:pPr>
            <w:r w:rsidRPr="00447371">
              <w:t>104° 45' 29"W</w:t>
            </w:r>
          </w:p>
          <w:p w:rsidR="00A6145B" w:rsidRPr="00447371" w:rsidP="0083305B" w14:paraId="7FCA8D80" w14:textId="77777777">
            <w:pPr>
              <w:tabs>
                <w:tab w:val="left" w:pos="810"/>
              </w:tabs>
            </w:pPr>
            <w:r w:rsidRPr="00447371">
              <w:t>104° 31' 32" W</w:t>
            </w:r>
          </w:p>
          <w:p w:rsidR="00A6145B" w:rsidRPr="00447371" w:rsidP="0083305B" w14:paraId="18A35E44" w14:textId="77777777">
            <w:pPr>
              <w:tabs>
                <w:tab w:val="left" w:pos="810"/>
              </w:tabs>
            </w:pPr>
            <w:r w:rsidRPr="00447371">
              <w:t>082° 09' 09'' W</w:t>
            </w:r>
          </w:p>
          <w:p w:rsidR="00A6145B" w:rsidP="0083305B" w14:paraId="4E64066F" w14:textId="77777777">
            <w:pPr>
              <w:tabs>
                <w:tab w:val="left" w:pos="810"/>
              </w:tabs>
            </w:pPr>
            <w:r w:rsidRPr="0031790A">
              <w:t>144° 50' 50'' E</w:t>
            </w:r>
          </w:p>
          <w:p w:rsidR="00A6145B" w:rsidRPr="00447371" w:rsidP="0083305B" w14:paraId="6E579ED9" w14:textId="77777777">
            <w:pPr>
              <w:tabs>
                <w:tab w:val="left" w:pos="810"/>
              </w:tabs>
            </w:pPr>
            <w:r w:rsidRPr="00447371">
              <w:t>157° 59' 57" W</w:t>
            </w:r>
          </w:p>
          <w:p w:rsidR="00A6145B" w:rsidRPr="00447371" w:rsidP="0083305B" w14:paraId="3275D276" w14:textId="77777777">
            <w:pPr>
              <w:tabs>
                <w:tab w:val="left" w:pos="810"/>
              </w:tabs>
            </w:pPr>
            <w:r w:rsidRPr="00447371">
              <w:t>077° 25' 38" W</w:t>
            </w:r>
          </w:p>
          <w:p w:rsidR="00A6145B" w:rsidRPr="00447371" w:rsidP="0083305B" w14:paraId="6D17B46F" w14:textId="77777777">
            <w:pPr>
              <w:tabs>
                <w:tab w:val="left" w:pos="810"/>
              </w:tabs>
            </w:pPr>
            <w:r w:rsidRPr="00447371">
              <w:t>115° 03' 03" W</w:t>
            </w:r>
          </w:p>
          <w:p w:rsidR="00A6145B" w:rsidRPr="00447371" w:rsidP="0083305B" w14:paraId="4171EFAC" w14:textId="77777777">
            <w:pPr>
              <w:tabs>
                <w:tab w:val="left" w:pos="810"/>
              </w:tabs>
            </w:pPr>
            <w:r w:rsidRPr="00447371">
              <w:t>116° 42' 30" W</w:t>
            </w:r>
          </w:p>
          <w:p w:rsidR="00A6145B" w:rsidRPr="00447371" w:rsidP="0083305B" w14:paraId="4B04824F" w14:textId="77777777">
            <w:pPr>
              <w:tabs>
                <w:tab w:val="left" w:pos="810"/>
              </w:tabs>
            </w:pPr>
            <w:r w:rsidRPr="00447371">
              <w:t>116° 46' 51" W</w:t>
            </w:r>
          </w:p>
          <w:p w:rsidR="00A6145B" w:rsidRPr="00447371" w:rsidP="0083305B" w14:paraId="0707EEF6" w14:textId="77777777">
            <w:pPr>
              <w:tabs>
                <w:tab w:val="left" w:pos="810"/>
              </w:tabs>
            </w:pPr>
            <w:r w:rsidRPr="00447371">
              <w:t>103° 19' 06" W</w:t>
            </w:r>
          </w:p>
          <w:p w:rsidR="00A6145B" w:rsidRPr="00447371" w:rsidP="0083305B" w14:paraId="56671A2C" w14:textId="77777777">
            <w:pPr>
              <w:tabs>
                <w:tab w:val="left" w:pos="810"/>
              </w:tabs>
            </w:pPr>
            <w:r w:rsidRPr="00447371">
              <w:t>106° 25 '11" W</w:t>
            </w:r>
          </w:p>
          <w:p w:rsidR="00A6145B" w:rsidRPr="00447371" w:rsidP="0083305B" w14:paraId="4C63FCC6" w14:textId="77777777">
            <w:pPr>
              <w:tabs>
                <w:tab w:val="left" w:pos="810"/>
              </w:tabs>
            </w:pPr>
            <w:r w:rsidRPr="00447371">
              <w:t>099° 41' 01" W</w:t>
            </w:r>
          </w:p>
          <w:p w:rsidR="00A6145B" w:rsidRPr="00447371" w:rsidP="0083305B" w14:paraId="32E51C43" w14:textId="77777777">
            <w:pPr>
              <w:tabs>
                <w:tab w:val="left" w:pos="810"/>
              </w:tabs>
            </w:pPr>
            <w:r w:rsidRPr="00447371">
              <w:t>106° 25' 17" W</w:t>
            </w:r>
          </w:p>
          <w:p w:rsidR="00A6145B" w:rsidRPr="00447371" w:rsidP="0083305B" w14:paraId="1A79F223" w14:textId="77777777">
            <w:pPr>
              <w:tabs>
                <w:tab w:val="left" w:pos="810"/>
              </w:tabs>
            </w:pPr>
            <w:r w:rsidRPr="00447371">
              <w:t>098° 26' 33" W</w:t>
            </w:r>
          </w:p>
          <w:p w:rsidR="00A6145B" w:rsidRPr="00447371" w:rsidP="0083305B" w14:paraId="534ADA3E" w14:textId="77777777">
            <w:pPr>
              <w:tabs>
                <w:tab w:val="left" w:pos="810"/>
              </w:tabs>
            </w:pPr>
            <w:r w:rsidRPr="00447371">
              <w:t>100° 24' 11" W</w:t>
            </w:r>
          </w:p>
          <w:p w:rsidR="00A6145B" w:rsidRPr="00447371" w:rsidP="0083305B" w14:paraId="79A358D5" w14:textId="77777777">
            <w:pPr>
              <w:tabs>
                <w:tab w:val="left" w:pos="810"/>
              </w:tabs>
            </w:pPr>
            <w:r w:rsidRPr="00447371">
              <w:t>098° 34' 40" W</w:t>
            </w:r>
          </w:p>
          <w:p w:rsidR="00A6145B" w:rsidRPr="00447371" w:rsidP="0083305B" w14:paraId="0A93DB31" w14:textId="77777777">
            <w:pPr>
              <w:tabs>
                <w:tab w:val="left" w:pos="810"/>
              </w:tabs>
            </w:pPr>
            <w:r w:rsidRPr="00447371">
              <w:t>112° 54' 00" W</w:t>
            </w:r>
          </w:p>
          <w:p w:rsidR="00A6145B" w:rsidP="0083305B" w14:paraId="654CAB5C" w14:textId="77777777">
            <w:pPr>
              <w:tabs>
                <w:tab w:val="left" w:pos="810"/>
              </w:tabs>
            </w:pPr>
            <w:r w:rsidRPr="00447371">
              <w:t>077° 09' 15" W</w:t>
            </w:r>
          </w:p>
          <w:p w:rsidR="00A6145B" w:rsidRPr="00447371" w:rsidP="0083305B" w14:paraId="4956C9FA" w14:textId="77777777">
            <w:pPr>
              <w:tabs>
                <w:tab w:val="left" w:pos="810"/>
              </w:tabs>
            </w:pPr>
            <w:r w:rsidRPr="0031790A">
              <w:t>076° 14' 00'' W</w:t>
            </w:r>
          </w:p>
        </w:tc>
      </w:tr>
    </w:tbl>
    <w:p w:rsidR="00A6145B" w:rsidP="002F5D87" w14:paraId="15B02538" w14:textId="77777777">
      <w:pPr>
        <w:pStyle w:val="Heading1"/>
        <w:keepNext w:val="0"/>
        <w:numPr>
          <w:ilvl w:val="0"/>
          <w:numId w:val="0"/>
        </w:numPr>
      </w:pPr>
      <w:bookmarkStart w:id="4" w:name="_Toc147150081"/>
      <w:bookmarkStart w:id="5" w:name="_Toc150423898"/>
    </w:p>
    <w:p w:rsidR="00412FC5" w:rsidRPr="00A6145B" w:rsidP="008F3294" w14:paraId="0B93FD5B" w14:textId="195C1B58">
      <w:pPr>
        <w:pStyle w:val="ListParagraph"/>
        <w:widowControl/>
        <w:spacing w:after="160" w:line="240" w:lineRule="auto"/>
        <w:ind w:left="0" w:firstLine="720"/>
        <w:contextualSpacing w:val="0"/>
      </w:pPr>
      <w:r>
        <w:rPr>
          <w:rFonts w:eastAsia="Calibri"/>
        </w:rPr>
        <w:t xml:space="preserve">(d) </w:t>
      </w:r>
      <w:r w:rsidR="00952B66">
        <w:rPr>
          <w:rFonts w:eastAsia="Calibri"/>
          <w:i/>
          <w:iCs/>
        </w:rPr>
        <w:t>Review of certain proposed technologies in the 71–76 and 81–86 GHz bands</w:t>
      </w:r>
      <w:r w:rsidR="00166EEE">
        <w:rPr>
          <w:rFonts w:eastAsia="Calibri"/>
          <w:i/>
          <w:iCs/>
        </w:rPr>
        <w:t xml:space="preserve">.  </w:t>
      </w:r>
      <w:r w:rsidRPr="00E33FF4">
        <w:rPr>
          <w:rFonts w:eastAsia="Calibri"/>
        </w:rPr>
        <w:t xml:space="preserve">Prior to registration of any </w:t>
      </w:r>
      <w:r w:rsidR="003C178C">
        <w:rPr>
          <w:rFonts w:eastAsia="Calibri"/>
        </w:rPr>
        <w:t>a</w:t>
      </w:r>
      <w:r w:rsidRPr="00E33FF4" w:rsidR="003C178C">
        <w:rPr>
          <w:rFonts w:eastAsia="Calibri"/>
        </w:rPr>
        <w:t xml:space="preserve">eronautical </w:t>
      </w:r>
      <w:r w:rsidRPr="00E33FF4">
        <w:rPr>
          <w:rFonts w:eastAsia="Calibri"/>
        </w:rPr>
        <w:t xml:space="preserve">or </w:t>
      </w:r>
      <w:r w:rsidR="003C178C">
        <w:rPr>
          <w:rFonts w:eastAsia="Calibri"/>
        </w:rPr>
        <w:t>m</w:t>
      </w:r>
      <w:r w:rsidRPr="00E33FF4" w:rsidR="003C178C">
        <w:rPr>
          <w:rFonts w:eastAsia="Calibri"/>
        </w:rPr>
        <w:t xml:space="preserve">aritime </w:t>
      </w:r>
      <w:r w:rsidRPr="00E33FF4">
        <w:rPr>
          <w:rFonts w:eastAsia="Calibri"/>
        </w:rPr>
        <w:t xml:space="preserve">links—to, from, or between endpoints in motion—each licensee must demonstrate, in accordance with the process to be established by </w:t>
      </w:r>
      <w:r>
        <w:rPr>
          <w:rFonts w:eastAsia="Calibri"/>
        </w:rPr>
        <w:t xml:space="preserve">the </w:t>
      </w:r>
      <w:r w:rsidRPr="00E33FF4">
        <w:rPr>
          <w:rFonts w:eastAsia="Calibri"/>
        </w:rPr>
        <w:t>W</w:t>
      </w:r>
      <w:r>
        <w:rPr>
          <w:rFonts w:eastAsia="Calibri"/>
        </w:rPr>
        <w:t xml:space="preserve">ireless </w:t>
      </w:r>
      <w:r w:rsidRPr="00E33FF4">
        <w:rPr>
          <w:rFonts w:eastAsia="Calibri"/>
        </w:rPr>
        <w:t>T</w:t>
      </w:r>
      <w:r>
        <w:rPr>
          <w:rFonts w:eastAsia="Calibri"/>
        </w:rPr>
        <w:t xml:space="preserve">elecommunications </w:t>
      </w:r>
      <w:r w:rsidRPr="00E33FF4">
        <w:rPr>
          <w:rFonts w:eastAsia="Calibri"/>
        </w:rPr>
        <w:t>B</w:t>
      </w:r>
      <w:r>
        <w:rPr>
          <w:rFonts w:eastAsia="Calibri"/>
        </w:rPr>
        <w:t>ureau</w:t>
      </w:r>
      <w:r w:rsidRPr="00E33FF4">
        <w:rPr>
          <w:rFonts w:eastAsia="Calibri"/>
        </w:rPr>
        <w:t xml:space="preserve"> and O</w:t>
      </w:r>
      <w:r>
        <w:rPr>
          <w:rFonts w:eastAsia="Calibri"/>
        </w:rPr>
        <w:t xml:space="preserve">ffice of </w:t>
      </w:r>
      <w:r w:rsidRPr="00E33FF4">
        <w:rPr>
          <w:rFonts w:eastAsia="Calibri"/>
        </w:rPr>
        <w:t>E</w:t>
      </w:r>
      <w:r>
        <w:rPr>
          <w:rFonts w:eastAsia="Calibri"/>
        </w:rPr>
        <w:t xml:space="preserve">ngineering and </w:t>
      </w:r>
      <w:r w:rsidRPr="00E33FF4">
        <w:rPr>
          <w:rFonts w:eastAsia="Calibri"/>
        </w:rPr>
        <w:t>T</w:t>
      </w:r>
      <w:r>
        <w:rPr>
          <w:rFonts w:eastAsia="Calibri"/>
        </w:rPr>
        <w:t>echnology</w:t>
      </w:r>
      <w:r w:rsidRPr="00E33FF4">
        <w:rPr>
          <w:rFonts w:eastAsia="Calibri"/>
        </w:rPr>
        <w:t xml:space="preserve">, </w:t>
      </w:r>
      <w:r w:rsidRPr="00E33FF4">
        <w:rPr>
          <w:rFonts w:eastAsia="Calibri"/>
          <w:i/>
          <w:iCs/>
        </w:rPr>
        <w:t>see</w:t>
      </w:r>
      <w:r w:rsidRPr="00E33FF4">
        <w:rPr>
          <w:rFonts w:eastAsia="Calibri"/>
        </w:rPr>
        <w:t xml:space="preserve"> 47 CFR §§ 0.241(l), 0.331(g)</w:t>
      </w:r>
      <w:r>
        <w:rPr>
          <w:rFonts w:eastAsia="Calibri"/>
        </w:rPr>
        <w:t xml:space="preserve"> of this title</w:t>
      </w:r>
      <w:r w:rsidRPr="00E33FF4">
        <w:rPr>
          <w:rFonts w:eastAsia="Calibri"/>
        </w:rPr>
        <w:t>, that its technologies for point-to-endpoint-in-motion communications to aircraft and ships are capable of meeting specific technical and operating requirements set forth in this section</w:t>
      </w:r>
      <w:bookmarkEnd w:id="2"/>
      <w:bookmarkEnd w:id="4"/>
      <w:bookmarkEnd w:id="5"/>
      <w:r w:rsidR="009D0898">
        <w:rPr>
          <w:rFonts w:eastAsia="Calibri"/>
        </w:rPr>
        <w:t>.</w:t>
      </w:r>
    </w:p>
    <w:sectPr w:rsidSect="00BB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473" w:rsidP="00C11473" w14:paraId="12F25DCD" w14:textId="064DD00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36C5" w:rsidRPr="00752CD5" w:rsidP="00752CD5" w14:paraId="51AEE75F" w14:textId="560FC5D9">
    <w:pPr>
      <w:tabs>
        <w:tab w:val="center" w:pos="4680"/>
        <w:tab w:val="right" w:pos="9360"/>
      </w:tabs>
      <w:jc w:val="center"/>
      <w:rPr>
        <w:b/>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611668851" name="Rectangle 10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9"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1129648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verticies="t" text="t" shapetype="t"/>
              <w10:wrap anchorx="margin"/>
            </v:rect>
          </w:pict>
        </mc:Fallback>
      </mc:AlternateContent>
    </w:r>
    <w:r w:rsidR="00752CD5">
      <w:rPr>
        <w:b/>
      </w:rPr>
      <w:t>Federal Communications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741" w:rsidRPr="00D92741" w:rsidP="00D92741" w14:paraId="5961412B" w14:textId="136C2A51">
    <w:pPr>
      <w:tabs>
        <w:tab w:val="center" w:pos="4680"/>
        <w:tab w:val="right" w:pos="9360"/>
      </w:tabs>
      <w:jc w:val="center"/>
      <w:rPr>
        <w:b/>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070288634" name="Rectangle 10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32"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745115815" name="Rectangle 103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31"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o:lock v:ext="edit" aspectratio="t" verticies="t" text="t" shapetype="t"/>
              <w10:wrap anchorx="margin"/>
            </v:rect>
          </w:pict>
        </mc:Fallback>
      </mc:AlternateContent>
    </w:r>
    <w:r>
      <w:rPr>
        <w:b/>
      </w:rPr>
      <w:t>Federal Communications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E2C95"/>
    <w:multiLevelType w:val="hybridMultilevel"/>
    <w:tmpl w:val="1800FC66"/>
    <w:lvl w:ilvl="0">
      <w:start w:val="1"/>
      <w:numFmt w:val="decimal"/>
      <w:lvlText w:val="%1."/>
      <w:lvlJc w:val="left"/>
      <w:pPr>
        <w:ind w:left="1080" w:hanging="360"/>
      </w:pPr>
      <w:rPr>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222AF3"/>
    <w:multiLevelType w:val="hybridMultilevel"/>
    <w:tmpl w:val="359620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1F1EA3"/>
    <w:multiLevelType w:val="hybridMultilevel"/>
    <w:tmpl w:val="741AA9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FFA54FB"/>
    <w:multiLevelType w:val="hybridMultilevel"/>
    <w:tmpl w:val="C122F0CA"/>
    <w:lvl w:ilvl="0">
      <w:start w:val="1"/>
      <w:numFmt w:val="lowerRoman"/>
      <w:lvlText w:val="%1."/>
      <w:lvlJc w:val="right"/>
      <w:pPr>
        <w:ind w:left="1800" w:hanging="360"/>
      </w:pPr>
      <w:rPr>
        <w:rFonts w:hint="default"/>
        <w:b w:val="0"/>
        <w:b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04F003B"/>
    <w:multiLevelType w:val="hybridMultilevel"/>
    <w:tmpl w:val="61D253CE"/>
    <w:lvl w:ilvl="0">
      <w:start w:val="1"/>
      <w:numFmt w:val="lowerLetter"/>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52B712B"/>
    <w:multiLevelType w:val="hybridMultilevel"/>
    <w:tmpl w:val="C1928CB6"/>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57718A6"/>
    <w:multiLevelType w:val="hybridMultilevel"/>
    <w:tmpl w:val="44F24B2C"/>
    <w:lvl w:ilvl="0">
      <w:start w:val="2"/>
      <w:numFmt w:val="decimal"/>
      <w:lvlText w:val="%1."/>
      <w:lvlJc w:val="left"/>
      <w:pPr>
        <w:ind w:left="1080" w:hanging="360"/>
      </w:pPr>
      <w:rPr>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FB27339"/>
    <w:multiLevelType w:val="hybridMultilevel"/>
    <w:tmpl w:val="491E6268"/>
    <w:lvl w:ilvl="0">
      <w:start w:val="1"/>
      <w:numFmt w:val="decimal"/>
      <w:lvlText w:val="(%1)"/>
      <w:lvlJc w:val="left"/>
      <w:pPr>
        <w:ind w:left="1800" w:hanging="360"/>
      </w:pPr>
      <w:rPr>
        <w:rFonts w:hint="default"/>
        <w:b w:val="0"/>
        <w:bCs w:val="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21E51C9"/>
    <w:multiLevelType w:val="hybridMultilevel"/>
    <w:tmpl w:val="B7AA834E"/>
    <w:lvl w:ilvl="0">
      <w:start w:val="1"/>
      <w:numFmt w:val="decimal"/>
      <w:lvlText w:val="%1."/>
      <w:lvlJc w:val="left"/>
      <w:pPr>
        <w:ind w:left="1080" w:hanging="360"/>
      </w:pPr>
      <w:rPr>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342665C"/>
    <w:multiLevelType w:val="hybridMultilevel"/>
    <w:tmpl w:val="9D425E48"/>
    <w:lvl w:ilvl="0">
      <w:start w:val="1"/>
      <w:numFmt w:val="lowerLetter"/>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E804B58"/>
    <w:multiLevelType w:val="hybridMultilevel"/>
    <w:tmpl w:val="F920E538"/>
    <w:lvl w:ilvl="0">
      <w:start w:val="1"/>
      <w:numFmt w:val="lowerLetter"/>
      <w:lvlText w:val="(%1)"/>
      <w:lvlJc w:val="left"/>
      <w:pPr>
        <w:ind w:left="720" w:hanging="360"/>
      </w:pPr>
      <w:rPr>
        <w:rFonts w:ascii="Times New Roman" w:eastAsia="Times New Roman" w:hAnsi="Times New Roman" w:cs="Times New Roman"/>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1"/>
  </w:num>
  <w:num w:numId="5">
    <w:abstractNumId w:val="5"/>
  </w:num>
  <w:num w:numId="6">
    <w:abstractNumId w:val="2"/>
  </w:num>
  <w:num w:numId="7">
    <w:abstractNumId w:val="15"/>
  </w:num>
  <w:num w:numId="8">
    <w:abstractNumId w:val="13"/>
    <w:lvlOverride w:ilvl="0">
      <w:startOverride w:val="1"/>
    </w:lvlOverride>
  </w:num>
  <w:num w:numId="9">
    <w:abstractNumId w:val="9"/>
  </w:num>
  <w:num w:numId="10">
    <w:abstractNumId w:val="8"/>
  </w:num>
  <w:num w:numId="11">
    <w:abstractNumId w:val="14"/>
  </w:num>
  <w:num w:numId="12">
    <w:abstractNumId w:val="12"/>
  </w:num>
  <w:num w:numId="13">
    <w:abstractNumId w:val="7"/>
  </w:num>
  <w:num w:numId="14">
    <w:abstractNumId w:val="10"/>
  </w:num>
  <w:num w:numId="15">
    <w:abstractNumId w:val="0"/>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8E"/>
    <w:rsid w:val="000038BB"/>
    <w:rsid w:val="000050E6"/>
    <w:rsid w:val="00015F9C"/>
    <w:rsid w:val="00020050"/>
    <w:rsid w:val="00022B1B"/>
    <w:rsid w:val="00033CCE"/>
    <w:rsid w:val="00036039"/>
    <w:rsid w:val="00037542"/>
    <w:rsid w:val="00037F90"/>
    <w:rsid w:val="0004422A"/>
    <w:rsid w:val="0004572B"/>
    <w:rsid w:val="00045A50"/>
    <w:rsid w:val="00046B53"/>
    <w:rsid w:val="000500D2"/>
    <w:rsid w:val="00052A4E"/>
    <w:rsid w:val="0005413C"/>
    <w:rsid w:val="00054D41"/>
    <w:rsid w:val="00054DDA"/>
    <w:rsid w:val="00055D6E"/>
    <w:rsid w:val="00056E15"/>
    <w:rsid w:val="000574B4"/>
    <w:rsid w:val="00071E01"/>
    <w:rsid w:val="0008687F"/>
    <w:rsid w:val="000875BF"/>
    <w:rsid w:val="00096D8C"/>
    <w:rsid w:val="000B5871"/>
    <w:rsid w:val="000C0B65"/>
    <w:rsid w:val="000C53A8"/>
    <w:rsid w:val="000D448B"/>
    <w:rsid w:val="000D5A1F"/>
    <w:rsid w:val="000E05FE"/>
    <w:rsid w:val="000E2D07"/>
    <w:rsid w:val="000E3D42"/>
    <w:rsid w:val="000F0F2F"/>
    <w:rsid w:val="000F1C9E"/>
    <w:rsid w:val="000F405F"/>
    <w:rsid w:val="000F6F1D"/>
    <w:rsid w:val="00101A2E"/>
    <w:rsid w:val="00102BC9"/>
    <w:rsid w:val="00103FE8"/>
    <w:rsid w:val="001053E8"/>
    <w:rsid w:val="00107040"/>
    <w:rsid w:val="00111F27"/>
    <w:rsid w:val="00116CD9"/>
    <w:rsid w:val="001179A6"/>
    <w:rsid w:val="00122BD5"/>
    <w:rsid w:val="0012358C"/>
    <w:rsid w:val="001258E5"/>
    <w:rsid w:val="00133F79"/>
    <w:rsid w:val="001370CA"/>
    <w:rsid w:val="0013798C"/>
    <w:rsid w:val="0014678F"/>
    <w:rsid w:val="00150BC8"/>
    <w:rsid w:val="001636AB"/>
    <w:rsid w:val="00166EEE"/>
    <w:rsid w:val="00167FFD"/>
    <w:rsid w:val="0017410F"/>
    <w:rsid w:val="001775EC"/>
    <w:rsid w:val="00190F5A"/>
    <w:rsid w:val="001917C9"/>
    <w:rsid w:val="00194A66"/>
    <w:rsid w:val="001972E6"/>
    <w:rsid w:val="001A61DB"/>
    <w:rsid w:val="001A6B0D"/>
    <w:rsid w:val="001B0829"/>
    <w:rsid w:val="001B5B80"/>
    <w:rsid w:val="001D5383"/>
    <w:rsid w:val="001D6BCF"/>
    <w:rsid w:val="001E01CA"/>
    <w:rsid w:val="001F0143"/>
    <w:rsid w:val="001F1F5F"/>
    <w:rsid w:val="001F59EF"/>
    <w:rsid w:val="00200296"/>
    <w:rsid w:val="00203C4E"/>
    <w:rsid w:val="0021291D"/>
    <w:rsid w:val="00232FA5"/>
    <w:rsid w:val="002357E2"/>
    <w:rsid w:val="00235E19"/>
    <w:rsid w:val="0023621F"/>
    <w:rsid w:val="0024261E"/>
    <w:rsid w:val="002558D1"/>
    <w:rsid w:val="00256133"/>
    <w:rsid w:val="00262365"/>
    <w:rsid w:val="00263C1B"/>
    <w:rsid w:val="00270AE1"/>
    <w:rsid w:val="0027152A"/>
    <w:rsid w:val="00275CF5"/>
    <w:rsid w:val="0028301F"/>
    <w:rsid w:val="00285017"/>
    <w:rsid w:val="0029381C"/>
    <w:rsid w:val="00296B4D"/>
    <w:rsid w:val="002A25D0"/>
    <w:rsid w:val="002A2D2E"/>
    <w:rsid w:val="002A6B3E"/>
    <w:rsid w:val="002A7E58"/>
    <w:rsid w:val="002C00E8"/>
    <w:rsid w:val="002C19FC"/>
    <w:rsid w:val="002C3AF1"/>
    <w:rsid w:val="002C4B5E"/>
    <w:rsid w:val="002C7EFF"/>
    <w:rsid w:val="002D5556"/>
    <w:rsid w:val="002E002F"/>
    <w:rsid w:val="002E16D8"/>
    <w:rsid w:val="002E5ABE"/>
    <w:rsid w:val="002F3C4E"/>
    <w:rsid w:val="002F5D87"/>
    <w:rsid w:val="00314760"/>
    <w:rsid w:val="00314CA7"/>
    <w:rsid w:val="0031674B"/>
    <w:rsid w:val="0031790A"/>
    <w:rsid w:val="00321FE8"/>
    <w:rsid w:val="00325AB7"/>
    <w:rsid w:val="00330188"/>
    <w:rsid w:val="003303F5"/>
    <w:rsid w:val="00335443"/>
    <w:rsid w:val="00340461"/>
    <w:rsid w:val="00341768"/>
    <w:rsid w:val="00343749"/>
    <w:rsid w:val="00346D3B"/>
    <w:rsid w:val="00357245"/>
    <w:rsid w:val="003641D2"/>
    <w:rsid w:val="003660ED"/>
    <w:rsid w:val="003733E4"/>
    <w:rsid w:val="0038306D"/>
    <w:rsid w:val="00392062"/>
    <w:rsid w:val="00392DF9"/>
    <w:rsid w:val="003A2115"/>
    <w:rsid w:val="003A36BB"/>
    <w:rsid w:val="003B0550"/>
    <w:rsid w:val="003B235E"/>
    <w:rsid w:val="003B57C0"/>
    <w:rsid w:val="003B694F"/>
    <w:rsid w:val="003C178C"/>
    <w:rsid w:val="003C3EB6"/>
    <w:rsid w:val="003C639B"/>
    <w:rsid w:val="003D0E7D"/>
    <w:rsid w:val="003E3E23"/>
    <w:rsid w:val="003E7F57"/>
    <w:rsid w:val="003F0FE4"/>
    <w:rsid w:val="003F171C"/>
    <w:rsid w:val="003F1794"/>
    <w:rsid w:val="00400674"/>
    <w:rsid w:val="00407DAB"/>
    <w:rsid w:val="00411521"/>
    <w:rsid w:val="00412FC5"/>
    <w:rsid w:val="00416081"/>
    <w:rsid w:val="00422276"/>
    <w:rsid w:val="00422D5D"/>
    <w:rsid w:val="004242F1"/>
    <w:rsid w:val="00430FDF"/>
    <w:rsid w:val="00445A00"/>
    <w:rsid w:val="00447371"/>
    <w:rsid w:val="00451545"/>
    <w:rsid w:val="00451B0F"/>
    <w:rsid w:val="00465AA8"/>
    <w:rsid w:val="00467FC4"/>
    <w:rsid w:val="00476FF3"/>
    <w:rsid w:val="0048350B"/>
    <w:rsid w:val="004854F7"/>
    <w:rsid w:val="004872EE"/>
    <w:rsid w:val="00493C0E"/>
    <w:rsid w:val="004C2EE3"/>
    <w:rsid w:val="004E0F15"/>
    <w:rsid w:val="004E4176"/>
    <w:rsid w:val="004E4A22"/>
    <w:rsid w:val="004F4FE0"/>
    <w:rsid w:val="004F6745"/>
    <w:rsid w:val="00502A8E"/>
    <w:rsid w:val="005103DB"/>
    <w:rsid w:val="00511968"/>
    <w:rsid w:val="00544E6C"/>
    <w:rsid w:val="00545E8D"/>
    <w:rsid w:val="005460ED"/>
    <w:rsid w:val="00551BDE"/>
    <w:rsid w:val="0055614C"/>
    <w:rsid w:val="00566D06"/>
    <w:rsid w:val="00571AFC"/>
    <w:rsid w:val="00571B15"/>
    <w:rsid w:val="00575476"/>
    <w:rsid w:val="005762AD"/>
    <w:rsid w:val="00582B7B"/>
    <w:rsid w:val="0058513A"/>
    <w:rsid w:val="00585A6D"/>
    <w:rsid w:val="00590F6E"/>
    <w:rsid w:val="00591C5B"/>
    <w:rsid w:val="005A7751"/>
    <w:rsid w:val="005B4081"/>
    <w:rsid w:val="005C2FE3"/>
    <w:rsid w:val="005D68D0"/>
    <w:rsid w:val="005E14C2"/>
    <w:rsid w:val="005E373F"/>
    <w:rsid w:val="005E50E7"/>
    <w:rsid w:val="00607BA5"/>
    <w:rsid w:val="0061084D"/>
    <w:rsid w:val="0061180A"/>
    <w:rsid w:val="00614183"/>
    <w:rsid w:val="0061429E"/>
    <w:rsid w:val="00625784"/>
    <w:rsid w:val="00626EB6"/>
    <w:rsid w:val="00631020"/>
    <w:rsid w:val="00641CFF"/>
    <w:rsid w:val="00655D03"/>
    <w:rsid w:val="006701FE"/>
    <w:rsid w:val="00671B33"/>
    <w:rsid w:val="00683388"/>
    <w:rsid w:val="00683F84"/>
    <w:rsid w:val="006862DD"/>
    <w:rsid w:val="00692818"/>
    <w:rsid w:val="00692BE8"/>
    <w:rsid w:val="006951AC"/>
    <w:rsid w:val="006A63C9"/>
    <w:rsid w:val="006A6A81"/>
    <w:rsid w:val="006B3E4C"/>
    <w:rsid w:val="006C0275"/>
    <w:rsid w:val="006C2255"/>
    <w:rsid w:val="006C6172"/>
    <w:rsid w:val="006C6A78"/>
    <w:rsid w:val="006D621A"/>
    <w:rsid w:val="006E2F6F"/>
    <w:rsid w:val="006E7C7C"/>
    <w:rsid w:val="006F4C56"/>
    <w:rsid w:val="006F593B"/>
    <w:rsid w:val="006F6C2A"/>
    <w:rsid w:val="006F7393"/>
    <w:rsid w:val="00700B5F"/>
    <w:rsid w:val="0070224F"/>
    <w:rsid w:val="007115F7"/>
    <w:rsid w:val="007216E7"/>
    <w:rsid w:val="00735D93"/>
    <w:rsid w:val="00737D2D"/>
    <w:rsid w:val="00752CD5"/>
    <w:rsid w:val="0075431A"/>
    <w:rsid w:val="00762DFA"/>
    <w:rsid w:val="0076374F"/>
    <w:rsid w:val="007652F0"/>
    <w:rsid w:val="00776135"/>
    <w:rsid w:val="00776AD2"/>
    <w:rsid w:val="00780686"/>
    <w:rsid w:val="00783DA9"/>
    <w:rsid w:val="00785689"/>
    <w:rsid w:val="0079754B"/>
    <w:rsid w:val="00797929"/>
    <w:rsid w:val="007A1E6D"/>
    <w:rsid w:val="007B0EB2"/>
    <w:rsid w:val="007B1A41"/>
    <w:rsid w:val="007C0419"/>
    <w:rsid w:val="007C2F00"/>
    <w:rsid w:val="007D0269"/>
    <w:rsid w:val="007E28CA"/>
    <w:rsid w:val="007E76A4"/>
    <w:rsid w:val="007F1020"/>
    <w:rsid w:val="007F6EAE"/>
    <w:rsid w:val="007F7A58"/>
    <w:rsid w:val="0080169F"/>
    <w:rsid w:val="0080554B"/>
    <w:rsid w:val="00810B6F"/>
    <w:rsid w:val="00810D16"/>
    <w:rsid w:val="00822CE0"/>
    <w:rsid w:val="0083305B"/>
    <w:rsid w:val="008334D2"/>
    <w:rsid w:val="00841AB1"/>
    <w:rsid w:val="00854A43"/>
    <w:rsid w:val="008561EF"/>
    <w:rsid w:val="00883CFB"/>
    <w:rsid w:val="008A067D"/>
    <w:rsid w:val="008A459E"/>
    <w:rsid w:val="008A536D"/>
    <w:rsid w:val="008A6926"/>
    <w:rsid w:val="008B2262"/>
    <w:rsid w:val="008B4578"/>
    <w:rsid w:val="008B6AFF"/>
    <w:rsid w:val="008C1528"/>
    <w:rsid w:val="008C633A"/>
    <w:rsid w:val="008C68F1"/>
    <w:rsid w:val="008C764B"/>
    <w:rsid w:val="008D7087"/>
    <w:rsid w:val="008F17CA"/>
    <w:rsid w:val="008F3294"/>
    <w:rsid w:val="008F6FEE"/>
    <w:rsid w:val="00921803"/>
    <w:rsid w:val="00922886"/>
    <w:rsid w:val="00923A48"/>
    <w:rsid w:val="00926503"/>
    <w:rsid w:val="00927BDD"/>
    <w:rsid w:val="009335A1"/>
    <w:rsid w:val="0094048E"/>
    <w:rsid w:val="00942B30"/>
    <w:rsid w:val="009449D4"/>
    <w:rsid w:val="00945F05"/>
    <w:rsid w:val="00946EDC"/>
    <w:rsid w:val="00952B66"/>
    <w:rsid w:val="00957BAD"/>
    <w:rsid w:val="00965952"/>
    <w:rsid w:val="00966E57"/>
    <w:rsid w:val="009726D8"/>
    <w:rsid w:val="009912BD"/>
    <w:rsid w:val="00997DB2"/>
    <w:rsid w:val="009A2051"/>
    <w:rsid w:val="009A2ABA"/>
    <w:rsid w:val="009A5400"/>
    <w:rsid w:val="009A5551"/>
    <w:rsid w:val="009A5591"/>
    <w:rsid w:val="009B3BFF"/>
    <w:rsid w:val="009B44E7"/>
    <w:rsid w:val="009C5EB9"/>
    <w:rsid w:val="009C7B26"/>
    <w:rsid w:val="009D0898"/>
    <w:rsid w:val="009D7308"/>
    <w:rsid w:val="009E348B"/>
    <w:rsid w:val="009F263C"/>
    <w:rsid w:val="009F38F9"/>
    <w:rsid w:val="009F6720"/>
    <w:rsid w:val="009F76DB"/>
    <w:rsid w:val="00A066A5"/>
    <w:rsid w:val="00A220CF"/>
    <w:rsid w:val="00A30BE1"/>
    <w:rsid w:val="00A32C3B"/>
    <w:rsid w:val="00A338B9"/>
    <w:rsid w:val="00A36C9C"/>
    <w:rsid w:val="00A37E9E"/>
    <w:rsid w:val="00A45F4F"/>
    <w:rsid w:val="00A503DD"/>
    <w:rsid w:val="00A558F9"/>
    <w:rsid w:val="00A56D47"/>
    <w:rsid w:val="00A600A9"/>
    <w:rsid w:val="00A6145B"/>
    <w:rsid w:val="00A736E4"/>
    <w:rsid w:val="00A810AE"/>
    <w:rsid w:val="00A9399C"/>
    <w:rsid w:val="00AA55B7"/>
    <w:rsid w:val="00AA5B9E"/>
    <w:rsid w:val="00AB2407"/>
    <w:rsid w:val="00AB53DF"/>
    <w:rsid w:val="00AB7213"/>
    <w:rsid w:val="00AC56FF"/>
    <w:rsid w:val="00AD5C5C"/>
    <w:rsid w:val="00AD6031"/>
    <w:rsid w:val="00AE358A"/>
    <w:rsid w:val="00AE478F"/>
    <w:rsid w:val="00AF57B5"/>
    <w:rsid w:val="00AF79AB"/>
    <w:rsid w:val="00B01241"/>
    <w:rsid w:val="00B0601C"/>
    <w:rsid w:val="00B07E5C"/>
    <w:rsid w:val="00B1235E"/>
    <w:rsid w:val="00B35DCE"/>
    <w:rsid w:val="00B440F4"/>
    <w:rsid w:val="00B61CD9"/>
    <w:rsid w:val="00B64800"/>
    <w:rsid w:val="00B67F84"/>
    <w:rsid w:val="00B717FA"/>
    <w:rsid w:val="00B811F7"/>
    <w:rsid w:val="00B92D18"/>
    <w:rsid w:val="00B94BEF"/>
    <w:rsid w:val="00BA0BF0"/>
    <w:rsid w:val="00BA29EB"/>
    <w:rsid w:val="00BA5DC6"/>
    <w:rsid w:val="00BA6196"/>
    <w:rsid w:val="00BA6E4A"/>
    <w:rsid w:val="00BB153C"/>
    <w:rsid w:val="00BC204E"/>
    <w:rsid w:val="00BC3AE4"/>
    <w:rsid w:val="00BC6D8C"/>
    <w:rsid w:val="00BD2205"/>
    <w:rsid w:val="00BD602C"/>
    <w:rsid w:val="00BE0A40"/>
    <w:rsid w:val="00BE6A19"/>
    <w:rsid w:val="00BF0504"/>
    <w:rsid w:val="00BF4B84"/>
    <w:rsid w:val="00C04A14"/>
    <w:rsid w:val="00C04DCC"/>
    <w:rsid w:val="00C073AE"/>
    <w:rsid w:val="00C11473"/>
    <w:rsid w:val="00C13C80"/>
    <w:rsid w:val="00C25676"/>
    <w:rsid w:val="00C34006"/>
    <w:rsid w:val="00C34BAB"/>
    <w:rsid w:val="00C36B4C"/>
    <w:rsid w:val="00C3724F"/>
    <w:rsid w:val="00C4126B"/>
    <w:rsid w:val="00C426B1"/>
    <w:rsid w:val="00C436D2"/>
    <w:rsid w:val="00C51473"/>
    <w:rsid w:val="00C533E1"/>
    <w:rsid w:val="00C56ADD"/>
    <w:rsid w:val="00C57E0D"/>
    <w:rsid w:val="00C66160"/>
    <w:rsid w:val="00C67A6F"/>
    <w:rsid w:val="00C721AC"/>
    <w:rsid w:val="00C72DB7"/>
    <w:rsid w:val="00C736C5"/>
    <w:rsid w:val="00C83E0F"/>
    <w:rsid w:val="00C90D6A"/>
    <w:rsid w:val="00C9343E"/>
    <w:rsid w:val="00CA247E"/>
    <w:rsid w:val="00CA2957"/>
    <w:rsid w:val="00CA3831"/>
    <w:rsid w:val="00CA5D7C"/>
    <w:rsid w:val="00CA6549"/>
    <w:rsid w:val="00CA6D21"/>
    <w:rsid w:val="00CB187C"/>
    <w:rsid w:val="00CC72B6"/>
    <w:rsid w:val="00CD42E9"/>
    <w:rsid w:val="00CD6D5C"/>
    <w:rsid w:val="00CE11CC"/>
    <w:rsid w:val="00D0218D"/>
    <w:rsid w:val="00D11F49"/>
    <w:rsid w:val="00D157BC"/>
    <w:rsid w:val="00D21439"/>
    <w:rsid w:val="00D214AF"/>
    <w:rsid w:val="00D25FB5"/>
    <w:rsid w:val="00D26986"/>
    <w:rsid w:val="00D318BB"/>
    <w:rsid w:val="00D33A45"/>
    <w:rsid w:val="00D37CAD"/>
    <w:rsid w:val="00D41DAB"/>
    <w:rsid w:val="00D44223"/>
    <w:rsid w:val="00D451F5"/>
    <w:rsid w:val="00D56C0F"/>
    <w:rsid w:val="00D6492E"/>
    <w:rsid w:val="00D64D69"/>
    <w:rsid w:val="00D70F2B"/>
    <w:rsid w:val="00D77987"/>
    <w:rsid w:val="00D802AB"/>
    <w:rsid w:val="00D838BA"/>
    <w:rsid w:val="00D92741"/>
    <w:rsid w:val="00D92984"/>
    <w:rsid w:val="00D942E1"/>
    <w:rsid w:val="00D959AA"/>
    <w:rsid w:val="00D96F87"/>
    <w:rsid w:val="00DA2529"/>
    <w:rsid w:val="00DB03BF"/>
    <w:rsid w:val="00DB130A"/>
    <w:rsid w:val="00DB2EBB"/>
    <w:rsid w:val="00DB4DE4"/>
    <w:rsid w:val="00DC10A1"/>
    <w:rsid w:val="00DC13FC"/>
    <w:rsid w:val="00DC2C3D"/>
    <w:rsid w:val="00DC2C94"/>
    <w:rsid w:val="00DC44FC"/>
    <w:rsid w:val="00DC5B53"/>
    <w:rsid w:val="00DC655F"/>
    <w:rsid w:val="00DD0B59"/>
    <w:rsid w:val="00DD14AE"/>
    <w:rsid w:val="00DD7EBD"/>
    <w:rsid w:val="00DE1966"/>
    <w:rsid w:val="00DE7D17"/>
    <w:rsid w:val="00DF073B"/>
    <w:rsid w:val="00DF2AD2"/>
    <w:rsid w:val="00DF3D46"/>
    <w:rsid w:val="00DF62B6"/>
    <w:rsid w:val="00E03A4B"/>
    <w:rsid w:val="00E03F80"/>
    <w:rsid w:val="00E07225"/>
    <w:rsid w:val="00E25530"/>
    <w:rsid w:val="00E31B34"/>
    <w:rsid w:val="00E31D45"/>
    <w:rsid w:val="00E33FF4"/>
    <w:rsid w:val="00E428FA"/>
    <w:rsid w:val="00E5409F"/>
    <w:rsid w:val="00E55766"/>
    <w:rsid w:val="00E56993"/>
    <w:rsid w:val="00E630F6"/>
    <w:rsid w:val="00E75D58"/>
    <w:rsid w:val="00E81B58"/>
    <w:rsid w:val="00E828C4"/>
    <w:rsid w:val="00E86F6F"/>
    <w:rsid w:val="00E92945"/>
    <w:rsid w:val="00E97FE2"/>
    <w:rsid w:val="00EA0B56"/>
    <w:rsid w:val="00EA2EA8"/>
    <w:rsid w:val="00EA39A6"/>
    <w:rsid w:val="00EA5E09"/>
    <w:rsid w:val="00EA6463"/>
    <w:rsid w:val="00EA7FB8"/>
    <w:rsid w:val="00EB4328"/>
    <w:rsid w:val="00EB50E5"/>
    <w:rsid w:val="00ED0CFC"/>
    <w:rsid w:val="00EE2481"/>
    <w:rsid w:val="00EE6488"/>
    <w:rsid w:val="00EF0758"/>
    <w:rsid w:val="00EF3138"/>
    <w:rsid w:val="00EF630D"/>
    <w:rsid w:val="00F021FA"/>
    <w:rsid w:val="00F21F15"/>
    <w:rsid w:val="00F23987"/>
    <w:rsid w:val="00F3538A"/>
    <w:rsid w:val="00F41E93"/>
    <w:rsid w:val="00F45A08"/>
    <w:rsid w:val="00F45DCA"/>
    <w:rsid w:val="00F53612"/>
    <w:rsid w:val="00F62E97"/>
    <w:rsid w:val="00F64209"/>
    <w:rsid w:val="00F64A6F"/>
    <w:rsid w:val="00F704F4"/>
    <w:rsid w:val="00F76FD8"/>
    <w:rsid w:val="00F82918"/>
    <w:rsid w:val="00F83857"/>
    <w:rsid w:val="00F93BF5"/>
    <w:rsid w:val="00FA5FB2"/>
    <w:rsid w:val="00FA6F96"/>
    <w:rsid w:val="00FB59A2"/>
    <w:rsid w:val="00FC3438"/>
    <w:rsid w:val="00FC552B"/>
    <w:rsid w:val="00FD0143"/>
    <w:rsid w:val="00FD0D32"/>
    <w:rsid w:val="00FE53B8"/>
    <w:rsid w:val="00FE5A07"/>
    <w:rsid w:val="00FE67B5"/>
    <w:rsid w:val="00FF0485"/>
    <w:rsid w:val="00FF120D"/>
    <w:rsid w:val="00FF1391"/>
    <w:rsid w:val="00FF1CA7"/>
    <w:rsid w:val="1497ABB9"/>
    <w:rsid w:val="17F98A7B"/>
    <w:rsid w:val="20278B6D"/>
    <w:rsid w:val="20C032F7"/>
    <w:rsid w:val="2323EE33"/>
    <w:rsid w:val="268E3B91"/>
    <w:rsid w:val="2890BDB9"/>
    <w:rsid w:val="456AA556"/>
    <w:rsid w:val="4AF4CF08"/>
    <w:rsid w:val="4C7B35D0"/>
    <w:rsid w:val="516CDA1E"/>
    <w:rsid w:val="5D46AF00"/>
    <w:rsid w:val="60E40ABF"/>
    <w:rsid w:val="643F1759"/>
    <w:rsid w:val="66B692C5"/>
    <w:rsid w:val="67385B41"/>
    <w:rsid w:val="6EDA540A"/>
    <w:rsid w:val="7052CBEE"/>
    <w:rsid w:val="76F1807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14BF4B3"/>
  <w15:chartTrackingRefBased/>
  <w15:docId w15:val="{D199995F-67C2-43C2-B1AE-104FFD92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A6145B"/>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Footnote Text Char Char Char Char,Footnote Text Char Char Char Char Char1 Char,Footnote Text Char1,Footnote Text Char1 Char Char,Footnote Text Char1 Char Char Char1 Char,Footnote Text Char1 Char2,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aliases w:val="Header/Footer,Page No,encabezado,h,he,header,header odd,header odd1,header odd2"/>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Char Char Char Char,Footnote Text Char Char Char Char Char1,Footnote Text Char Char Char Char Char1 Char Char1,Footnote Text Char Char Char1,Footnote Text Char1 Char Char Char1,Footnote Text Char1 Char1,Footnote Text Char1 Char2 Char1"/>
    <w:link w:val="FootnoteText"/>
    <w:rsid w:val="00A6145B"/>
  </w:style>
  <w:style w:type="character" w:customStyle="1" w:styleId="HeaderChar">
    <w:name w:val="Header Char"/>
    <w:aliases w:val="Header/Footer Char,Page No Char,encabezado Char,h Char,he Char,header Char,header odd Char,header odd1 Char,header odd2 Char"/>
    <w:link w:val="Header"/>
    <w:rsid w:val="00A6145B"/>
    <w:rPr>
      <w:b/>
      <w:snapToGrid w:val="0"/>
      <w:kern w:val="28"/>
      <w:sz w:val="22"/>
    </w:rPr>
  </w:style>
  <w:style w:type="character" w:customStyle="1" w:styleId="Heading1Char">
    <w:name w:val="Heading 1 Char"/>
    <w:link w:val="Heading1"/>
    <w:rsid w:val="00A6145B"/>
    <w:rPr>
      <w:rFonts w:ascii="Times New Roman Bold" w:hAnsi="Times New Roman Bold"/>
      <w:b/>
      <w:caps/>
      <w:snapToGrid w:val="0"/>
      <w:kern w:val="28"/>
      <w:sz w:val="22"/>
    </w:rPr>
  </w:style>
  <w:style w:type="character" w:customStyle="1" w:styleId="Heading2Char">
    <w:name w:val="Heading 2 Char"/>
    <w:link w:val="Heading2"/>
    <w:rsid w:val="00A6145B"/>
    <w:rPr>
      <w:b/>
      <w:snapToGrid w:val="0"/>
      <w:kern w:val="28"/>
      <w:sz w:val="22"/>
    </w:rPr>
  </w:style>
  <w:style w:type="character" w:customStyle="1" w:styleId="Heading3Char">
    <w:name w:val="Heading 3 Char"/>
    <w:link w:val="Heading3"/>
    <w:rsid w:val="00A6145B"/>
    <w:rPr>
      <w:b/>
      <w:snapToGrid w:val="0"/>
      <w:kern w:val="28"/>
      <w:sz w:val="22"/>
    </w:rPr>
  </w:style>
  <w:style w:type="character" w:customStyle="1" w:styleId="Heading4Char">
    <w:name w:val="Heading 4 Char"/>
    <w:link w:val="Heading4"/>
    <w:rsid w:val="00A6145B"/>
    <w:rPr>
      <w:b/>
      <w:snapToGrid w:val="0"/>
      <w:kern w:val="28"/>
      <w:sz w:val="22"/>
    </w:rPr>
  </w:style>
  <w:style w:type="character" w:customStyle="1" w:styleId="Heading5Char">
    <w:name w:val="Heading 5 Char"/>
    <w:link w:val="Heading5"/>
    <w:rsid w:val="00A6145B"/>
    <w:rPr>
      <w:b/>
      <w:snapToGrid w:val="0"/>
      <w:kern w:val="28"/>
      <w:sz w:val="22"/>
    </w:rPr>
  </w:style>
  <w:style w:type="character" w:customStyle="1" w:styleId="Heading6Char">
    <w:name w:val="Heading 6 Char"/>
    <w:link w:val="Heading6"/>
    <w:rsid w:val="00A6145B"/>
    <w:rPr>
      <w:b/>
      <w:snapToGrid w:val="0"/>
      <w:kern w:val="28"/>
      <w:sz w:val="22"/>
    </w:rPr>
  </w:style>
  <w:style w:type="character" w:customStyle="1" w:styleId="Heading7Char">
    <w:name w:val="Heading 7 Char"/>
    <w:link w:val="Heading7"/>
    <w:rsid w:val="00A6145B"/>
    <w:rPr>
      <w:b/>
      <w:snapToGrid w:val="0"/>
      <w:kern w:val="28"/>
      <w:sz w:val="22"/>
    </w:rPr>
  </w:style>
  <w:style w:type="character" w:customStyle="1" w:styleId="Heading8Char">
    <w:name w:val="Heading 8 Char"/>
    <w:link w:val="Heading8"/>
    <w:rsid w:val="00A6145B"/>
    <w:rPr>
      <w:b/>
      <w:snapToGrid w:val="0"/>
      <w:kern w:val="28"/>
      <w:sz w:val="22"/>
    </w:rPr>
  </w:style>
  <w:style w:type="character" w:customStyle="1" w:styleId="Heading9Char">
    <w:name w:val="Heading 9 Char"/>
    <w:aliases w:val="9 Char,Heading 9.table Char,Titre 9 Char,Topic Char,t Char,table Char"/>
    <w:link w:val="Heading9"/>
    <w:rsid w:val="00A6145B"/>
    <w:rPr>
      <w:b/>
      <w:snapToGrid w:val="0"/>
      <w:kern w:val="28"/>
      <w:sz w:val="22"/>
    </w:rPr>
  </w:style>
  <w:style w:type="paragraph" w:styleId="BalloonText">
    <w:name w:val="Balloon Text"/>
    <w:basedOn w:val="Normal"/>
    <w:link w:val="BalloonTextChar"/>
    <w:unhideWhenUsed/>
    <w:rsid w:val="00A6145B"/>
    <w:rPr>
      <w:rFonts w:ascii="Segoe UI" w:hAnsi="Segoe UI" w:cs="Segoe UI"/>
      <w:sz w:val="18"/>
      <w:szCs w:val="18"/>
    </w:rPr>
  </w:style>
  <w:style w:type="character" w:customStyle="1" w:styleId="BalloonTextChar">
    <w:name w:val="Balloon Text Char"/>
    <w:link w:val="BalloonText"/>
    <w:rsid w:val="00A6145B"/>
    <w:rPr>
      <w:rFonts w:ascii="Segoe UI" w:hAnsi="Segoe UI" w:cs="Segoe UI"/>
      <w:snapToGrid w:val="0"/>
      <w:kern w:val="28"/>
      <w:sz w:val="18"/>
      <w:szCs w:val="18"/>
    </w:rPr>
  </w:style>
  <w:style w:type="character" w:customStyle="1" w:styleId="EndnoteTextChar">
    <w:name w:val="Endnote Text Char"/>
    <w:link w:val="EndnoteText"/>
    <w:semiHidden/>
    <w:rsid w:val="00A6145B"/>
    <w:rPr>
      <w:snapToGrid w:val="0"/>
      <w:kern w:val="28"/>
    </w:rPr>
  </w:style>
  <w:style w:type="character" w:styleId="CommentReference">
    <w:name w:val="annotation reference"/>
    <w:uiPriority w:val="99"/>
    <w:rsid w:val="00A6145B"/>
    <w:rPr>
      <w:sz w:val="16"/>
      <w:szCs w:val="16"/>
    </w:rPr>
  </w:style>
  <w:style w:type="paragraph" w:styleId="CommentText">
    <w:name w:val="annotation text"/>
    <w:basedOn w:val="Normal"/>
    <w:link w:val="CommentTextChar"/>
    <w:uiPriority w:val="99"/>
    <w:rsid w:val="00A6145B"/>
    <w:rPr>
      <w:sz w:val="20"/>
    </w:rPr>
  </w:style>
  <w:style w:type="character" w:customStyle="1" w:styleId="CommentTextChar">
    <w:name w:val="Comment Text Char"/>
    <w:link w:val="CommentText"/>
    <w:uiPriority w:val="99"/>
    <w:rsid w:val="00A6145B"/>
    <w:rPr>
      <w:snapToGrid w:val="0"/>
      <w:kern w:val="28"/>
    </w:rPr>
  </w:style>
  <w:style w:type="paragraph" w:styleId="CommentSubject">
    <w:name w:val="annotation subject"/>
    <w:basedOn w:val="CommentText"/>
    <w:next w:val="CommentText"/>
    <w:link w:val="CommentSubjectChar"/>
    <w:rsid w:val="00A6145B"/>
    <w:rPr>
      <w:b/>
      <w:bCs/>
    </w:rPr>
  </w:style>
  <w:style w:type="character" w:customStyle="1" w:styleId="CommentSubjectChar">
    <w:name w:val="Comment Subject Char"/>
    <w:link w:val="CommentSubject"/>
    <w:rsid w:val="00A6145B"/>
    <w:rPr>
      <w:b/>
      <w:bCs/>
      <w:snapToGrid w:val="0"/>
      <w:kern w:val="28"/>
    </w:rPr>
  </w:style>
  <w:style w:type="paragraph" w:styleId="ListParagraph">
    <w:name w:val="List Paragraph"/>
    <w:basedOn w:val="Normal"/>
    <w:uiPriority w:val="34"/>
    <w:qFormat/>
    <w:rsid w:val="00A6145B"/>
    <w:pPr>
      <w:spacing w:after="200" w:line="276" w:lineRule="auto"/>
      <w:ind w:left="720"/>
      <w:contextualSpacing/>
    </w:pPr>
    <w:rPr>
      <w:snapToGrid/>
    </w:rPr>
  </w:style>
  <w:style w:type="character" w:customStyle="1" w:styleId="ParaNumChar1">
    <w:name w:val="ParaNum Char1"/>
    <w:link w:val="ParaNum"/>
    <w:rsid w:val="00A6145B"/>
    <w:rPr>
      <w:snapToGrid w:val="0"/>
      <w:kern w:val="28"/>
      <w:sz w:val="22"/>
    </w:rPr>
  </w:style>
  <w:style w:type="character" w:customStyle="1" w:styleId="item-value">
    <w:name w:val="item-value"/>
    <w:rsid w:val="00A6145B"/>
  </w:style>
  <w:style w:type="character" w:customStyle="1" w:styleId="UnresolvedMention1">
    <w:name w:val="Unresolved Mention1"/>
    <w:unhideWhenUsed/>
    <w:rsid w:val="00A6145B"/>
    <w:rPr>
      <w:color w:val="605E5C"/>
      <w:shd w:val="clear" w:color="auto" w:fill="E1DFDD"/>
    </w:rPr>
  </w:style>
  <w:style w:type="character" w:styleId="FollowedHyperlink">
    <w:name w:val="FollowedHyperlink"/>
    <w:rsid w:val="00A6145B"/>
    <w:rPr>
      <w:color w:val="954F72"/>
      <w:u w:val="single"/>
    </w:rPr>
  </w:style>
  <w:style w:type="character" w:customStyle="1" w:styleId="Mention1">
    <w:name w:val="Mention1"/>
    <w:uiPriority w:val="99"/>
    <w:unhideWhenUsed/>
    <w:rsid w:val="00A6145B"/>
    <w:rPr>
      <w:color w:val="2B579A"/>
      <w:shd w:val="clear" w:color="auto" w:fill="E1DFDD"/>
    </w:rPr>
  </w:style>
  <w:style w:type="paragraph" w:styleId="Revision">
    <w:name w:val="Revision"/>
    <w:hidden/>
    <w:uiPriority w:val="99"/>
    <w:semiHidden/>
    <w:rsid w:val="00A6145B"/>
    <w:rPr>
      <w:snapToGrid w:val="0"/>
      <w:kern w:val="28"/>
      <w:sz w:val="22"/>
    </w:rPr>
  </w:style>
  <w:style w:type="character" w:styleId="Emphasis">
    <w:name w:val="Emphasis"/>
    <w:qFormat/>
    <w:rsid w:val="00A6145B"/>
    <w:rPr>
      <w:i/>
      <w:iCs/>
    </w:rPr>
  </w:style>
  <w:style w:type="paragraph" w:customStyle="1" w:styleId="Note">
    <w:name w:val="Note"/>
    <w:basedOn w:val="Normal"/>
    <w:link w:val="NoteChar"/>
    <w:rsid w:val="00A6145B"/>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A6145B"/>
    <w:rPr>
      <w:snapToGrid w:val="0"/>
      <w:kern w:val="28"/>
      <w:sz w:val="24"/>
      <w:lang w:val="en-GB"/>
    </w:rPr>
  </w:style>
  <w:style w:type="character" w:customStyle="1" w:styleId="FootnoteTextChar2">
    <w:name w:val="Footnote Text Char2"/>
    <w:aliases w:val="Footnote Text Char Char Char,Footnote Text Char Char Char Char Char,Footnote Text Char Char Char Char Char1 Char Char,Footnote Text Char Char1,Footnote Text Char1 Char,Footnote Text Char1 Char Char Char,Footnote Text Char1 Char2 Char"/>
    <w:rsid w:val="00A6145B"/>
  </w:style>
  <w:style w:type="paragraph" w:customStyle="1" w:styleId="Paranum0">
    <w:name w:val="Paranum"/>
    <w:basedOn w:val="Normal"/>
    <w:rsid w:val="00A6145B"/>
    <w:pPr>
      <w:spacing w:after="220"/>
      <w:ind w:firstLine="720"/>
      <w:jc w:val="both"/>
    </w:pPr>
    <w:rPr>
      <w:noProof/>
    </w:rPr>
  </w:style>
  <w:style w:type="character" w:customStyle="1" w:styleId="bold">
    <w:name w:val="bold"/>
    <w:rsid w:val="00A6145B"/>
  </w:style>
  <w:style w:type="character" w:customStyle="1" w:styleId="ParaNumChar">
    <w:name w:val="ParaNum Char"/>
    <w:locked/>
    <w:rsid w:val="00A6145B"/>
    <w:rPr>
      <w:sz w:val="22"/>
      <w:lang w:val="en-US" w:eastAsia="en-US"/>
    </w:rPr>
  </w:style>
  <w:style w:type="character" w:customStyle="1" w:styleId="searchterm">
    <w:name w:val="searchterm"/>
    <w:rsid w:val="00A6145B"/>
  </w:style>
  <w:style w:type="table" w:styleId="TableGrid">
    <w:name w:val="Table Grid"/>
    <w:basedOn w:val="TableNormal"/>
    <w:uiPriority w:val="59"/>
    <w:rsid w:val="00A6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CharCharCharChar">
    <w:name w:val="Footnote Text Char1 Char Char Char Char"/>
    <w:aliases w:val="Footnote Text Char Char Char Char1 Char Char,Footnote Text Char1 Char Char Char Char Char Char,Footnote Text Char6 Char,f Char"/>
    <w:rsid w:val="00A6145B"/>
    <w:rPr>
      <w:sz w:val="20"/>
    </w:rPr>
  </w:style>
  <w:style w:type="paragraph" w:styleId="NormalWeb">
    <w:name w:val="Normal (Web)"/>
    <w:basedOn w:val="Normal"/>
    <w:uiPriority w:val="99"/>
    <w:rsid w:val="00A6145B"/>
    <w:pPr>
      <w:spacing w:before="100" w:beforeAutospacing="1" w:after="100" w:afterAutospacing="1"/>
    </w:pPr>
    <w:rPr>
      <w:sz w:val="24"/>
      <w:szCs w:val="24"/>
    </w:rPr>
  </w:style>
  <w:style w:type="character" w:customStyle="1" w:styleId="TabletextChar">
    <w:name w:val="Table_text Char"/>
    <w:link w:val="Tabletext"/>
    <w:uiPriority w:val="99"/>
    <w:rsid w:val="00A6145B"/>
    <w:rPr>
      <w:lang w:val="fr-FR"/>
    </w:rPr>
  </w:style>
  <w:style w:type="paragraph" w:customStyle="1" w:styleId="Tabletext">
    <w:name w:val="Table_text"/>
    <w:basedOn w:val="Normal"/>
    <w:link w:val="TabletextChar"/>
    <w:uiPriority w:val="99"/>
    <w:rsid w:val="00A6145B"/>
    <w:pPr>
      <w:overflowPunct w:val="0"/>
      <w:autoSpaceDE w:val="0"/>
      <w:autoSpaceDN w:val="0"/>
      <w:adjustRightInd w:val="0"/>
      <w:spacing w:before="40" w:after="40"/>
      <w:jc w:val="both"/>
      <w:textAlignment w:val="baseline"/>
    </w:pPr>
    <w:rPr>
      <w:snapToGrid/>
      <w:kern w:val="0"/>
      <w:sz w:val="20"/>
      <w:lang w:val="fr-FR"/>
    </w:rPr>
  </w:style>
  <w:style w:type="paragraph" w:customStyle="1" w:styleId="Tablehead">
    <w:name w:val="Table_head"/>
    <w:basedOn w:val="Tabletext"/>
    <w:next w:val="Tabletext"/>
    <w:link w:val="TableheadChar"/>
    <w:uiPriority w:val="99"/>
    <w:rsid w:val="00A6145B"/>
    <w:pPr>
      <w:spacing w:before="80" w:after="80"/>
      <w:jc w:val="center"/>
    </w:pPr>
    <w:rPr>
      <w:rFonts w:ascii="Calibri" w:eastAsia="Calibri" w:hAnsi="Calibri" w:cs="Arial"/>
      <w:b/>
    </w:rPr>
  </w:style>
  <w:style w:type="character" w:customStyle="1" w:styleId="TableheadChar">
    <w:name w:val="Table_head Char"/>
    <w:link w:val="Tablehead"/>
    <w:uiPriority w:val="99"/>
    <w:locked/>
    <w:rsid w:val="00A6145B"/>
    <w:rPr>
      <w:rFonts w:ascii="Calibri" w:eastAsia="Calibri" w:hAnsi="Calibri" w:cs="Arial"/>
      <w:b/>
      <w:lang w:val="fr-FR"/>
    </w:rPr>
  </w:style>
  <w:style w:type="paragraph" w:styleId="BodyText3">
    <w:name w:val="Body Text 3"/>
    <w:basedOn w:val="Normal"/>
    <w:link w:val="BodyText3Char"/>
    <w:rsid w:val="00A6145B"/>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snapToGrid/>
      <w:kern w:val="0"/>
      <w:sz w:val="17"/>
      <w:lang w:val="fr-FR"/>
    </w:rPr>
  </w:style>
  <w:style w:type="character" w:customStyle="1" w:styleId="BodyText3Char">
    <w:name w:val="Body Text 3 Char"/>
    <w:link w:val="BodyText3"/>
    <w:rsid w:val="00A6145B"/>
    <w:rPr>
      <w:rFonts w:ascii="Arial Narrow" w:hAnsi="Arial Narrow"/>
      <w:sz w:val="17"/>
      <w:lang w:val="fr-FR"/>
    </w:rPr>
  </w:style>
  <w:style w:type="character" w:customStyle="1" w:styleId="UnresolvedMention11">
    <w:name w:val="Unresolved Mention11"/>
    <w:uiPriority w:val="99"/>
    <w:semiHidden/>
    <w:unhideWhenUsed/>
    <w:rsid w:val="00A6145B"/>
    <w:rPr>
      <w:color w:val="605E5C"/>
      <w:shd w:val="clear" w:color="auto" w:fill="E1DFDD"/>
    </w:rPr>
  </w:style>
  <w:style w:type="paragraph" w:styleId="TOCHeading">
    <w:name w:val="TOC Heading"/>
    <w:basedOn w:val="Heading1"/>
    <w:next w:val="Normal"/>
    <w:uiPriority w:val="39"/>
    <w:qFormat/>
    <w:rsid w:val="00A6145B"/>
    <w:pPr>
      <w:keepLines/>
      <w:numPr>
        <w:numId w:val="0"/>
      </w:numPr>
      <w:tabs>
        <w:tab w:val="left" w:pos="720"/>
      </w:tabs>
      <w:suppressAutoHyphens w:val="0"/>
      <w:spacing w:before="240" w:after="0"/>
      <w:outlineLvl w:val="9"/>
    </w:pPr>
    <w:rPr>
      <w:rFonts w:ascii="Calibri Light" w:hAnsi="Calibri Light"/>
      <w:b w:val="0"/>
      <w:caps w:val="0"/>
      <w:snapToGrid/>
      <w:color w:val="2F5496"/>
      <w:kern w:val="0"/>
      <w:sz w:val="32"/>
      <w:szCs w:val="32"/>
    </w:rPr>
  </w:style>
  <w:style w:type="paragraph" w:customStyle="1" w:styleId="paragraph">
    <w:name w:val="paragraph"/>
    <w:basedOn w:val="Normal"/>
    <w:rsid w:val="00A6145B"/>
    <w:pPr>
      <w:spacing w:before="100" w:beforeAutospacing="1" w:after="100" w:afterAutospacing="1"/>
    </w:pPr>
    <w:rPr>
      <w:snapToGrid/>
      <w:kern w:val="0"/>
      <w:sz w:val="24"/>
      <w:szCs w:val="24"/>
    </w:rPr>
  </w:style>
  <w:style w:type="character" w:customStyle="1" w:styleId="normaltextrun">
    <w:name w:val="normaltextrun"/>
    <w:basedOn w:val="DefaultParagraphFont"/>
    <w:rsid w:val="00A6145B"/>
  </w:style>
  <w:style w:type="character" w:customStyle="1" w:styleId="eop">
    <w:name w:val="eop"/>
    <w:basedOn w:val="DefaultParagraphFont"/>
    <w:rsid w:val="00A6145B"/>
  </w:style>
  <w:style w:type="character" w:customStyle="1" w:styleId="tabchar">
    <w:name w:val="tabchar"/>
    <w:basedOn w:val="DefaultParagraphFont"/>
    <w:rsid w:val="00A6145B"/>
  </w:style>
  <w:style w:type="character" w:styleId="UnresolvedMention">
    <w:name w:val="Unresolved Mention"/>
    <w:rsid w:val="00A6145B"/>
    <w:rPr>
      <w:color w:val="605E5C"/>
      <w:shd w:val="clear" w:color="auto" w:fill="E1DFDD"/>
    </w:rPr>
  </w:style>
  <w:style w:type="paragraph" w:styleId="BodyText">
    <w:name w:val="Body Text"/>
    <w:basedOn w:val="Normal"/>
    <w:link w:val="BodyTextChar"/>
    <w:rsid w:val="00A6145B"/>
    <w:pPr>
      <w:spacing w:after="120"/>
    </w:pPr>
  </w:style>
  <w:style w:type="character" w:customStyle="1" w:styleId="BodyTextChar">
    <w:name w:val="Body Text Char"/>
    <w:link w:val="BodyText"/>
    <w:rsid w:val="00A6145B"/>
    <w:rPr>
      <w:snapToGrid w:val="0"/>
      <w:kern w:val="28"/>
      <w:sz w:val="22"/>
    </w:rPr>
  </w:style>
  <w:style w:type="character" w:customStyle="1" w:styleId="ng-binding">
    <w:name w:val="ng-binding"/>
    <w:basedOn w:val="DefaultParagraphFont"/>
    <w:rsid w:val="00A6145B"/>
  </w:style>
  <w:style w:type="character" w:customStyle="1" w:styleId="ng-scope">
    <w:name w:val="ng-scope"/>
    <w:basedOn w:val="DefaultParagraphFont"/>
    <w:rsid w:val="00A6145B"/>
  </w:style>
  <w:style w:type="paragraph" w:customStyle="1" w:styleId="indent-1">
    <w:name w:val="indent-1"/>
    <w:basedOn w:val="Normal"/>
    <w:rsid w:val="00A6145B"/>
    <w:pPr>
      <w:spacing w:before="100" w:beforeAutospacing="1" w:after="100" w:afterAutospacing="1"/>
    </w:pPr>
    <w:rPr>
      <w:snapToGrid/>
      <w:kern w:val="0"/>
      <w:sz w:val="24"/>
      <w:szCs w:val="24"/>
    </w:rPr>
  </w:style>
  <w:style w:type="character" w:customStyle="1" w:styleId="paragraph-hierarchy">
    <w:name w:val="paragraph-hierarchy"/>
    <w:basedOn w:val="DefaultParagraphFont"/>
    <w:rsid w:val="00A6145B"/>
  </w:style>
  <w:style w:type="character" w:customStyle="1" w:styleId="paren">
    <w:name w:val="paren"/>
    <w:basedOn w:val="DefaultParagraphFont"/>
    <w:rsid w:val="00A6145B"/>
  </w:style>
  <w:style w:type="paragraph" w:customStyle="1" w:styleId="indent-2">
    <w:name w:val="indent-2"/>
    <w:basedOn w:val="Normal"/>
    <w:rsid w:val="00A6145B"/>
    <w:pPr>
      <w:spacing w:before="100" w:beforeAutospacing="1" w:after="100" w:afterAutospacing="1"/>
    </w:pPr>
    <w:rPr>
      <w:snapToGrid/>
      <w:kern w:val="0"/>
      <w:sz w:val="24"/>
      <w:szCs w:val="24"/>
    </w:rPr>
  </w:style>
  <w:style w:type="paragraph" w:customStyle="1" w:styleId="citation">
    <w:name w:val="citation"/>
    <w:basedOn w:val="Normal"/>
    <w:rsid w:val="00A6145B"/>
    <w:pPr>
      <w:spacing w:before="100" w:beforeAutospacing="1" w:after="100" w:afterAutospacing="1"/>
    </w:pPr>
    <w:rPr>
      <w:snapToGrid/>
      <w:kern w:val="0"/>
      <w:sz w:val="24"/>
      <w:szCs w:val="24"/>
    </w:rPr>
  </w:style>
  <w:style w:type="character" w:styleId="Mention">
    <w:name w:val="Mention"/>
    <w:rsid w:val="00A6145B"/>
    <w:rPr>
      <w:color w:val="2B579A"/>
      <w:shd w:val="clear" w:color="auto" w:fill="E1DFDD"/>
    </w:rPr>
  </w:style>
  <w:style w:type="table" w:customStyle="1" w:styleId="TableGrid1">
    <w:name w:val="Table Grid1"/>
    <w:basedOn w:val="TableNormal"/>
    <w:next w:val="TableGrid"/>
    <w:uiPriority w:val="39"/>
    <w:rsid w:val="00A6145B"/>
    <w:rPr>
      <w:rFonts w:ascii="Calibri" w:eastAsia="Calibri" w:hAnsi="Calibr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1">
    <w:name w:val="documentbody1"/>
    <w:rsid w:val="00A6145B"/>
    <w:rPr>
      <w:rFonts w:ascii="Verdana" w:hAnsi="Verdana" w:hint="default"/>
      <w:sz w:val="19"/>
      <w:szCs w:val="19"/>
      <w:shd w:val="clear" w:color="auto" w:fill="FFFFFF"/>
    </w:rPr>
  </w:style>
  <w:style w:type="character" w:styleId="Strong">
    <w:name w:val="Strong"/>
    <w:uiPriority w:val="22"/>
    <w:qFormat/>
    <w:rsid w:val="00A6145B"/>
    <w:rPr>
      <w:b/>
      <w:bCs/>
    </w:rPr>
  </w:style>
  <w:style w:type="character" w:customStyle="1" w:styleId="ParaNumCharChar1">
    <w:name w:val="ParaNum Char Char1"/>
    <w:locked/>
    <w:rsid w:val="00A6145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