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155938" w14:paraId="132FE170" w14:textId="77777777">
      <w:pPr>
        <w:jc w:val="center"/>
        <w:rPr>
          <w:b/>
          <w:snapToGrid/>
        </w:rPr>
      </w:pPr>
      <w:r>
        <w:rPr>
          <w:b/>
        </w:rPr>
        <w:t>Before the</w:t>
      </w:r>
    </w:p>
    <w:p w:rsidR="00155938" w14:paraId="2EE83844" w14:textId="77777777">
      <w:pPr>
        <w:jc w:val="center"/>
        <w:rPr>
          <w:b/>
        </w:rPr>
      </w:pPr>
      <w:r>
        <w:rPr>
          <w:b/>
        </w:rPr>
        <w:t>Federal Communications Commission</w:t>
      </w:r>
    </w:p>
    <w:p w:rsidR="00155938" w14:paraId="1DC3537C" w14:textId="7777777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155938" w14:paraId="69667A29" w14:textId="77777777"/>
    <w:p w:rsidR="00155938" w14:paraId="1B6966FD" w14:textId="77777777"/>
    <w:tbl>
      <w:tblPr>
        <w:tblW w:w="0" w:type="auto"/>
        <w:tblLayout w:type="fixed"/>
        <w:tblLook w:val="04A0"/>
      </w:tblPr>
      <w:tblGrid>
        <w:gridCol w:w="4698"/>
        <w:gridCol w:w="720"/>
        <w:gridCol w:w="4230"/>
      </w:tblGrid>
      <w:tr w14:paraId="288E97E7" w14:textId="77777777">
        <w:tblPrEx>
          <w:tblW w:w="0" w:type="auto"/>
          <w:tblLayout w:type="fixed"/>
          <w:tblLook w:val="04A0"/>
        </w:tblPrEx>
        <w:tc>
          <w:tcPr>
            <w:tcW w:w="4698" w:type="dxa"/>
          </w:tcPr>
          <w:p w:rsidR="00155938" w14:paraId="35A0C78F" w14:textId="77777777">
            <w:pPr>
              <w:ind w:right="-18"/>
            </w:pPr>
            <w:r>
              <w:t>In the Matter of</w:t>
            </w:r>
          </w:p>
          <w:p w:rsidR="00155938" w14:paraId="74149602" w14:textId="77777777">
            <w:pPr>
              <w:ind w:right="-18"/>
            </w:pPr>
          </w:p>
          <w:p w:rsidR="00155938" w14:paraId="45F31910" w14:textId="77777777">
            <w:pPr>
              <w:ind w:right="-18"/>
            </w:pPr>
            <w:r>
              <w:t>Amendment of Parts 2 and 25 of the Commission’s Rules to Enable GSO Fixed-Satellite Service (Space-to-Earth) Operations in the 17.3-17.8</w:t>
            </w:r>
            <w:r w:rsidR="00F93E2B">
              <w:t xml:space="preserve"> GHz Band, to Modernize Certain Rules Applicable to 17/24 GHz BSS Space Stations</w:t>
            </w:r>
            <w:r w:rsidR="00C26795">
              <w:t>, and to Establish Off-Axis Uplink Power Limits for Extended Ka-Band FSS Operations</w:t>
            </w:r>
          </w:p>
          <w:p w:rsidR="00C26795" w14:paraId="4176E428" w14:textId="77777777">
            <w:pPr>
              <w:ind w:right="-18"/>
            </w:pPr>
          </w:p>
          <w:p w:rsidR="00C26795" w14:paraId="54CBBB7E" w14:textId="77486DB3">
            <w:pPr>
              <w:ind w:right="-18"/>
            </w:pPr>
            <w:r>
              <w:t>Amendment of Parts 2 and 25 of the Commission’s Rules to Enable NGSO Fixed-Satellite Service (Space-to-Earth) Operations in the 17.3-17.8 GHz Band</w:t>
            </w:r>
          </w:p>
        </w:tc>
        <w:tc>
          <w:tcPr>
            <w:tcW w:w="720" w:type="dxa"/>
          </w:tcPr>
          <w:p w:rsidR="00155938" w:rsidRPr="00357774" w14:paraId="26E4B8DA" w14:textId="77777777">
            <w:pPr>
              <w:rPr>
                <w:bCs/>
              </w:rPr>
            </w:pPr>
            <w:r w:rsidRPr="00357774">
              <w:rPr>
                <w:bCs/>
              </w:rPr>
              <w:t>)</w:t>
            </w:r>
          </w:p>
          <w:p w:rsidR="00155938" w:rsidRPr="00357774" w14:paraId="2F944223" w14:textId="77777777">
            <w:pPr>
              <w:rPr>
                <w:bCs/>
              </w:rPr>
            </w:pPr>
            <w:r w:rsidRPr="00357774">
              <w:rPr>
                <w:bCs/>
              </w:rPr>
              <w:t>)</w:t>
            </w:r>
          </w:p>
          <w:p w:rsidR="00155938" w:rsidRPr="00357774" w14:paraId="65BA025E" w14:textId="77777777">
            <w:pPr>
              <w:rPr>
                <w:bCs/>
              </w:rPr>
            </w:pPr>
            <w:r w:rsidRPr="00357774">
              <w:rPr>
                <w:bCs/>
              </w:rPr>
              <w:t>)</w:t>
            </w:r>
          </w:p>
          <w:p w:rsidR="00155938" w:rsidRPr="00357774" w14:paraId="2BF9BF32" w14:textId="77777777">
            <w:pPr>
              <w:rPr>
                <w:bCs/>
              </w:rPr>
            </w:pPr>
            <w:r w:rsidRPr="00357774">
              <w:rPr>
                <w:bCs/>
              </w:rPr>
              <w:t>)</w:t>
            </w:r>
          </w:p>
          <w:p w:rsidR="00155938" w:rsidRPr="00357774" w14:paraId="27289BFC" w14:textId="77777777">
            <w:pPr>
              <w:rPr>
                <w:bCs/>
              </w:rPr>
            </w:pPr>
            <w:r w:rsidRPr="00357774">
              <w:rPr>
                <w:bCs/>
              </w:rPr>
              <w:t>)</w:t>
            </w:r>
          </w:p>
          <w:p w:rsidR="00155938" w:rsidRPr="00357774" w14:paraId="5BF4DC93" w14:textId="77777777">
            <w:pPr>
              <w:rPr>
                <w:bCs/>
              </w:rPr>
            </w:pPr>
            <w:r w:rsidRPr="00357774">
              <w:rPr>
                <w:bCs/>
              </w:rPr>
              <w:t>)</w:t>
            </w:r>
          </w:p>
          <w:p w:rsidR="00155938" w:rsidRPr="00357774" w14:paraId="5BBEDEEC" w14:textId="77777777">
            <w:pPr>
              <w:rPr>
                <w:bCs/>
              </w:rPr>
            </w:pPr>
            <w:r w:rsidRPr="00357774">
              <w:rPr>
                <w:bCs/>
              </w:rPr>
              <w:t>)</w:t>
            </w:r>
          </w:p>
          <w:p w:rsidR="00155938" w:rsidRPr="00357774" w14:paraId="317C1272" w14:textId="77777777">
            <w:pPr>
              <w:rPr>
                <w:bCs/>
              </w:rPr>
            </w:pPr>
            <w:r w:rsidRPr="00357774">
              <w:rPr>
                <w:bCs/>
              </w:rPr>
              <w:t>)</w:t>
            </w:r>
          </w:p>
          <w:p w:rsidR="00F93E2B" w:rsidRPr="00357774" w14:paraId="134859EE" w14:textId="77777777">
            <w:pPr>
              <w:rPr>
                <w:bCs/>
              </w:rPr>
            </w:pPr>
            <w:r w:rsidRPr="00357774">
              <w:rPr>
                <w:bCs/>
              </w:rPr>
              <w:t>)</w:t>
            </w:r>
          </w:p>
          <w:p w:rsidR="00F93E2B" w:rsidRPr="00357774" w14:paraId="0E7E4A6D" w14:textId="77777777">
            <w:pPr>
              <w:rPr>
                <w:bCs/>
              </w:rPr>
            </w:pPr>
            <w:r w:rsidRPr="00357774">
              <w:rPr>
                <w:bCs/>
              </w:rPr>
              <w:t>)</w:t>
            </w:r>
          </w:p>
          <w:p w:rsidR="00F93E2B" w:rsidRPr="00357774" w14:paraId="0FCA544D" w14:textId="77777777">
            <w:pPr>
              <w:rPr>
                <w:bCs/>
              </w:rPr>
            </w:pPr>
            <w:r w:rsidRPr="00357774">
              <w:rPr>
                <w:bCs/>
              </w:rPr>
              <w:t>)</w:t>
            </w:r>
          </w:p>
          <w:p w:rsidR="00F93E2B" w:rsidRPr="00357774" w14:paraId="00305AA1" w14:textId="77777777">
            <w:pPr>
              <w:rPr>
                <w:bCs/>
              </w:rPr>
            </w:pPr>
            <w:r w:rsidRPr="00357774">
              <w:rPr>
                <w:bCs/>
              </w:rPr>
              <w:t>)</w:t>
            </w:r>
          </w:p>
          <w:p w:rsidR="00F93E2B" w:rsidRPr="00357774" w14:paraId="512B13BD" w14:textId="77777777">
            <w:pPr>
              <w:rPr>
                <w:bCs/>
              </w:rPr>
            </w:pPr>
            <w:r w:rsidRPr="00357774">
              <w:rPr>
                <w:bCs/>
              </w:rPr>
              <w:t>)</w:t>
            </w:r>
          </w:p>
          <w:p w:rsidR="00C26795" w14:paraId="447AF6AD" w14:textId="7CA10D6D">
            <w:pPr>
              <w:rPr>
                <w:b/>
              </w:rPr>
            </w:pPr>
            <w:r w:rsidRPr="00357774">
              <w:rPr>
                <w:bCs/>
              </w:rPr>
              <w:t>)</w:t>
            </w:r>
          </w:p>
        </w:tc>
        <w:tc>
          <w:tcPr>
            <w:tcW w:w="4230" w:type="dxa"/>
          </w:tcPr>
          <w:p w:rsidR="00155938" w:rsidRPr="00357774" w14:paraId="3C5616C0" w14:textId="77777777">
            <w:pPr>
              <w:rPr>
                <w:bCs/>
              </w:rPr>
            </w:pPr>
          </w:p>
          <w:p w:rsidR="00155938" w:rsidRPr="00357774" w14:paraId="4DB39DAA" w14:textId="77777777">
            <w:pPr>
              <w:rPr>
                <w:bCs/>
              </w:rPr>
            </w:pPr>
          </w:p>
          <w:p w:rsidR="00155938" w:rsidRPr="00357774" w14:paraId="7EB45B65" w14:textId="77777777">
            <w:pPr>
              <w:rPr>
                <w:bCs/>
              </w:rPr>
            </w:pPr>
          </w:p>
          <w:p w:rsidR="00155938" w:rsidRPr="00357774" w14:paraId="43EADB4E" w14:textId="77777777">
            <w:pPr>
              <w:rPr>
                <w:bCs/>
              </w:rPr>
            </w:pPr>
            <w:r w:rsidRPr="00357774">
              <w:rPr>
                <w:bCs/>
              </w:rPr>
              <w:t>IB Docket No. 20-330</w:t>
            </w:r>
          </w:p>
          <w:p w:rsidR="00C26795" w:rsidRPr="00357774" w14:paraId="340FFF33" w14:textId="77777777">
            <w:pPr>
              <w:rPr>
                <w:bCs/>
              </w:rPr>
            </w:pPr>
          </w:p>
          <w:p w:rsidR="00C26795" w:rsidRPr="00357774" w14:paraId="6DF5FA9A" w14:textId="77777777">
            <w:pPr>
              <w:rPr>
                <w:bCs/>
              </w:rPr>
            </w:pPr>
          </w:p>
          <w:p w:rsidR="00C26795" w:rsidRPr="00357774" w14:paraId="44FC1274" w14:textId="77777777">
            <w:pPr>
              <w:rPr>
                <w:bCs/>
              </w:rPr>
            </w:pPr>
          </w:p>
          <w:p w:rsidR="00C26795" w:rsidRPr="00357774" w14:paraId="255486A4" w14:textId="77777777">
            <w:pPr>
              <w:rPr>
                <w:bCs/>
              </w:rPr>
            </w:pPr>
          </w:p>
          <w:p w:rsidR="00C26795" w:rsidRPr="00357774" w14:paraId="30AB490B" w14:textId="77777777">
            <w:pPr>
              <w:rPr>
                <w:bCs/>
              </w:rPr>
            </w:pPr>
          </w:p>
          <w:p w:rsidR="00C26795" w:rsidRPr="00357774" w14:paraId="37228922" w14:textId="77777777">
            <w:pPr>
              <w:rPr>
                <w:bCs/>
              </w:rPr>
            </w:pPr>
          </w:p>
          <w:p w:rsidR="00C26795" w:rsidRPr="00357774" w14:paraId="19159801" w14:textId="77777777">
            <w:pPr>
              <w:rPr>
                <w:bCs/>
              </w:rPr>
            </w:pPr>
          </w:p>
          <w:p w:rsidR="00C26795" w14:paraId="68232D52" w14:textId="1662CC7F">
            <w:pPr>
              <w:rPr>
                <w:b/>
              </w:rPr>
            </w:pPr>
            <w:r w:rsidRPr="00357774">
              <w:rPr>
                <w:bCs/>
              </w:rPr>
              <w:t>IB Docket No. 22-273</w:t>
            </w:r>
          </w:p>
        </w:tc>
      </w:tr>
    </w:tbl>
    <w:p w:rsidR="00155938" w14:paraId="01664F17" w14:textId="77777777"/>
    <w:p w:rsidR="00155938" w:rsidP="00631919" w14:paraId="4CF4D47C" w14:textId="3BE6341C">
      <w:pPr>
        <w:spacing w:after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155938" w:rsidP="00631919" w14:paraId="7A1F1AEA" w14:textId="0CE4E6BD">
      <w:pPr>
        <w:spacing w:after="120"/>
        <w:jc w:val="right"/>
        <w:rPr>
          <w:b/>
        </w:rPr>
      </w:pPr>
      <w:r>
        <w:rPr>
          <w:b/>
        </w:rPr>
        <w:t xml:space="preserve">Released:  </w:t>
      </w:r>
      <w:r w:rsidR="00F93E2B">
        <w:rPr>
          <w:b/>
        </w:rPr>
        <w:t>April</w:t>
      </w:r>
      <w:r w:rsidR="0024473B">
        <w:rPr>
          <w:b/>
        </w:rPr>
        <w:t xml:space="preserve"> </w:t>
      </w:r>
      <w:r w:rsidR="003966F3">
        <w:rPr>
          <w:b/>
        </w:rPr>
        <w:t>10</w:t>
      </w:r>
      <w:r w:rsidR="0024473B">
        <w:rPr>
          <w:b/>
        </w:rPr>
        <w:t>, 2024</w:t>
      </w:r>
    </w:p>
    <w:p w:rsidR="00155938" w:rsidP="00631919" w14:paraId="5C3B8589" w14:textId="1DFAB46E">
      <w:pPr>
        <w:tabs>
          <w:tab w:val="left" w:pos="5760"/>
        </w:tabs>
        <w:spacing w:after="120"/>
      </w:pPr>
      <w:r>
        <w:t xml:space="preserve">By the </w:t>
      </w:r>
      <w:r w:rsidR="00C26795">
        <w:rPr>
          <w:spacing w:val="-2"/>
        </w:rPr>
        <w:t>Chief, Space Bureau and the Managing Director</w:t>
      </w:r>
      <w:r>
        <w:rPr>
          <w:spacing w:val="-2"/>
        </w:rPr>
        <w:t>:</w:t>
      </w:r>
    </w:p>
    <w:p w:rsidR="00155938" w:rsidRPr="00626A07" w:rsidP="00631919" w14:paraId="0445DD70" w14:textId="3560C43E">
      <w:pPr>
        <w:pStyle w:val="ParaNum"/>
        <w:numPr>
          <w:ilvl w:val="0"/>
          <w:numId w:val="0"/>
        </w:numPr>
        <w:ind w:firstLine="720"/>
      </w:pPr>
      <w:r>
        <w:t xml:space="preserve">On </w:t>
      </w:r>
      <w:r w:rsidR="00533651">
        <w:t>March 19, 2024</w:t>
      </w:r>
      <w:r>
        <w:t xml:space="preserve">, the </w:t>
      </w:r>
      <w:r w:rsidR="00533651">
        <w:t xml:space="preserve">Space Bureau and the </w:t>
      </w:r>
      <w:r w:rsidR="00B45422">
        <w:t xml:space="preserve">Office of </w:t>
      </w:r>
      <w:r w:rsidR="00533651">
        <w:t>Managing Director</w:t>
      </w:r>
      <w:r>
        <w:t xml:space="preserve"> released a</w:t>
      </w:r>
      <w:r w:rsidR="00897B76">
        <w:t xml:space="preserve">n </w:t>
      </w:r>
      <w:r w:rsidRPr="00626A07">
        <w:rPr>
          <w:i/>
          <w:iCs/>
        </w:rPr>
        <w:t>Order</w:t>
      </w:r>
      <w:r>
        <w:rPr>
          <w:i/>
        </w:rPr>
        <w:t xml:space="preserve">, </w:t>
      </w:r>
      <w:r>
        <w:t>DA</w:t>
      </w:r>
      <w:r w:rsidR="00897B76">
        <w:t xml:space="preserve"> 24-271</w:t>
      </w:r>
      <w:r>
        <w:t>, in the above captioned proceeding.  This Erratum</w:t>
      </w:r>
      <w:r w:rsidR="00626A07">
        <w:t xml:space="preserve"> amends the </w:t>
      </w:r>
      <w:r w:rsidR="00626A07">
        <w:rPr>
          <w:i/>
          <w:iCs/>
        </w:rPr>
        <w:t>Order</w:t>
      </w:r>
      <w:r w:rsidR="00626A07">
        <w:t xml:space="preserve"> </w:t>
      </w:r>
      <w:r w:rsidR="00415EF9">
        <w:t xml:space="preserve">and the Appendix of the </w:t>
      </w:r>
      <w:r w:rsidRPr="00631919" w:rsidR="00415EF9">
        <w:rPr>
          <w:i/>
          <w:iCs/>
        </w:rPr>
        <w:t>Order</w:t>
      </w:r>
      <w:r w:rsidR="00415EF9">
        <w:t xml:space="preserve"> </w:t>
      </w:r>
      <w:r w:rsidR="00626A07">
        <w:t>as</w:t>
      </w:r>
      <w:r w:rsidR="001352F6">
        <w:t xml:space="preserve"> indicated below:</w:t>
      </w:r>
    </w:p>
    <w:p w:rsidR="00B763F3" w:rsidP="00631919" w14:paraId="6D49EE69" w14:textId="1C4BB271">
      <w:pPr>
        <w:pStyle w:val="ParaNum"/>
        <w:numPr>
          <w:ilvl w:val="0"/>
          <w:numId w:val="9"/>
        </w:numPr>
        <w:ind w:left="0" w:firstLine="360"/>
      </w:pPr>
      <w:r>
        <w:t>F</w:t>
      </w:r>
      <w:r w:rsidR="00186C21">
        <w:t>ootnote 6</w:t>
      </w:r>
      <w:r>
        <w:t xml:space="preserve"> is corrected to read as follow</w:t>
      </w:r>
      <w:r w:rsidR="00101007">
        <w:t>s</w:t>
      </w:r>
      <w:r>
        <w:t>:</w:t>
      </w:r>
    </w:p>
    <w:p w:rsidR="0012586A" w:rsidP="00C62959" w14:paraId="080D58E3" w14:textId="6F35FD16">
      <w:pPr>
        <w:pStyle w:val="ParaNum"/>
        <w:numPr>
          <w:ilvl w:val="0"/>
          <w:numId w:val="0"/>
        </w:numPr>
        <w:tabs>
          <w:tab w:val="left" w:pos="720"/>
        </w:tabs>
        <w:ind w:left="994"/>
      </w:pPr>
      <w:r>
        <w:t>“</w:t>
      </w:r>
      <w:r w:rsidR="004C42EF">
        <w:rPr>
          <w:vertAlign w:val="superscript"/>
        </w:rPr>
        <w:t>6</w:t>
      </w:r>
      <w:r w:rsidR="004C42EF">
        <w:t xml:space="preserve"> Although corrections to the publishing conventions were </w:t>
      </w:r>
      <w:r w:rsidR="00DE6478">
        <w:t xml:space="preserve">already </w:t>
      </w:r>
      <w:r w:rsidR="004C42EF">
        <w:t xml:space="preserve">published in the Federal Register, </w:t>
      </w:r>
      <w:r w:rsidR="00DE6478">
        <w:t xml:space="preserve">all of </w:t>
      </w:r>
      <w:r w:rsidR="004C42EF">
        <w:t xml:space="preserve">the corrections </w:t>
      </w:r>
      <w:r w:rsidR="00AF1744">
        <w:t xml:space="preserve">will be </w:t>
      </w:r>
      <w:r w:rsidR="004C42EF">
        <w:t>effective thirty (30) days after</w:t>
      </w:r>
      <w:r w:rsidR="002E0D42">
        <w:t xml:space="preserve"> the date of publication of this Order in the Federal</w:t>
      </w:r>
      <w:r w:rsidR="00D64E3D">
        <w:t xml:space="preserve"> Register, which will occur once the Commission receives approval from the Office of Management and Budget for the modified information collections under the Paperwork Reduction Act.</w:t>
      </w:r>
      <w:r w:rsidR="007E55C9">
        <w:t>”</w:t>
      </w:r>
    </w:p>
    <w:p w:rsidR="00FC359E" w:rsidP="00631919" w14:paraId="15DC237A" w14:textId="101F4207">
      <w:pPr>
        <w:pStyle w:val="ParaNum"/>
        <w:keepNext/>
        <w:widowControl/>
        <w:numPr>
          <w:ilvl w:val="0"/>
          <w:numId w:val="9"/>
        </w:numPr>
        <w:ind w:left="0" w:firstLine="360"/>
      </w:pPr>
      <w:r>
        <w:t xml:space="preserve">In the Appendix, </w:t>
      </w:r>
      <w:r w:rsidR="001C103E">
        <w:t xml:space="preserve">under </w:t>
      </w:r>
      <w:r>
        <w:t>p</w:t>
      </w:r>
      <w:r w:rsidR="007E46C4">
        <w:t>aragraph 6</w:t>
      </w:r>
      <w:r w:rsidR="001C103E">
        <w:t xml:space="preserve">, </w:t>
      </w:r>
      <w:r w:rsidR="00477796">
        <w:t xml:space="preserve">the text </w:t>
      </w:r>
      <w:r w:rsidR="001C103E">
        <w:t>“</w:t>
      </w:r>
      <w:r w:rsidRPr="001C103E" w:rsidR="001C103E">
        <w:t>g. Delete paragraph (b)(7)</w:t>
      </w:r>
      <w:r w:rsidR="001C103E">
        <w:t>”</w:t>
      </w:r>
      <w:r w:rsidR="00155938">
        <w:t xml:space="preserve"> is deleted</w:t>
      </w:r>
      <w:r w:rsidR="007E46C4">
        <w:t xml:space="preserve">. </w:t>
      </w:r>
    </w:p>
    <w:p w:rsidR="00FC359E" w:rsidP="00631919" w14:paraId="5C2EE457" w14:textId="77777777">
      <w:pPr>
        <w:pStyle w:val="ParaNum"/>
        <w:keepNext/>
        <w:widowControl/>
        <w:numPr>
          <w:ilvl w:val="0"/>
          <w:numId w:val="0"/>
        </w:numPr>
        <w:tabs>
          <w:tab w:val="left" w:pos="720"/>
        </w:tabs>
        <w:spacing w:after="0"/>
      </w:pPr>
    </w:p>
    <w:p w:rsidR="00155938" w:rsidP="00631919" w14:paraId="074CD14E" w14:textId="77777777">
      <w:pPr>
        <w:pStyle w:val="Heading1"/>
        <w:widowControl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155938" w:rsidP="00643A9F" w14:paraId="290658FB" w14:textId="77777777">
      <w:pPr>
        <w:pStyle w:val="Heading1"/>
        <w:widowControl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 w:val="0"/>
          <w:caps w:val="0"/>
          <w:spacing w:val="-2"/>
        </w:rPr>
      </w:pPr>
    </w:p>
    <w:p w:rsidR="00155938" w:rsidP="00643A9F" w14:paraId="73905F23" w14:textId="77777777">
      <w:pPr>
        <w:pStyle w:val="ParaNum"/>
        <w:keepNext/>
        <w:widowControl/>
        <w:numPr>
          <w:ilvl w:val="0"/>
          <w:numId w:val="0"/>
        </w:numPr>
        <w:tabs>
          <w:tab w:val="left" w:pos="720"/>
        </w:tabs>
        <w:spacing w:after="0"/>
      </w:pPr>
    </w:p>
    <w:p w:rsidR="00155938" w:rsidP="00643A9F" w14:paraId="049EA646" w14:textId="77777777">
      <w:pPr>
        <w:pStyle w:val="ParaNum"/>
        <w:keepNext/>
        <w:widowControl/>
        <w:numPr>
          <w:ilvl w:val="0"/>
          <w:numId w:val="0"/>
        </w:numPr>
        <w:tabs>
          <w:tab w:val="left" w:pos="720"/>
        </w:tabs>
        <w:spacing w:after="0"/>
      </w:pPr>
    </w:p>
    <w:p w:rsidR="00155938" w:rsidP="00643A9F" w14:paraId="555D75EA" w14:textId="77777777">
      <w:pPr>
        <w:pStyle w:val="ParaNum"/>
        <w:keepNext/>
        <w:widowControl/>
        <w:numPr>
          <w:ilvl w:val="0"/>
          <w:numId w:val="0"/>
        </w:numPr>
        <w:tabs>
          <w:tab w:val="left" w:pos="720"/>
        </w:tabs>
        <w:spacing w:after="0"/>
      </w:pPr>
    </w:p>
    <w:p w:rsidR="000D7AA7" w:rsidRPr="00465AA8" w:rsidP="00643A9F" w14:paraId="0EBD1313" w14:textId="77777777">
      <w:pPr>
        <w:pStyle w:val="Heading1"/>
        <w:widowControl/>
        <w:numPr>
          <w:ilvl w:val="0"/>
          <w:numId w:val="0"/>
        </w:numPr>
        <w:spacing w:after="0" w:line="259" w:lineRule="auto"/>
        <w:rPr>
          <w:rFonts w:ascii="Times New Roman" w:hAnsi="Times New Roman"/>
          <w:b w:val="0"/>
          <w:caps w:val="0"/>
          <w:spacing w:val="-2"/>
          <w:szCs w:val="22"/>
        </w:rPr>
      </w:pP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 w:rsidRPr="00465AA8">
        <w:rPr>
          <w:rFonts w:ascii="Times New Roman" w:hAnsi="Times New Roman"/>
          <w:b w:val="0"/>
          <w:caps w:val="0"/>
          <w:spacing w:val="-2"/>
          <w:szCs w:val="22"/>
        </w:rPr>
        <w:t>Julie M. Kearney</w:t>
      </w:r>
    </w:p>
    <w:p w:rsidR="000D7AA7" w:rsidRPr="00465AA8" w:rsidP="00643A9F" w14:paraId="069174F5" w14:textId="77777777">
      <w:pPr>
        <w:pStyle w:val="Heading1"/>
        <w:widowControl/>
        <w:numPr>
          <w:ilvl w:val="0"/>
          <w:numId w:val="0"/>
        </w:numPr>
        <w:spacing w:after="0" w:line="259" w:lineRule="auto"/>
        <w:rPr>
          <w:rFonts w:ascii="Times New Roman" w:hAnsi="Times New Roman"/>
          <w:b w:val="0"/>
          <w:caps w:val="0"/>
          <w:spacing w:val="-2"/>
          <w:szCs w:val="22"/>
        </w:rPr>
      </w:pPr>
      <w:r w:rsidRPr="00465AA8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465AA8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465AA8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465AA8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465AA8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465AA8">
        <w:rPr>
          <w:rFonts w:ascii="Times New Roman" w:hAnsi="Times New Roman"/>
          <w:b w:val="0"/>
          <w:caps w:val="0"/>
          <w:spacing w:val="-2"/>
          <w:szCs w:val="22"/>
        </w:rPr>
        <w:tab/>
        <w:t>Chief</w:t>
      </w:r>
    </w:p>
    <w:p w:rsidR="000D7AA7" w:rsidP="00643A9F" w14:paraId="15407F32" w14:textId="77777777">
      <w:pPr>
        <w:pStyle w:val="Heading1"/>
        <w:widowControl/>
        <w:numPr>
          <w:ilvl w:val="0"/>
          <w:numId w:val="0"/>
        </w:numPr>
        <w:spacing w:after="0" w:line="259" w:lineRule="auto"/>
      </w:pPr>
      <w:r w:rsidRPr="00465AA8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465AA8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465AA8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465AA8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465AA8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465AA8">
        <w:rPr>
          <w:rFonts w:ascii="Times New Roman" w:hAnsi="Times New Roman"/>
          <w:b w:val="0"/>
          <w:caps w:val="0"/>
          <w:spacing w:val="-2"/>
          <w:szCs w:val="22"/>
        </w:rPr>
        <w:tab/>
        <w:t>Space Bureau</w:t>
      </w:r>
    </w:p>
    <w:p w:rsidR="000D7AA7" w:rsidP="00631919" w14:paraId="56CE8947" w14:textId="77777777">
      <w:pPr>
        <w:pStyle w:val="ParaNum"/>
        <w:keepNext/>
        <w:widowControl/>
        <w:numPr>
          <w:ilvl w:val="0"/>
          <w:numId w:val="0"/>
        </w:numPr>
        <w:spacing w:after="0"/>
        <w:rPr>
          <w:szCs w:val="22"/>
        </w:rPr>
      </w:pPr>
    </w:p>
    <w:p w:rsidR="00415EF9" w:rsidRPr="00465AA8" w:rsidP="00631919" w14:paraId="361C7B4F" w14:textId="77777777">
      <w:pPr>
        <w:pStyle w:val="ParaNum"/>
        <w:keepNext/>
        <w:widowControl/>
        <w:numPr>
          <w:ilvl w:val="0"/>
          <w:numId w:val="0"/>
        </w:numPr>
        <w:spacing w:after="0"/>
        <w:rPr>
          <w:szCs w:val="22"/>
        </w:rPr>
      </w:pPr>
    </w:p>
    <w:p w:rsidR="00415EF9" w:rsidP="00643A9F" w14:paraId="13A2E06B" w14:textId="77777777">
      <w:pPr>
        <w:pStyle w:val="Heading1"/>
        <w:widowControl/>
        <w:numPr>
          <w:ilvl w:val="0"/>
          <w:numId w:val="0"/>
        </w:numPr>
        <w:spacing w:after="0" w:line="259" w:lineRule="auto"/>
        <w:rPr>
          <w:rFonts w:ascii="Times New Roman" w:hAnsi="Times New Roman"/>
          <w:b w:val="0"/>
          <w:caps w:val="0"/>
          <w:spacing w:val="-2"/>
          <w:szCs w:val="22"/>
        </w:rPr>
      </w:pPr>
    </w:p>
    <w:p w:rsidR="00415EF9" w:rsidP="00643A9F" w14:paraId="7A86C609" w14:textId="77777777">
      <w:pPr>
        <w:pStyle w:val="Heading1"/>
        <w:widowControl/>
        <w:numPr>
          <w:ilvl w:val="0"/>
          <w:numId w:val="0"/>
        </w:numPr>
        <w:spacing w:after="0" w:line="259" w:lineRule="auto"/>
        <w:rPr>
          <w:rFonts w:ascii="Times New Roman" w:hAnsi="Times New Roman"/>
          <w:b w:val="0"/>
          <w:caps w:val="0"/>
          <w:spacing w:val="-2"/>
          <w:szCs w:val="22"/>
        </w:rPr>
      </w:pPr>
    </w:p>
    <w:p w:rsidR="000D7AA7" w:rsidRPr="00465AA8" w:rsidP="00643A9F" w14:paraId="425132A3" w14:textId="654DF397">
      <w:pPr>
        <w:pStyle w:val="Heading1"/>
        <w:widowControl/>
        <w:numPr>
          <w:ilvl w:val="0"/>
          <w:numId w:val="0"/>
        </w:numPr>
        <w:spacing w:after="0" w:line="259" w:lineRule="auto"/>
        <w:rPr>
          <w:rFonts w:ascii="Times New Roman" w:hAnsi="Times New Roman"/>
          <w:b w:val="0"/>
          <w:caps w:val="0"/>
          <w:spacing w:val="-2"/>
          <w:szCs w:val="22"/>
        </w:rPr>
      </w:pPr>
      <w:r w:rsidRPr="00465AA8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465AA8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465AA8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465AA8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465AA8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465AA8">
        <w:rPr>
          <w:rFonts w:ascii="Times New Roman" w:hAnsi="Times New Roman"/>
          <w:b w:val="0"/>
          <w:caps w:val="0"/>
          <w:spacing w:val="-2"/>
          <w:szCs w:val="22"/>
        </w:rPr>
        <w:tab/>
        <w:t xml:space="preserve">Mark Stephens </w:t>
      </w:r>
    </w:p>
    <w:p w:rsidR="00781161" w:rsidP="00631919" w14:paraId="192B2A93" w14:textId="724FF4D1">
      <w:pPr>
        <w:pStyle w:val="Heading1"/>
        <w:widowControl/>
        <w:numPr>
          <w:ilvl w:val="0"/>
          <w:numId w:val="0"/>
        </w:numPr>
        <w:tabs>
          <w:tab w:val="left" w:pos="720"/>
        </w:tabs>
        <w:spacing w:after="0"/>
      </w:pPr>
      <w:r w:rsidRPr="00465AA8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465AA8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465AA8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465AA8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465AA8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465AA8">
        <w:rPr>
          <w:rFonts w:ascii="Times New Roman" w:hAnsi="Times New Roman"/>
          <w:b w:val="0"/>
          <w:caps w:val="0"/>
          <w:spacing w:val="-2"/>
          <w:szCs w:val="22"/>
        </w:rPr>
        <w:tab/>
        <w:t>Managing Director</w:t>
      </w:r>
    </w:p>
    <w:sectPr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938" w14:paraId="23FE975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155938" w14:paraId="7900623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938" w14:paraId="707B0F0C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55938" w14:paraId="3BFD3A18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938" w14:paraId="6A02FBD0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938" w:rsidP="00385701" w14:paraId="5DF95148" w14:textId="7538F21C">
    <w:pPr>
      <w:pStyle w:val="Header"/>
    </w:pPr>
    <w:r>
      <w:tab/>
      <w:t>Federal Communications Commission</w:t>
    </w:r>
    <w:r>
      <w:tab/>
    </w:r>
  </w:p>
  <w:p w:rsidR="00155938" w14:paraId="40B02FF1" w14:textId="7EE9374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155938" w14:paraId="422C1149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938" w:rsidP="00385701" w14:paraId="31FA52A9" w14:textId="6F33264D">
    <w:pPr>
      <w:pStyle w:val="Header"/>
    </w:pPr>
    <w:r>
      <w:tab/>
      <w:t>Federal Communications Commission</w:t>
    </w:r>
    <w:r>
      <w:tab/>
      <w:t xml:space="preserve"> </w:t>
    </w:r>
  </w:p>
  <w:p w:rsidR="00155938" w:rsidP="00385701" w14:paraId="6B41EE8A" w14:textId="4CC72D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1312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1EA57E3"/>
    <w:multiLevelType w:val="multilevel"/>
    <w:tmpl w:val="8194977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31A40C91"/>
    <w:multiLevelType w:val="hybridMultilevel"/>
    <w:tmpl w:val="571E7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  <w:lvlOverride w:ilvl="0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0" w:markup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61"/>
    <w:rsid w:val="00000428"/>
    <w:rsid w:val="00064A3F"/>
    <w:rsid w:val="00083AC6"/>
    <w:rsid w:val="000B018B"/>
    <w:rsid w:val="000C60D1"/>
    <w:rsid w:val="000D7AA7"/>
    <w:rsid w:val="000E1D1F"/>
    <w:rsid w:val="00101007"/>
    <w:rsid w:val="0012586A"/>
    <w:rsid w:val="001352F6"/>
    <w:rsid w:val="00152E6E"/>
    <w:rsid w:val="00155938"/>
    <w:rsid w:val="00186C21"/>
    <w:rsid w:val="00187FEF"/>
    <w:rsid w:val="001C103E"/>
    <w:rsid w:val="001E05D0"/>
    <w:rsid w:val="0024473B"/>
    <w:rsid w:val="00273AB6"/>
    <w:rsid w:val="00296076"/>
    <w:rsid w:val="002C25D0"/>
    <w:rsid w:val="002D5F60"/>
    <w:rsid w:val="002E0D42"/>
    <w:rsid w:val="003161C5"/>
    <w:rsid w:val="00321A68"/>
    <w:rsid w:val="00357774"/>
    <w:rsid w:val="00385701"/>
    <w:rsid w:val="00386B74"/>
    <w:rsid w:val="003966F3"/>
    <w:rsid w:val="003B1725"/>
    <w:rsid w:val="00415EF9"/>
    <w:rsid w:val="00435649"/>
    <w:rsid w:val="00465AA8"/>
    <w:rsid w:val="00477796"/>
    <w:rsid w:val="004C42EF"/>
    <w:rsid w:val="00533651"/>
    <w:rsid w:val="00587A78"/>
    <w:rsid w:val="00626A07"/>
    <w:rsid w:val="00631919"/>
    <w:rsid w:val="00643A9F"/>
    <w:rsid w:val="00671C38"/>
    <w:rsid w:val="006A0183"/>
    <w:rsid w:val="00781161"/>
    <w:rsid w:val="00783D30"/>
    <w:rsid w:val="007870B3"/>
    <w:rsid w:val="007A2408"/>
    <w:rsid w:val="007E46C4"/>
    <w:rsid w:val="007E55C9"/>
    <w:rsid w:val="00871D1B"/>
    <w:rsid w:val="00876310"/>
    <w:rsid w:val="00897B76"/>
    <w:rsid w:val="00960AC4"/>
    <w:rsid w:val="00967A85"/>
    <w:rsid w:val="00A34D8A"/>
    <w:rsid w:val="00AF1744"/>
    <w:rsid w:val="00B45422"/>
    <w:rsid w:val="00B763F3"/>
    <w:rsid w:val="00B97513"/>
    <w:rsid w:val="00C26795"/>
    <w:rsid w:val="00C62959"/>
    <w:rsid w:val="00D405DB"/>
    <w:rsid w:val="00D64E3D"/>
    <w:rsid w:val="00DB5185"/>
    <w:rsid w:val="00DE6478"/>
    <w:rsid w:val="00E0617F"/>
    <w:rsid w:val="00E63968"/>
    <w:rsid w:val="00F60C09"/>
    <w:rsid w:val="00F93E2B"/>
    <w:rsid w:val="00F95603"/>
    <w:rsid w:val="00FC165B"/>
    <w:rsid w:val="00FC35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F0F40EC"/>
  <w15:chartTrackingRefBased/>
  <w15:docId w15:val="{E9E10022-1199-4C72-9F60-A1CDB5BB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385701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ParaNumChar">
    <w:name w:val="ParaNum Char"/>
    <w:link w:val="ParaNum"/>
    <w:rsid w:val="000D7AA7"/>
    <w:rPr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43564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brandon.padgett\FCC\FCC%20-%20NAL\Form\OS%20Process\erratum-order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