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55CDA" w:rsidRPr="00AB5E4A" w:rsidP="00955CDA" w14:paraId="22A5A54C" w14:textId="77777777">
      <w:pPr>
        <w:jc w:val="center"/>
        <w:rPr>
          <w:b/>
          <w:szCs w:val="22"/>
        </w:rPr>
      </w:pPr>
      <w:r w:rsidRPr="00AB5E4A">
        <w:rPr>
          <w:b/>
          <w:szCs w:val="22"/>
        </w:rPr>
        <w:t>Before the</w:t>
      </w:r>
    </w:p>
    <w:p w:rsidR="00955CDA" w:rsidRPr="00AB5E4A" w:rsidP="00955CDA" w14:paraId="47C30A42" w14:textId="77777777">
      <w:pPr>
        <w:pStyle w:val="StyleBoldCentered"/>
        <w:rPr>
          <w:rFonts w:ascii="Times New Roman" w:hAnsi="Times New Roman"/>
        </w:rPr>
      </w:pPr>
      <w:r w:rsidRPr="00AB5E4A">
        <w:rPr>
          <w:rFonts w:ascii="Times New Roman" w:hAnsi="Times New Roman"/>
        </w:rPr>
        <w:t>F</w:t>
      </w:r>
      <w:r w:rsidRPr="00AB5E4A">
        <w:rPr>
          <w:rFonts w:ascii="Times New Roman" w:hAnsi="Times New Roman"/>
          <w:caps w:val="0"/>
        </w:rPr>
        <w:t>ederal Communications Commission</w:t>
      </w:r>
    </w:p>
    <w:p w:rsidR="00955CDA" w:rsidRPr="00AB5E4A" w:rsidP="00955CDA" w14:paraId="206D61EA" w14:textId="77777777">
      <w:pPr>
        <w:pStyle w:val="StyleBoldCentered"/>
        <w:rPr>
          <w:rFonts w:ascii="Times New Roman" w:hAnsi="Times New Roman"/>
        </w:rPr>
      </w:pPr>
      <w:r w:rsidRPr="00AB5E4A">
        <w:rPr>
          <w:rFonts w:ascii="Times New Roman" w:hAnsi="Times New Roman"/>
          <w:caps w:val="0"/>
        </w:rPr>
        <w:t>Washington, D.C. 20554</w:t>
      </w:r>
    </w:p>
    <w:p w:rsidR="00955CDA" w:rsidRPr="00AB5E4A" w:rsidP="00955CDA" w14:paraId="1F5222FB" w14:textId="77777777">
      <w:pPr>
        <w:rPr>
          <w:szCs w:val="22"/>
        </w:rPr>
      </w:pPr>
    </w:p>
    <w:p w:rsidR="00955CDA" w:rsidRPr="00AB5E4A" w:rsidP="00955CDA" w14:paraId="2D14A9E9" w14:textId="77777777">
      <w:pPr>
        <w:rPr>
          <w:szCs w:val="22"/>
        </w:rPr>
      </w:pPr>
    </w:p>
    <w:tbl>
      <w:tblPr>
        <w:tblW w:w="0" w:type="auto"/>
        <w:tblLayout w:type="fixed"/>
        <w:tblLook w:val="0000"/>
      </w:tblPr>
      <w:tblGrid>
        <w:gridCol w:w="4698"/>
        <w:gridCol w:w="630"/>
        <w:gridCol w:w="4248"/>
      </w:tblGrid>
      <w:tr w14:paraId="5876ED11" w14:textId="77777777" w:rsidTr="00002FAC">
        <w:tblPrEx>
          <w:tblW w:w="0" w:type="auto"/>
          <w:tblLayout w:type="fixed"/>
          <w:tblLook w:val="0000"/>
        </w:tblPrEx>
        <w:tc>
          <w:tcPr>
            <w:tcW w:w="4698" w:type="dxa"/>
          </w:tcPr>
          <w:p w:rsidR="00955CDA" w:rsidRPr="00AB5E4A" w:rsidP="00002FAC" w14:paraId="0CC7285D" w14:textId="77777777">
            <w:pPr>
              <w:tabs>
                <w:tab w:val="center" w:pos="4680"/>
              </w:tabs>
              <w:rPr>
                <w:spacing w:val="-2"/>
                <w:szCs w:val="22"/>
              </w:rPr>
            </w:pPr>
            <w:r w:rsidRPr="00AB5E4A">
              <w:rPr>
                <w:spacing w:val="-2"/>
                <w:szCs w:val="22"/>
              </w:rPr>
              <w:t>In the Matter of</w:t>
            </w:r>
          </w:p>
          <w:p w:rsidR="00955CDA" w:rsidRPr="00AB5E4A" w:rsidP="00002FAC" w14:paraId="4F642DA8" w14:textId="77777777">
            <w:pPr>
              <w:tabs>
                <w:tab w:val="center" w:pos="4680"/>
              </w:tabs>
              <w:rPr>
                <w:spacing w:val="-2"/>
                <w:szCs w:val="22"/>
              </w:rPr>
            </w:pPr>
          </w:p>
          <w:p w:rsidR="00041322" w:rsidRPr="00041322" w:rsidP="00041322" w14:paraId="2A4F5182" w14:textId="4CC99282">
            <w:pPr>
              <w:tabs>
                <w:tab w:val="center" w:pos="4680"/>
              </w:tabs>
              <w:rPr>
                <w:spacing w:val="-2"/>
                <w:szCs w:val="22"/>
              </w:rPr>
            </w:pPr>
            <w:r w:rsidRPr="00041322">
              <w:rPr>
                <w:spacing w:val="-2"/>
                <w:szCs w:val="22"/>
              </w:rPr>
              <w:t>Single Network Future: Supplemental Coverage</w:t>
            </w:r>
            <w:r w:rsidR="00734D42">
              <w:rPr>
                <w:spacing w:val="-2"/>
                <w:szCs w:val="22"/>
              </w:rPr>
              <w:t xml:space="preserve"> </w:t>
            </w:r>
            <w:r w:rsidRPr="00041322">
              <w:rPr>
                <w:spacing w:val="-2"/>
                <w:szCs w:val="22"/>
              </w:rPr>
              <w:t>from Space</w:t>
            </w:r>
          </w:p>
          <w:p w:rsidR="00041322" w:rsidP="00041322" w14:paraId="4864737A" w14:textId="77777777">
            <w:pPr>
              <w:tabs>
                <w:tab w:val="center" w:pos="4680"/>
              </w:tabs>
              <w:rPr>
                <w:spacing w:val="-2"/>
                <w:szCs w:val="22"/>
              </w:rPr>
            </w:pPr>
          </w:p>
          <w:p w:rsidR="00041322" w:rsidP="00041322" w14:paraId="602B2776" w14:textId="77777777">
            <w:pPr>
              <w:tabs>
                <w:tab w:val="center" w:pos="4680"/>
              </w:tabs>
              <w:rPr>
                <w:spacing w:val="-2"/>
                <w:szCs w:val="22"/>
              </w:rPr>
            </w:pPr>
          </w:p>
          <w:p w:rsidR="00955CDA" w:rsidRPr="00AB5E4A" w:rsidP="00041322" w14:paraId="647E8134" w14:textId="50AEE244">
            <w:pPr>
              <w:tabs>
                <w:tab w:val="center" w:pos="4680"/>
              </w:tabs>
              <w:rPr>
                <w:spacing w:val="-2"/>
                <w:szCs w:val="22"/>
              </w:rPr>
            </w:pPr>
            <w:r w:rsidRPr="00041322">
              <w:rPr>
                <w:spacing w:val="-2"/>
                <w:szCs w:val="22"/>
              </w:rPr>
              <w:t>Space Innovation</w:t>
            </w:r>
          </w:p>
        </w:tc>
        <w:tc>
          <w:tcPr>
            <w:tcW w:w="630" w:type="dxa"/>
          </w:tcPr>
          <w:p w:rsidR="00955CDA" w:rsidRPr="00AB5E4A" w:rsidP="00002FAC" w14:paraId="642F9309" w14:textId="77777777">
            <w:pPr>
              <w:tabs>
                <w:tab w:val="center" w:pos="4680"/>
              </w:tabs>
              <w:rPr>
                <w:b/>
                <w:spacing w:val="-2"/>
                <w:szCs w:val="22"/>
              </w:rPr>
            </w:pPr>
            <w:r w:rsidRPr="00AB5E4A">
              <w:rPr>
                <w:b/>
                <w:spacing w:val="-2"/>
                <w:szCs w:val="22"/>
              </w:rPr>
              <w:t>)</w:t>
            </w:r>
          </w:p>
          <w:p w:rsidR="00955CDA" w:rsidRPr="00AB5E4A" w:rsidP="00002FAC" w14:paraId="1028B6BC" w14:textId="77777777">
            <w:pPr>
              <w:tabs>
                <w:tab w:val="center" w:pos="4680"/>
              </w:tabs>
              <w:rPr>
                <w:b/>
                <w:spacing w:val="-2"/>
                <w:szCs w:val="22"/>
              </w:rPr>
            </w:pPr>
            <w:r w:rsidRPr="00AB5E4A">
              <w:rPr>
                <w:b/>
                <w:spacing w:val="-2"/>
                <w:szCs w:val="22"/>
              </w:rPr>
              <w:t>)</w:t>
            </w:r>
          </w:p>
          <w:p w:rsidR="00955CDA" w:rsidRPr="00AB5E4A" w:rsidP="00002FAC" w14:paraId="04F70472" w14:textId="77777777">
            <w:pPr>
              <w:tabs>
                <w:tab w:val="center" w:pos="4680"/>
              </w:tabs>
              <w:rPr>
                <w:b/>
                <w:spacing w:val="-2"/>
                <w:szCs w:val="22"/>
              </w:rPr>
            </w:pPr>
            <w:r w:rsidRPr="00AB5E4A">
              <w:rPr>
                <w:b/>
                <w:spacing w:val="-2"/>
                <w:szCs w:val="22"/>
              </w:rPr>
              <w:t>)</w:t>
            </w:r>
          </w:p>
          <w:p w:rsidR="00955CDA" w:rsidRPr="00AB5E4A" w:rsidP="00002FAC" w14:paraId="13723B18" w14:textId="77777777">
            <w:pPr>
              <w:tabs>
                <w:tab w:val="center" w:pos="4680"/>
              </w:tabs>
              <w:rPr>
                <w:b/>
                <w:spacing w:val="-2"/>
                <w:szCs w:val="22"/>
              </w:rPr>
            </w:pPr>
            <w:r w:rsidRPr="00AB5E4A">
              <w:rPr>
                <w:b/>
                <w:spacing w:val="-2"/>
                <w:szCs w:val="22"/>
              </w:rPr>
              <w:t>)</w:t>
            </w:r>
          </w:p>
          <w:p w:rsidR="00955CDA" w:rsidRPr="00AB5E4A" w:rsidP="00002FAC" w14:paraId="2051CB9B" w14:textId="77777777">
            <w:pPr>
              <w:tabs>
                <w:tab w:val="center" w:pos="4680"/>
              </w:tabs>
              <w:rPr>
                <w:b/>
                <w:spacing w:val="-2"/>
                <w:szCs w:val="22"/>
              </w:rPr>
            </w:pPr>
            <w:r w:rsidRPr="00AB5E4A">
              <w:rPr>
                <w:b/>
                <w:spacing w:val="-2"/>
                <w:szCs w:val="22"/>
              </w:rPr>
              <w:t>)</w:t>
            </w:r>
          </w:p>
          <w:p w:rsidR="00955CDA" w:rsidRPr="00AB5E4A" w:rsidP="00002FAC" w14:paraId="7CFCC283" w14:textId="77777777">
            <w:pPr>
              <w:tabs>
                <w:tab w:val="center" w:pos="4680"/>
              </w:tabs>
              <w:rPr>
                <w:b/>
                <w:spacing w:val="-2"/>
                <w:szCs w:val="22"/>
              </w:rPr>
            </w:pPr>
            <w:r w:rsidRPr="00AB5E4A">
              <w:rPr>
                <w:b/>
                <w:spacing w:val="-2"/>
                <w:szCs w:val="22"/>
              </w:rPr>
              <w:t>)</w:t>
            </w:r>
          </w:p>
          <w:p w:rsidR="00955CDA" w:rsidRPr="00AB5E4A" w:rsidP="00002FAC" w14:paraId="07BF0731" w14:textId="77777777">
            <w:pPr>
              <w:tabs>
                <w:tab w:val="center" w:pos="4680"/>
              </w:tabs>
              <w:rPr>
                <w:b/>
                <w:spacing w:val="-2"/>
                <w:szCs w:val="22"/>
              </w:rPr>
            </w:pPr>
            <w:r w:rsidRPr="00AB5E4A">
              <w:rPr>
                <w:b/>
                <w:spacing w:val="-2"/>
                <w:szCs w:val="22"/>
              </w:rPr>
              <w:t>)</w:t>
            </w:r>
          </w:p>
          <w:p w:rsidR="00955CDA" w:rsidRPr="00AB5E4A" w:rsidP="00002FAC" w14:paraId="46838FFC" w14:textId="1AF19BB6">
            <w:pPr>
              <w:tabs>
                <w:tab w:val="center" w:pos="4680"/>
              </w:tabs>
              <w:rPr>
                <w:b/>
                <w:spacing w:val="-2"/>
                <w:szCs w:val="22"/>
              </w:rPr>
            </w:pPr>
            <w:r>
              <w:rPr>
                <w:b/>
                <w:spacing w:val="-2"/>
                <w:szCs w:val="22"/>
              </w:rPr>
              <w:t>)</w:t>
            </w:r>
          </w:p>
          <w:p w:rsidR="00955CDA" w:rsidRPr="00AB5E4A" w:rsidP="00002FAC" w14:paraId="40377E54" w14:textId="77777777">
            <w:pPr>
              <w:tabs>
                <w:tab w:val="center" w:pos="4680"/>
              </w:tabs>
              <w:rPr>
                <w:b/>
                <w:spacing w:val="-2"/>
                <w:szCs w:val="22"/>
              </w:rPr>
            </w:pPr>
          </w:p>
        </w:tc>
        <w:tc>
          <w:tcPr>
            <w:tcW w:w="4248" w:type="dxa"/>
          </w:tcPr>
          <w:p w:rsidR="00955CDA" w:rsidRPr="00AB5E4A" w:rsidP="00002FAC" w14:paraId="2BF636CE" w14:textId="77777777">
            <w:pPr>
              <w:tabs>
                <w:tab w:val="center" w:pos="4680"/>
              </w:tabs>
              <w:rPr>
                <w:spacing w:val="-2"/>
                <w:szCs w:val="22"/>
              </w:rPr>
            </w:pPr>
          </w:p>
          <w:p w:rsidR="00955CDA" w:rsidRPr="00AB5E4A" w:rsidP="00002FAC" w14:paraId="1FA151F5" w14:textId="77777777">
            <w:pPr>
              <w:pStyle w:val="TOAHeading"/>
              <w:tabs>
                <w:tab w:val="center" w:pos="4680"/>
                <w:tab w:val="clear" w:pos="9360"/>
              </w:tabs>
              <w:suppressAutoHyphens w:val="0"/>
              <w:rPr>
                <w:spacing w:val="-2"/>
                <w:szCs w:val="22"/>
              </w:rPr>
            </w:pPr>
          </w:p>
          <w:p w:rsidR="00955CDA" w:rsidP="00002FAC" w14:paraId="3CDA5835" w14:textId="161CE154">
            <w:pPr>
              <w:tabs>
                <w:tab w:val="center" w:pos="4680"/>
              </w:tabs>
              <w:rPr>
                <w:spacing w:val="-2"/>
                <w:szCs w:val="22"/>
              </w:rPr>
            </w:pPr>
            <w:r>
              <w:t>GN Docket No. 23-65</w:t>
            </w:r>
          </w:p>
          <w:p w:rsidR="00955CDA" w:rsidRPr="00AB5E4A" w:rsidP="00002FAC" w14:paraId="1F76ACB1" w14:textId="7B56D6DC">
            <w:pPr>
              <w:tabs>
                <w:tab w:val="center" w:pos="4680"/>
              </w:tabs>
              <w:rPr>
                <w:spacing w:val="-2"/>
                <w:szCs w:val="22"/>
              </w:rPr>
            </w:pPr>
          </w:p>
          <w:p w:rsidR="00041322" w:rsidP="00002FAC" w14:paraId="049925AE" w14:textId="77777777">
            <w:pPr>
              <w:tabs>
                <w:tab w:val="center" w:pos="4680"/>
              </w:tabs>
              <w:rPr>
                <w:spacing w:val="-2"/>
                <w:szCs w:val="22"/>
              </w:rPr>
            </w:pPr>
          </w:p>
          <w:p w:rsidR="00041322" w:rsidP="00002FAC" w14:paraId="038331D8" w14:textId="77777777">
            <w:pPr>
              <w:tabs>
                <w:tab w:val="center" w:pos="4680"/>
              </w:tabs>
              <w:rPr>
                <w:spacing w:val="-2"/>
                <w:szCs w:val="22"/>
              </w:rPr>
            </w:pPr>
          </w:p>
          <w:p w:rsidR="00955CDA" w:rsidRPr="00AB5E4A" w:rsidP="00002FAC" w14:paraId="4E901E71" w14:textId="5A383D90">
            <w:pPr>
              <w:tabs>
                <w:tab w:val="center" w:pos="4680"/>
              </w:tabs>
              <w:rPr>
                <w:spacing w:val="-2"/>
                <w:szCs w:val="22"/>
              </w:rPr>
            </w:pPr>
            <w:r>
              <w:t>IB Docket No. 22-271</w:t>
            </w:r>
          </w:p>
          <w:p w:rsidR="00955CDA" w:rsidRPr="00AB5E4A" w:rsidP="00002FAC" w14:paraId="09ECB20A" w14:textId="77777777">
            <w:pPr>
              <w:tabs>
                <w:tab w:val="center" w:pos="4680"/>
              </w:tabs>
              <w:rPr>
                <w:spacing w:val="-2"/>
                <w:szCs w:val="22"/>
              </w:rPr>
            </w:pPr>
          </w:p>
        </w:tc>
      </w:tr>
    </w:tbl>
    <w:p w:rsidR="0060228B" w:rsidRPr="00AB5E4A" w:rsidP="002A4E36" w14:paraId="50DFEE92" w14:textId="77777777">
      <w:pPr>
        <w:spacing w:before="120"/>
        <w:jc w:val="center"/>
        <w:rPr>
          <w:b/>
          <w:spacing w:val="-2"/>
          <w:szCs w:val="22"/>
        </w:rPr>
      </w:pPr>
      <w:r w:rsidRPr="00AB5E4A">
        <w:rPr>
          <w:b/>
          <w:spacing w:val="-2"/>
          <w:szCs w:val="22"/>
        </w:rPr>
        <w:t>ERRATUM</w:t>
      </w:r>
    </w:p>
    <w:p w:rsidR="00E00E22" w:rsidRPr="00AB5E4A" w14:paraId="39D02856" w14:textId="77777777">
      <w:pPr>
        <w:tabs>
          <w:tab w:val="left" w:pos="5760"/>
        </w:tabs>
        <w:rPr>
          <w:b/>
          <w:szCs w:val="22"/>
        </w:rPr>
      </w:pPr>
    </w:p>
    <w:p w:rsidR="0060228B" w:rsidRPr="00AB5E4A" w:rsidP="002A29D2" w14:paraId="01A84828" w14:textId="056F9488">
      <w:pPr>
        <w:jc w:val="right"/>
        <w:rPr>
          <w:b/>
          <w:szCs w:val="22"/>
        </w:rPr>
      </w:pPr>
      <w:r w:rsidRPr="00AB5E4A">
        <w:rPr>
          <w:b/>
          <w:szCs w:val="22"/>
        </w:rPr>
        <w:t>Released:</w:t>
      </w:r>
      <w:r w:rsidRPr="00AB5E4A" w:rsidR="00710F7E">
        <w:rPr>
          <w:b/>
          <w:szCs w:val="22"/>
        </w:rPr>
        <w:t xml:space="preserve"> </w:t>
      </w:r>
      <w:r w:rsidR="006326E8">
        <w:rPr>
          <w:b/>
          <w:szCs w:val="22"/>
        </w:rPr>
        <w:t xml:space="preserve">April </w:t>
      </w:r>
      <w:r w:rsidR="006E1918">
        <w:rPr>
          <w:b/>
          <w:szCs w:val="22"/>
        </w:rPr>
        <w:t>18</w:t>
      </w:r>
      <w:r w:rsidRPr="006E1918" w:rsidR="006B46DB">
        <w:rPr>
          <w:b/>
          <w:szCs w:val="22"/>
        </w:rPr>
        <w:t>,</w:t>
      </w:r>
      <w:r w:rsidRPr="00AB5E4A" w:rsidR="006B46DB">
        <w:rPr>
          <w:b/>
          <w:szCs w:val="22"/>
        </w:rPr>
        <w:t xml:space="preserve"> 202</w:t>
      </w:r>
      <w:r w:rsidR="00A30AB4">
        <w:rPr>
          <w:b/>
          <w:szCs w:val="22"/>
        </w:rPr>
        <w:t>4</w:t>
      </w:r>
    </w:p>
    <w:p w:rsidR="0060228B" w:rsidRPr="00AB5E4A" w14:paraId="2FE4E300" w14:textId="77777777">
      <w:pPr>
        <w:tabs>
          <w:tab w:val="left" w:pos="5760"/>
        </w:tabs>
        <w:rPr>
          <w:b/>
          <w:szCs w:val="22"/>
        </w:rPr>
      </w:pPr>
    </w:p>
    <w:p w:rsidR="0060228B" w:rsidRPr="00AB5E4A" w14:paraId="7AE540E1" w14:textId="11912F9F">
      <w:pPr>
        <w:tabs>
          <w:tab w:val="left" w:pos="5760"/>
        </w:tabs>
        <w:rPr>
          <w:szCs w:val="22"/>
        </w:rPr>
      </w:pPr>
      <w:r w:rsidRPr="00AB5E4A">
        <w:rPr>
          <w:szCs w:val="22"/>
        </w:rPr>
        <w:t>By the</w:t>
      </w:r>
      <w:r w:rsidRPr="00AB5E4A" w:rsidR="00FD7386">
        <w:rPr>
          <w:szCs w:val="22"/>
        </w:rPr>
        <w:t xml:space="preserve"> </w:t>
      </w:r>
      <w:r w:rsidRPr="005D50E3" w:rsidR="00E75E2D">
        <w:rPr>
          <w:szCs w:val="22"/>
        </w:rPr>
        <w:t>Chief</w:t>
      </w:r>
      <w:r w:rsidRPr="005D50E3" w:rsidR="003F6B93">
        <w:rPr>
          <w:szCs w:val="22"/>
        </w:rPr>
        <w:t>,</w:t>
      </w:r>
      <w:r w:rsidRPr="005D50E3" w:rsidR="00E75E2D">
        <w:rPr>
          <w:szCs w:val="22"/>
        </w:rPr>
        <w:t xml:space="preserve"> </w:t>
      </w:r>
      <w:r w:rsidRPr="005D50E3" w:rsidR="009D6644">
        <w:rPr>
          <w:szCs w:val="22"/>
        </w:rPr>
        <w:t>Space</w:t>
      </w:r>
      <w:r w:rsidRPr="005D50E3" w:rsidR="00E75E2D">
        <w:rPr>
          <w:szCs w:val="22"/>
        </w:rPr>
        <w:t xml:space="preserve"> Bureau</w:t>
      </w:r>
      <w:r w:rsidR="005D50E3">
        <w:rPr>
          <w:szCs w:val="22"/>
        </w:rPr>
        <w:t xml:space="preserve"> and Chief, Wireless Telecommunications Bureau</w:t>
      </w:r>
      <w:r w:rsidRPr="00AB5E4A">
        <w:rPr>
          <w:spacing w:val="-2"/>
          <w:szCs w:val="22"/>
        </w:rPr>
        <w:t>:</w:t>
      </w:r>
    </w:p>
    <w:p w:rsidR="0060228B" w:rsidRPr="00AB5E4A" w14:paraId="47F6E0D3" w14:textId="661D65F2">
      <w:pPr>
        <w:rPr>
          <w:szCs w:val="22"/>
        </w:rPr>
      </w:pPr>
    </w:p>
    <w:p w:rsidR="00B07300" w:rsidRPr="00AB5E4A" w:rsidP="00B67C7A" w14:paraId="651BE23B" w14:textId="3FE5DDB8">
      <w:pPr>
        <w:pStyle w:val="ParaNum"/>
        <w:numPr>
          <w:ilvl w:val="0"/>
          <w:numId w:val="0"/>
        </w:numPr>
        <w:ind w:firstLine="720"/>
        <w:rPr>
          <w:szCs w:val="22"/>
        </w:rPr>
      </w:pPr>
      <w:r w:rsidRPr="00AB5E4A">
        <w:rPr>
          <w:szCs w:val="22"/>
        </w:rPr>
        <w:t>On</w:t>
      </w:r>
      <w:r w:rsidRPr="00AB5E4A" w:rsidR="00101496">
        <w:rPr>
          <w:szCs w:val="22"/>
        </w:rPr>
        <w:t xml:space="preserve"> </w:t>
      </w:r>
      <w:r w:rsidR="005524F4">
        <w:rPr>
          <w:szCs w:val="22"/>
        </w:rPr>
        <w:t>March</w:t>
      </w:r>
      <w:r w:rsidRPr="00AB5E4A" w:rsidR="00101496">
        <w:rPr>
          <w:szCs w:val="22"/>
        </w:rPr>
        <w:t xml:space="preserve"> </w:t>
      </w:r>
      <w:r w:rsidR="00041322">
        <w:rPr>
          <w:szCs w:val="22"/>
        </w:rPr>
        <w:t>15</w:t>
      </w:r>
      <w:r w:rsidRPr="00AB5E4A" w:rsidR="00101496">
        <w:rPr>
          <w:szCs w:val="22"/>
        </w:rPr>
        <w:t>, 202</w:t>
      </w:r>
      <w:r w:rsidR="005524F4">
        <w:rPr>
          <w:szCs w:val="22"/>
        </w:rPr>
        <w:t>4</w:t>
      </w:r>
      <w:r w:rsidRPr="00AB5E4A">
        <w:rPr>
          <w:szCs w:val="22"/>
        </w:rPr>
        <w:t xml:space="preserve">, the </w:t>
      </w:r>
      <w:r w:rsidR="00041322">
        <w:rPr>
          <w:szCs w:val="22"/>
        </w:rPr>
        <w:t xml:space="preserve">Commission </w:t>
      </w:r>
      <w:r w:rsidRPr="00AB5E4A">
        <w:rPr>
          <w:szCs w:val="22"/>
        </w:rPr>
        <w:t>released a</w:t>
      </w:r>
      <w:r w:rsidRPr="00AB5E4A" w:rsidR="003255B4">
        <w:rPr>
          <w:szCs w:val="22"/>
        </w:rPr>
        <w:t xml:space="preserve"> </w:t>
      </w:r>
      <w:r w:rsidRPr="00445B52" w:rsidR="00041322">
        <w:rPr>
          <w:szCs w:val="22"/>
        </w:rPr>
        <w:t xml:space="preserve">Report and Order </w:t>
      </w:r>
      <w:r w:rsidRPr="00A77414" w:rsidR="007334D8">
        <w:rPr>
          <w:szCs w:val="22"/>
        </w:rPr>
        <w:t xml:space="preserve">and Further Notice of Proposed Rulemaking </w:t>
      </w:r>
      <w:r w:rsidRPr="00445B52" w:rsidR="00011B8A">
        <w:rPr>
          <w:szCs w:val="22"/>
        </w:rPr>
        <w:t>(</w:t>
      </w:r>
      <w:bookmarkStart w:id="0" w:name="_Hlk163556819"/>
      <w:bookmarkStart w:id="1" w:name="_Hlk164077255"/>
      <w:r w:rsidR="00011B8A">
        <w:rPr>
          <w:i/>
          <w:iCs/>
          <w:szCs w:val="22"/>
        </w:rPr>
        <w:t>R&amp;O</w:t>
      </w:r>
      <w:bookmarkEnd w:id="0"/>
      <w:r w:rsidR="007334D8">
        <w:rPr>
          <w:i/>
          <w:iCs/>
          <w:szCs w:val="22"/>
        </w:rPr>
        <w:t xml:space="preserve"> and FNPRM</w:t>
      </w:r>
      <w:bookmarkEnd w:id="1"/>
      <w:r w:rsidRPr="00445B52" w:rsidR="00011B8A">
        <w:rPr>
          <w:szCs w:val="22"/>
        </w:rPr>
        <w:t>)</w:t>
      </w:r>
      <w:r w:rsidRPr="00AB5E4A" w:rsidR="000F09CF">
        <w:rPr>
          <w:szCs w:val="22"/>
        </w:rPr>
        <w:t xml:space="preserve">, </w:t>
      </w:r>
      <w:r w:rsidR="00041322">
        <w:rPr>
          <w:szCs w:val="22"/>
        </w:rPr>
        <w:t>FCC</w:t>
      </w:r>
      <w:r w:rsidRPr="00AB5E4A" w:rsidR="003E0B12">
        <w:rPr>
          <w:szCs w:val="22"/>
        </w:rPr>
        <w:t xml:space="preserve"> </w:t>
      </w:r>
      <w:r w:rsidRPr="00AB5E4A" w:rsidR="000F09CF">
        <w:rPr>
          <w:szCs w:val="22"/>
        </w:rPr>
        <w:t>2</w:t>
      </w:r>
      <w:r w:rsidR="00A04223">
        <w:rPr>
          <w:szCs w:val="22"/>
        </w:rPr>
        <w:t>4-2</w:t>
      </w:r>
      <w:r w:rsidR="00041322">
        <w:rPr>
          <w:szCs w:val="22"/>
        </w:rPr>
        <w:t>8</w:t>
      </w:r>
      <w:r w:rsidRPr="00AB5E4A" w:rsidR="000F09CF">
        <w:rPr>
          <w:szCs w:val="22"/>
        </w:rPr>
        <w:t>,</w:t>
      </w:r>
      <w:r w:rsidRPr="00AB5E4A">
        <w:rPr>
          <w:szCs w:val="22"/>
        </w:rPr>
        <w:t xml:space="preserve"> in the above captioned proceeding.  This Erratum </w:t>
      </w:r>
      <w:r w:rsidRPr="00AB5E4A" w:rsidR="00154F2A">
        <w:rPr>
          <w:szCs w:val="22"/>
        </w:rPr>
        <w:t xml:space="preserve">amends the </w:t>
      </w:r>
      <w:r w:rsidRPr="00011B8A" w:rsidR="00011B8A">
        <w:rPr>
          <w:i/>
          <w:iCs/>
          <w:szCs w:val="22"/>
        </w:rPr>
        <w:t>R&amp;O</w:t>
      </w:r>
      <w:r w:rsidRPr="00AB5E4A" w:rsidR="00154F2A">
        <w:rPr>
          <w:szCs w:val="22"/>
        </w:rPr>
        <w:t xml:space="preserve"> as indicated below:</w:t>
      </w:r>
    </w:p>
    <w:p w:rsidR="00152DC7" w:rsidP="00027A14" w14:paraId="123D1DD2" w14:textId="1CEBEA87">
      <w:pPr>
        <w:pStyle w:val="ParaNum"/>
        <w:tabs>
          <w:tab w:val="num" w:pos="720"/>
          <w:tab w:val="clear" w:pos="1440"/>
        </w:tabs>
        <w:ind w:firstLine="360"/>
      </w:pPr>
      <w:r>
        <w:t>In</w:t>
      </w:r>
      <w:r w:rsidR="00E25F5D">
        <w:t xml:space="preserve"> </w:t>
      </w:r>
      <w:r w:rsidR="00D966D3">
        <w:t>paragraph 208</w:t>
      </w:r>
      <w:r w:rsidR="00E25F5D">
        <w:t xml:space="preserve">, </w:t>
      </w:r>
      <w:r w:rsidR="00D966D3">
        <w:t>the second sentence is</w:t>
      </w:r>
      <w:r w:rsidR="008E3891">
        <w:t xml:space="preserve"> corrected to read as follows:</w:t>
      </w:r>
    </w:p>
    <w:p w:rsidR="00D966D3" w:rsidP="00027A14" w14:paraId="5A1AB85D" w14:textId="7D6347B0">
      <w:pPr>
        <w:pStyle w:val="ParaNum"/>
        <w:numPr>
          <w:ilvl w:val="0"/>
          <w:numId w:val="0"/>
        </w:numPr>
        <w:ind w:left="1080"/>
      </w:pPr>
      <w:r w:rsidRPr="00B67C7A">
        <w:t>“</w:t>
      </w:r>
      <w:r w:rsidRPr="00D966D3">
        <w:t>After reviewing the record, we adopt the Commission’s proposal to amend section 25.204 (power and out-of-band emission limits for earth stations) to reflect that SCS earth stations will be required to meet the power limits applicable to terrestrial transceivers for the bands in which they seek to operate.</w:t>
      </w:r>
      <w:r w:rsidRPr="00D966D3">
        <w:t>”</w:t>
      </w:r>
    </w:p>
    <w:p w:rsidR="006D0C4C" w:rsidRPr="00D966D3" w:rsidP="00B67C7A" w14:paraId="0D96EA96" w14:textId="2258C3B4">
      <w:pPr>
        <w:pStyle w:val="ParaNum"/>
        <w:numPr>
          <w:ilvl w:val="0"/>
          <w:numId w:val="0"/>
        </w:numPr>
        <w:ind w:firstLine="720"/>
      </w:pPr>
      <w:r>
        <w:t xml:space="preserve">This Erratum also amends the Final Rules in </w:t>
      </w:r>
      <w:r w:rsidRPr="00445B52">
        <w:rPr>
          <w:b/>
          <w:bCs/>
        </w:rPr>
        <w:t>Appendix B</w:t>
      </w:r>
      <w:r>
        <w:t xml:space="preserve"> of the </w:t>
      </w:r>
      <w:r w:rsidRPr="00011B8A" w:rsidR="00011B8A">
        <w:rPr>
          <w:i/>
          <w:iCs/>
          <w:szCs w:val="22"/>
        </w:rPr>
        <w:t>R&amp;O</w:t>
      </w:r>
      <w:r>
        <w:t xml:space="preserve"> </w:t>
      </w:r>
      <w:r w:rsidR="007334D8">
        <w:rPr>
          <w:i/>
          <w:iCs/>
        </w:rPr>
        <w:t xml:space="preserve">and FNPRM </w:t>
      </w:r>
      <w:r>
        <w:t>as indicated below:</w:t>
      </w:r>
    </w:p>
    <w:p w:rsidR="00813425" w:rsidP="00767DE0" w14:paraId="1C94359C" w14:textId="2189A90D">
      <w:pPr>
        <w:pStyle w:val="ParaNum"/>
        <w:tabs>
          <w:tab w:val="num" w:pos="720"/>
        </w:tabs>
        <w:ind w:firstLine="360"/>
      </w:pPr>
      <w:r>
        <w:t>Below</w:t>
      </w:r>
      <w:r w:rsidR="002631A9">
        <w:t xml:space="preserve"> </w:t>
      </w:r>
      <w:r w:rsidRPr="00027A14" w:rsidR="00AE56BC">
        <w:rPr>
          <w:b/>
        </w:rPr>
        <w:t>§</w:t>
      </w:r>
      <w:r w:rsidRPr="00027A14" w:rsidR="00B75AE6">
        <w:rPr>
          <w:b/>
        </w:rPr>
        <w:t xml:space="preserve"> 1.9047</w:t>
      </w:r>
      <w:r w:rsidR="00B75AE6">
        <w:t xml:space="preserve">, in </w:t>
      </w:r>
      <w:r w:rsidR="002631A9">
        <w:t>paragraph (e)(3)</w:t>
      </w:r>
      <w:r w:rsidR="00B75AE6">
        <w:t>,</w:t>
      </w:r>
      <w:r w:rsidR="002631A9">
        <w:t xml:space="preserve"> replace “part 1 lessee” with “lessee under this part”</w:t>
      </w:r>
      <w:r w:rsidR="00B75AE6">
        <w:t xml:space="preserve">; </w:t>
      </w:r>
      <w:r>
        <w:t>i</w:t>
      </w:r>
      <w:r w:rsidR="00F04CC1">
        <w:t xml:space="preserve">n paragraph </w:t>
      </w:r>
      <w:r w:rsidR="00A210A4">
        <w:t>(d</w:t>
      </w:r>
      <w:r w:rsidR="003B4642">
        <w:t xml:space="preserve">)(1), </w:t>
      </w:r>
      <w:r w:rsidR="008E45D8">
        <w:t>designate the subparagraphs as (</w:t>
      </w:r>
      <w:r w:rsidR="008E45D8">
        <w:t>i</w:t>
      </w:r>
      <w:r w:rsidR="008E45D8">
        <w:t>) and (ii)</w:t>
      </w:r>
      <w:r w:rsidR="007571EB">
        <w:t>, and designate the subparagraphs of (d)(1)(ii) as (A) and (B)</w:t>
      </w:r>
      <w:r w:rsidR="00756318">
        <w:t>;</w:t>
      </w:r>
      <w:r w:rsidR="00E61E9F">
        <w:t xml:space="preserve"> in paragraph </w:t>
      </w:r>
      <w:r w:rsidR="00F04CC1">
        <w:t>(f)</w:t>
      </w:r>
      <w:r w:rsidR="00E90A88">
        <w:t>(1)</w:t>
      </w:r>
      <w:r w:rsidR="00F04CC1">
        <w:t xml:space="preserve">, </w:t>
      </w:r>
      <w:r w:rsidR="003E18F1">
        <w:t>replace “(d)(1)(b)” with “(d)(1)(ii)</w:t>
      </w:r>
      <w:r w:rsidR="00253099">
        <w:t>”</w:t>
      </w:r>
      <w:r>
        <w:t>; i</w:t>
      </w:r>
      <w:r w:rsidR="001D7267">
        <w:t xml:space="preserve">n </w:t>
      </w:r>
      <w:r w:rsidR="004F5361">
        <w:t xml:space="preserve">paragraph </w:t>
      </w:r>
      <w:r w:rsidR="008026D5">
        <w:t>(d)(2)</w:t>
      </w:r>
      <w:r w:rsidR="006604D3">
        <w:t>, designate the subparagraphs as (</w:t>
      </w:r>
      <w:r w:rsidR="006604D3">
        <w:t>i</w:t>
      </w:r>
      <w:r w:rsidR="006604D3">
        <w:t xml:space="preserve">) through (iii) </w:t>
      </w:r>
      <w:r w:rsidR="00E23FDE">
        <w:t>and designate the subparagraphs of (d)(2)(iii) as (A) and (B)</w:t>
      </w:r>
      <w:r w:rsidR="00A80099">
        <w:t xml:space="preserve">; and </w:t>
      </w:r>
      <w:r w:rsidR="007F0065">
        <w:t>in paragraph (d)(2)(iii), replace “(d)(1)(b)” with “(d)(1)(ii)</w:t>
      </w:r>
      <w:r w:rsidR="00DD7E31">
        <w:t>.</w:t>
      </w:r>
      <w:r w:rsidR="007F0065">
        <w:t>”</w:t>
      </w:r>
      <w:r w:rsidR="00642174">
        <w:t xml:space="preserve"> </w:t>
      </w:r>
    </w:p>
    <w:p w:rsidR="00566C6B" w:rsidRPr="002C1E7F" w:rsidP="003D2889" w14:paraId="29739DF4" w14:textId="799632AC">
      <w:pPr>
        <w:pStyle w:val="ParaNum"/>
        <w:tabs>
          <w:tab w:val="num" w:pos="720"/>
          <w:tab w:val="clear" w:pos="1440"/>
        </w:tabs>
        <w:ind w:firstLine="360"/>
      </w:pPr>
      <w:r w:rsidRPr="002C1E7F">
        <w:t xml:space="preserve">In </w:t>
      </w:r>
      <w:r w:rsidR="00CC6C87">
        <w:t xml:space="preserve">amendatory instruction 8, </w:t>
      </w:r>
      <w:r w:rsidRPr="002C1E7F">
        <w:t xml:space="preserve">paragraph (t)(4) of </w:t>
      </w:r>
      <w:r w:rsidRPr="002C1E7F" w:rsidR="00C04023">
        <w:t>§</w:t>
      </w:r>
      <w:r w:rsidRPr="002C1E7F">
        <w:t xml:space="preserve"> 9.10, replace “</w:t>
      </w:r>
      <w:r w:rsidRPr="002C1E7F" w:rsidR="00146F61">
        <w:rPr>
          <w:rFonts w:eastAsia="Calibri"/>
        </w:rPr>
        <w:t>paragraphs (t)(2)(</w:t>
      </w:r>
      <w:r w:rsidRPr="002C1E7F" w:rsidR="00146F61">
        <w:rPr>
          <w:rFonts w:eastAsia="Calibri"/>
        </w:rPr>
        <w:t>i</w:t>
      </w:r>
      <w:r w:rsidRPr="002C1E7F" w:rsidR="00146F61">
        <w:rPr>
          <w:rFonts w:eastAsia="Calibri"/>
        </w:rPr>
        <w:t>) or (ii)</w:t>
      </w:r>
      <w:r w:rsidRPr="002C1E7F" w:rsidR="00363C09">
        <w:rPr>
          <w:rFonts w:eastAsia="Calibri"/>
        </w:rPr>
        <w:t xml:space="preserve"> of this section</w:t>
      </w:r>
      <w:r w:rsidRPr="002C1E7F" w:rsidR="00146F61">
        <w:t>”</w:t>
      </w:r>
      <w:r w:rsidRPr="002C1E7F" w:rsidR="00363C09">
        <w:t xml:space="preserve"> with “paragraph (t)(</w:t>
      </w:r>
      <w:r w:rsidRPr="002C1E7F" w:rsidR="00703A50">
        <w:t>2)(</w:t>
      </w:r>
      <w:r w:rsidRPr="002C1E7F" w:rsidR="00703A50">
        <w:t>i</w:t>
      </w:r>
      <w:r w:rsidRPr="002C1E7F" w:rsidR="00703A50">
        <w:t>) or (ii)</w:t>
      </w:r>
      <w:r w:rsidRPr="002C1E7F" w:rsidR="005C768F">
        <w:t>.</w:t>
      </w:r>
      <w:r w:rsidRPr="002C1E7F" w:rsidR="00703A50">
        <w:t>”</w:t>
      </w:r>
    </w:p>
    <w:p w:rsidR="002F7E70" w:rsidRPr="002C1E7F" w:rsidP="002F1F6A" w14:paraId="42A675A4" w14:textId="2284C5DC">
      <w:pPr>
        <w:pStyle w:val="ParaNum"/>
        <w:tabs>
          <w:tab w:val="num" w:pos="720"/>
          <w:tab w:val="clear" w:pos="1440"/>
        </w:tabs>
        <w:ind w:firstLine="360"/>
      </w:pPr>
      <w:r>
        <w:rPr>
          <w:szCs w:val="22"/>
          <w:shd w:val="clear" w:color="auto" w:fill="FFFFFF"/>
        </w:rPr>
        <w:t>Amendatory instruction</w:t>
      </w:r>
      <w:r w:rsidRPr="00027A14" w:rsidR="0083006A">
        <w:rPr>
          <w:szCs w:val="22"/>
          <w:shd w:val="clear" w:color="auto" w:fill="FFFFFF"/>
        </w:rPr>
        <w:t xml:space="preserve"> 13</w:t>
      </w:r>
      <w:r>
        <w:rPr>
          <w:szCs w:val="22"/>
          <w:shd w:val="clear" w:color="auto" w:fill="FFFFFF"/>
        </w:rPr>
        <w:t xml:space="preserve">, revising </w:t>
      </w:r>
      <w:r w:rsidRPr="00767DE0" w:rsidR="006E0471">
        <w:rPr>
          <w:bCs/>
          <w:szCs w:val="22"/>
          <w:shd w:val="clear" w:color="auto" w:fill="FFFFFF"/>
        </w:rPr>
        <w:t>§</w:t>
      </w:r>
      <w:r w:rsidRPr="00767DE0" w:rsidR="009A35AC">
        <w:rPr>
          <w:bCs/>
          <w:szCs w:val="22"/>
          <w:shd w:val="clear" w:color="auto" w:fill="FFFFFF"/>
        </w:rPr>
        <w:t xml:space="preserve"> 25.115</w:t>
      </w:r>
      <w:r w:rsidR="006F435F">
        <w:rPr>
          <w:bCs/>
          <w:szCs w:val="22"/>
          <w:shd w:val="clear" w:color="auto" w:fill="FFFFFF"/>
        </w:rPr>
        <w:t xml:space="preserve">, </w:t>
      </w:r>
      <w:r w:rsidR="006F435F">
        <w:rPr>
          <w:szCs w:val="22"/>
          <w:shd w:val="clear" w:color="auto" w:fill="FFFFFF"/>
        </w:rPr>
        <w:t xml:space="preserve">is </w:t>
      </w:r>
      <w:r w:rsidRPr="00767DE0" w:rsidR="0083006A">
        <w:rPr>
          <w:szCs w:val="22"/>
          <w:shd w:val="clear" w:color="auto" w:fill="FFFFFF"/>
        </w:rPr>
        <w:t>corrected to read as follows</w:t>
      </w:r>
      <w:r w:rsidRPr="00767DE0">
        <w:rPr>
          <w:szCs w:val="22"/>
          <w:shd w:val="clear" w:color="auto" w:fill="FFFFFF"/>
        </w:rPr>
        <w:t>:</w:t>
      </w:r>
    </w:p>
    <w:p w:rsidR="002F7E70" w:rsidRPr="002C1E7F" w:rsidP="00027A14" w14:paraId="4A3B9D24" w14:textId="503C2410">
      <w:pPr>
        <w:pStyle w:val="ParaNum"/>
        <w:numPr>
          <w:ilvl w:val="0"/>
          <w:numId w:val="0"/>
        </w:numPr>
        <w:tabs>
          <w:tab w:val="left" w:pos="1800"/>
        </w:tabs>
        <w:ind w:left="1080" w:hanging="90"/>
      </w:pPr>
      <w:r w:rsidRPr="00027A14">
        <w:rPr>
          <w:szCs w:val="22"/>
          <w:shd w:val="clear" w:color="auto" w:fill="FFFFFF"/>
        </w:rPr>
        <w:t>“</w:t>
      </w:r>
      <w:r w:rsidRPr="00027A14" w:rsidR="00F5423D">
        <w:rPr>
          <w:szCs w:val="22"/>
          <w:shd w:val="clear" w:color="auto" w:fill="FFFFFF"/>
        </w:rPr>
        <w:t>13.</w:t>
      </w:r>
      <w:r w:rsidRPr="00027A14" w:rsidR="008E2533">
        <w:rPr>
          <w:szCs w:val="22"/>
          <w:shd w:val="clear" w:color="auto" w:fill="FFFFFF"/>
        </w:rPr>
        <w:tab/>
      </w:r>
      <w:r w:rsidRPr="002C1E7F">
        <w:t>Amend § 25.115 by adding paragraph (q) to read as follows:</w:t>
      </w:r>
    </w:p>
    <w:p w:rsidR="002F7E70" w:rsidRPr="002C1E7F" w:rsidP="00027A14" w14:paraId="7095E28D" w14:textId="77777777">
      <w:pPr>
        <w:spacing w:after="120"/>
        <w:ind w:left="1080"/>
        <w:rPr>
          <w:b/>
        </w:rPr>
      </w:pPr>
      <w:r w:rsidRPr="002C1E7F">
        <w:rPr>
          <w:b/>
        </w:rPr>
        <w:t>§ 25.115 Applications for earth station authorizations.</w:t>
      </w:r>
    </w:p>
    <w:p w:rsidR="002F7E70" w:rsidRPr="002C1E7F" w:rsidP="00027A14" w14:paraId="4121368E" w14:textId="77777777">
      <w:pPr>
        <w:suppressAutoHyphens/>
        <w:spacing w:after="120"/>
        <w:ind w:left="1080"/>
      </w:pPr>
      <w:r w:rsidRPr="002C1E7F">
        <w:t>* * * * *</w:t>
      </w:r>
    </w:p>
    <w:p w:rsidR="002F7E70" w:rsidRPr="002C1E7F" w:rsidP="00027A14" w14:paraId="3236BED4" w14:textId="77777777">
      <w:pPr>
        <w:spacing w:after="120"/>
        <w:ind w:left="1440"/>
      </w:pPr>
      <w:r w:rsidRPr="002C1E7F">
        <w:t xml:space="preserve">(q) </w:t>
      </w:r>
      <w:bookmarkStart w:id="2" w:name="_Hlk124260801"/>
      <w:r w:rsidRPr="002C1E7F">
        <w:rPr>
          <w:i/>
          <w:iCs/>
        </w:rPr>
        <w:t xml:space="preserve">SCS earth stations.  </w:t>
      </w:r>
      <w:r w:rsidRPr="002C1E7F">
        <w:t>An applicant seeking to use SCS earth stations to provide SCS must comply with § 25.125.</w:t>
      </w:r>
      <w:bookmarkEnd w:id="2"/>
    </w:p>
    <w:p w:rsidR="002F7E70" w:rsidRPr="002C1E7F" w:rsidP="002F1F6A" w14:paraId="79438B4D" w14:textId="77777777">
      <w:pPr>
        <w:spacing w:after="120"/>
        <w:ind w:left="1800"/>
      </w:pPr>
      <w:r w:rsidRPr="002C1E7F">
        <w:t xml:space="preserve">(1) A satellite operator licensed under § 25.125 to provide SCS is permitted to communicate with all terrestrial wireless licensee(s)-associated SCS earth stations that have been approved for such use under part 2 of this chapter. </w:t>
      </w:r>
    </w:p>
    <w:p w:rsidR="002F7E70" w:rsidRPr="002C1E7F" w:rsidP="002F1F6A" w14:paraId="2F440355" w14:textId="60CF8154">
      <w:pPr>
        <w:spacing w:after="120"/>
        <w:ind w:left="2160"/>
      </w:pPr>
      <w:r w:rsidRPr="002C1E7F">
        <w:t>(</w:t>
      </w:r>
      <w:r w:rsidRPr="002C1E7F">
        <w:t>i</w:t>
      </w:r>
      <w:r w:rsidRPr="002C1E7F">
        <w:t xml:space="preserve">) Such earth stations must show compliance with this part and at least one of </w:t>
      </w:r>
      <w:r w:rsidRPr="002C1E7F">
        <w:t xml:space="preserve">either part 22, 24, or 27 of this chapter to provide SCS within the technical parameters and provisions associated with the device certification. </w:t>
      </w:r>
    </w:p>
    <w:p w:rsidR="002F7E70" w:rsidRPr="00392E70" w:rsidP="002F1F6A" w14:paraId="5F409F2E" w14:textId="1AD07123">
      <w:pPr>
        <w:spacing w:after="120"/>
        <w:ind w:left="2160"/>
      </w:pPr>
      <w:r w:rsidRPr="00392E70">
        <w:t xml:space="preserve">(ii) The device certification must show compliance with the licensed parameters of the terrestrial wireless license(s) and at least one of either part 22, 24, or 27 of this chapter, as applicable.  </w:t>
      </w:r>
    </w:p>
    <w:p w:rsidR="002F7E70" w:rsidRPr="00392E70" w:rsidP="00BD0B77" w14:paraId="4D27969B" w14:textId="77777777">
      <w:pPr>
        <w:spacing w:after="120"/>
        <w:ind w:left="1800"/>
      </w:pPr>
      <w:r w:rsidRPr="00392E70">
        <w:t xml:space="preserve">(2) An earth station may be used for the provision of SCS when:   </w:t>
      </w:r>
    </w:p>
    <w:p w:rsidR="002F7E70" w:rsidRPr="00392E70" w:rsidP="002F1F6A" w14:paraId="02C98B8F" w14:textId="27193828">
      <w:pPr>
        <w:spacing w:after="120"/>
        <w:ind w:left="2160"/>
      </w:pPr>
      <w:r w:rsidRPr="00392E70">
        <w:t>(</w:t>
      </w:r>
      <w:r w:rsidRPr="00392E70">
        <w:t>i</w:t>
      </w:r>
      <w:r w:rsidRPr="00392E70">
        <w:t>) The satellite operator licensed under § 25.125 is a party to a valid and approved spectrum leasing arrangement or agreement pursuant to § 1.9047 of this chapter with at least one terrestrial wireless licensee(s) licensed under one of either part 22, 24, or 27 of this chapter</w:t>
      </w:r>
      <w:r>
        <w:t>;</w:t>
      </w:r>
      <w:r w:rsidRPr="00392E70">
        <w:t xml:space="preserve"> and </w:t>
      </w:r>
    </w:p>
    <w:p w:rsidR="002F7E70" w:rsidRPr="00392E70" w:rsidP="00BD0B77" w14:paraId="08FB98DC" w14:textId="77777777">
      <w:pPr>
        <w:spacing w:after="120"/>
        <w:ind w:left="2160"/>
      </w:pPr>
      <w:r w:rsidRPr="00392E70">
        <w:t xml:space="preserve">(ii) That terrestrial wireless licensee(s) has met and operates within all conditions associated with the relevant terrestrial wireless license(s).    </w:t>
      </w:r>
    </w:p>
    <w:p w:rsidR="002F7E70" w:rsidRPr="00392E70" w:rsidP="002F1F6A" w14:paraId="3723F456" w14:textId="77777777">
      <w:pPr>
        <w:spacing w:after="120"/>
        <w:ind w:left="1800"/>
      </w:pPr>
      <w:r w:rsidRPr="00392E70">
        <w:t xml:space="preserve">(3) A satellite operator authorized to provide SCS under § 25.125 is authorized under </w:t>
      </w:r>
      <w:r>
        <w:t>paragraph (q)(1) of this section</w:t>
      </w:r>
      <w:r w:rsidRPr="00392E70">
        <w:t xml:space="preserve"> to communicate with SCS earth stations for any period during which each of the following apply: </w:t>
      </w:r>
    </w:p>
    <w:p w:rsidR="002F7E70" w:rsidRPr="00392E70" w:rsidP="00BD0B77" w14:paraId="79614B7D" w14:textId="77777777">
      <w:pPr>
        <w:spacing w:after="120"/>
        <w:ind w:left="2160"/>
      </w:pPr>
      <w:r w:rsidRPr="00392E70">
        <w:t>(</w:t>
      </w:r>
      <w:r w:rsidRPr="00392E70">
        <w:t>i</w:t>
      </w:r>
      <w:r w:rsidRPr="00392E70">
        <w:t>) The service is provided during the valid duration of any spectrum leasing arrangement or agreement pursuant to § 1.9047 of this chapter between the terrestrial wireless licensee(s) and satellite operator;</w:t>
      </w:r>
    </w:p>
    <w:p w:rsidR="002F7E70" w:rsidRPr="00392E70" w:rsidP="00BD0B77" w14:paraId="2499FD89" w14:textId="77777777">
      <w:pPr>
        <w:spacing w:after="120"/>
        <w:ind w:left="2160"/>
      </w:pPr>
      <w:r w:rsidRPr="00392E70">
        <w:t>(ii) The devices to which service is provided are certified under part 2 of this chapter; and</w:t>
      </w:r>
    </w:p>
    <w:p w:rsidR="002F7E70" w:rsidRPr="00392E70" w:rsidP="00BD0B77" w14:paraId="42A045D0" w14:textId="2441794F">
      <w:pPr>
        <w:spacing w:after="120"/>
        <w:ind w:left="2160"/>
      </w:pPr>
      <w:r w:rsidRPr="00392E70">
        <w:t xml:space="preserve">(iii) The terrestrial wireless licensee(s) is a valid licensee(s) under </w:t>
      </w:r>
      <w:r w:rsidRPr="00392E70">
        <w:t>part</w:t>
      </w:r>
      <w:r w:rsidRPr="00392E70">
        <w:t xml:space="preserve"> 22, 24, or 27 of this chapter.</w:t>
      </w:r>
    </w:p>
    <w:p w:rsidR="002F7E70" w:rsidRPr="00392E70" w:rsidP="002F1F6A" w14:paraId="19A31CA0" w14:textId="62A55A10">
      <w:pPr>
        <w:spacing w:after="120"/>
        <w:ind w:left="1800"/>
      </w:pPr>
      <w:r w:rsidRPr="00392E70">
        <w:t xml:space="preserve">(4) A satellite operator with SCS authorization via a market access grant can avail itself of the provisions of </w:t>
      </w:r>
      <w:r>
        <w:t>this paragraph</w:t>
      </w:r>
      <w:r w:rsidRPr="00392E70">
        <w:t xml:space="preserve"> </w:t>
      </w:r>
      <w:r>
        <w:t xml:space="preserve">(q) </w:t>
      </w:r>
      <w:r w:rsidRPr="00392E70">
        <w:t xml:space="preserve">but, in addition to the parameters established in </w:t>
      </w:r>
      <w:r>
        <w:t>paragraphs (q)(1) and (2) of this section</w:t>
      </w:r>
      <w:r w:rsidRPr="00392E70">
        <w:t>, must also comply with any additional parameters included in the satellite operator’s space station market access grant.</w:t>
      </w:r>
    </w:p>
    <w:p w:rsidR="00FB4127" w:rsidP="00BD0B77" w14:paraId="4B486658" w14:textId="63035CF4">
      <w:pPr>
        <w:spacing w:after="120"/>
        <w:ind w:left="1800"/>
      </w:pPr>
      <w:r w:rsidRPr="00392E70">
        <w:t>(5) A satellite operator operating in conformance with the parameters established in this part does not need a separate earth station authorization for the provision of SCS under this part</w:t>
      </w:r>
      <w:r>
        <w:t>.”</w:t>
      </w:r>
    </w:p>
    <w:p w:rsidR="00473663" w:rsidRPr="00A77414" w:rsidP="00BD0B77" w14:paraId="0ECA4BEB" w14:textId="6B842270">
      <w:pPr>
        <w:pStyle w:val="ParaNum"/>
        <w:tabs>
          <w:tab w:val="num" w:pos="720"/>
          <w:tab w:val="clear" w:pos="1440"/>
        </w:tabs>
        <w:ind w:firstLine="360"/>
      </w:pPr>
      <w:r>
        <w:rPr>
          <w:szCs w:val="22"/>
          <w:shd w:val="clear" w:color="auto" w:fill="FFFFFF"/>
        </w:rPr>
        <w:t>Amendatory instruction</w:t>
      </w:r>
      <w:r w:rsidRPr="00F56EAC">
        <w:rPr>
          <w:szCs w:val="22"/>
          <w:shd w:val="clear" w:color="auto" w:fill="FFFFFF"/>
        </w:rPr>
        <w:t xml:space="preserve"> </w:t>
      </w:r>
      <w:r w:rsidRPr="00F56EAC">
        <w:rPr>
          <w:szCs w:val="22"/>
          <w:shd w:val="clear" w:color="auto" w:fill="FFFFFF"/>
        </w:rPr>
        <w:t>15</w:t>
      </w:r>
      <w:r>
        <w:rPr>
          <w:szCs w:val="22"/>
          <w:shd w:val="clear" w:color="auto" w:fill="FFFFFF"/>
        </w:rPr>
        <w:t>, revising</w:t>
      </w:r>
      <w:r w:rsidRPr="00F56EAC" w:rsidR="00F92957">
        <w:rPr>
          <w:szCs w:val="22"/>
          <w:shd w:val="clear" w:color="auto" w:fill="FFFFFF"/>
        </w:rPr>
        <w:t xml:space="preserve"> </w:t>
      </w:r>
      <w:r w:rsidRPr="00F56EAC" w:rsidR="00F92957">
        <w:rPr>
          <w:b/>
          <w:szCs w:val="22"/>
          <w:shd w:val="clear" w:color="auto" w:fill="FFFFFF"/>
        </w:rPr>
        <w:t>§</w:t>
      </w:r>
      <w:r w:rsidRPr="00F56EAC">
        <w:rPr>
          <w:b/>
          <w:szCs w:val="22"/>
          <w:shd w:val="clear" w:color="auto" w:fill="FFFFFF"/>
        </w:rPr>
        <w:t xml:space="preserve"> 25.125</w:t>
      </w:r>
      <w:r w:rsidRPr="00A23757" w:rsidR="00951160">
        <w:rPr>
          <w:bCs/>
          <w:szCs w:val="22"/>
          <w:shd w:val="clear" w:color="auto" w:fill="FFFFFF"/>
        </w:rPr>
        <w:t>,</w:t>
      </w:r>
      <w:r w:rsidRPr="00F56EAC" w:rsidR="00F92957">
        <w:rPr>
          <w:szCs w:val="22"/>
          <w:shd w:val="clear" w:color="auto" w:fill="FFFFFF"/>
        </w:rPr>
        <w:t xml:space="preserve"> </w:t>
      </w:r>
      <w:r w:rsidR="00951160">
        <w:rPr>
          <w:szCs w:val="22"/>
          <w:shd w:val="clear" w:color="auto" w:fill="FFFFFF"/>
        </w:rPr>
        <w:t>is</w:t>
      </w:r>
      <w:r w:rsidRPr="00F56EAC" w:rsidR="00951160">
        <w:rPr>
          <w:szCs w:val="22"/>
          <w:shd w:val="clear" w:color="auto" w:fill="FFFFFF"/>
        </w:rPr>
        <w:t xml:space="preserve"> </w:t>
      </w:r>
      <w:r w:rsidRPr="00F56EAC" w:rsidR="00F92957">
        <w:rPr>
          <w:szCs w:val="22"/>
          <w:shd w:val="clear" w:color="auto" w:fill="FFFFFF"/>
        </w:rPr>
        <w:t>corrected to read as follows</w:t>
      </w:r>
      <w:r w:rsidRPr="00F56EAC">
        <w:rPr>
          <w:szCs w:val="22"/>
          <w:shd w:val="clear" w:color="auto" w:fill="FFFFFF"/>
        </w:rPr>
        <w:t>:</w:t>
      </w:r>
    </w:p>
    <w:p w:rsidR="00473663" w:rsidRPr="00B546D9" w:rsidP="00BD0B77" w14:paraId="665D4D87" w14:textId="082EC4B7">
      <w:pPr>
        <w:pStyle w:val="ParaNum"/>
        <w:numPr>
          <w:ilvl w:val="0"/>
          <w:numId w:val="0"/>
        </w:numPr>
        <w:tabs>
          <w:tab w:val="left" w:pos="1800"/>
        </w:tabs>
        <w:ind w:left="1080" w:hanging="90"/>
      </w:pPr>
      <w:r>
        <w:t>“</w:t>
      </w:r>
      <w:r w:rsidR="00886E6F">
        <w:t>15.</w:t>
      </w:r>
      <w:r w:rsidR="00886E6F">
        <w:tab/>
      </w:r>
      <w:r w:rsidR="00963E55">
        <w:t>Effect</w:t>
      </w:r>
      <w:r w:rsidR="001B5B6D">
        <w:t>i</w:t>
      </w:r>
      <w:r w:rsidR="00963E55">
        <w:t xml:space="preserve">ve 30 days after publication in the </w:t>
      </w:r>
      <w:r w:rsidR="00963E55">
        <w:rPr>
          <w:i/>
          <w:iCs/>
        </w:rPr>
        <w:t>Federal Register</w:t>
      </w:r>
      <w:r w:rsidR="00963E55">
        <w:t xml:space="preserve">, </w:t>
      </w:r>
      <w:r w:rsidR="00F56EAC">
        <w:t>a</w:t>
      </w:r>
      <w:r w:rsidR="005309D0">
        <w:t>dd</w:t>
      </w:r>
      <w:r w:rsidRPr="00B546D9">
        <w:t xml:space="preserve"> § 25.125 to read as follows:</w:t>
      </w:r>
    </w:p>
    <w:p w:rsidR="00473663" w:rsidRPr="00852EAD" w:rsidP="00F92957" w14:paraId="24741899" w14:textId="77777777">
      <w:pPr>
        <w:spacing w:after="120"/>
        <w:ind w:left="1080"/>
        <w:rPr>
          <w:b/>
        </w:rPr>
      </w:pPr>
      <w:r w:rsidRPr="0F745666">
        <w:rPr>
          <w:b/>
        </w:rPr>
        <w:t>§ 25.125 Applications for supplemental coverage from space (SCS).</w:t>
      </w:r>
    </w:p>
    <w:p w:rsidR="00473663" w:rsidRPr="00B546D9" w:rsidP="00F92957" w14:paraId="14E07648" w14:textId="6AE6C623">
      <w:pPr>
        <w:spacing w:after="120"/>
        <w:ind w:left="1440"/>
      </w:pPr>
      <w:r w:rsidRPr="47AEDD02">
        <w:t xml:space="preserve">(a) </w:t>
      </w:r>
      <w:r w:rsidRPr="47AEDD02">
        <w:rPr>
          <w:i/>
        </w:rPr>
        <w:t>SCS entry criteria.</w:t>
      </w:r>
      <w:r w:rsidRPr="47AEDD02">
        <w:t xml:space="preserve"> This section appl</w:t>
      </w:r>
      <w:r>
        <w:t>ies only</w:t>
      </w:r>
      <w:r w:rsidRPr="47AEDD02">
        <w:t xml:space="preserve"> to applicants seeking to provide SCS. An applicant for SCS space station authorization must hold either an existing NGSO or GSO license or grant of U.S. market access</w:t>
      </w:r>
      <w:r>
        <w:t xml:space="preserve"> under this part</w:t>
      </w:r>
      <w:r w:rsidRPr="47AEDD02">
        <w:t>, or must be seeking a NGSO or GSO license or grant of U.S. market access</w:t>
      </w:r>
      <w:r>
        <w:t xml:space="preserve"> under this part</w:t>
      </w:r>
      <w:r w:rsidRPr="47AEDD02">
        <w:t xml:space="preserve">, and must </w:t>
      </w:r>
      <w:r>
        <w:t>have a lease arrangement(s) or agreement pursuant to § 1.9047</w:t>
      </w:r>
      <w:r w:rsidRPr="47AEDD02">
        <w:t xml:space="preserve"> </w:t>
      </w:r>
      <w:r>
        <w:t xml:space="preserve">of this chapter </w:t>
      </w:r>
      <w:r w:rsidRPr="47AEDD02">
        <w:t xml:space="preserve">with one or more terrestrial wireless licensee(s) that hold, collectively or individually, all co-channel licenses throughout a GIA in a band </w:t>
      </w:r>
      <w:r>
        <w:t>identified in § 2.106(d)(33)(</w:t>
      </w:r>
      <w:r>
        <w:t>i</w:t>
      </w:r>
      <w:r>
        <w:t>)</w:t>
      </w:r>
      <w:r w:rsidRPr="47AEDD02">
        <w:t xml:space="preserve"> of this chapter. Applicants for SCS space stations must comply with the requirements set forth in paragraph (b) of this section. </w:t>
      </w:r>
    </w:p>
    <w:p w:rsidR="00473663" w:rsidRPr="00B546D9" w:rsidP="00B634C5" w14:paraId="022673B0" w14:textId="423248E8">
      <w:pPr>
        <w:spacing w:after="120"/>
        <w:ind w:left="1440"/>
      </w:pPr>
      <w:r w:rsidRPr="00B546D9">
        <w:t xml:space="preserve">(b) </w:t>
      </w:r>
      <w:r w:rsidRPr="00B546D9">
        <w:rPr>
          <w:i/>
          <w:iCs/>
        </w:rPr>
        <w:t xml:space="preserve">SCS space station application requirements. </w:t>
      </w:r>
      <w:r w:rsidRPr="00B546D9">
        <w:t xml:space="preserve">An applicant seeking a space station authorization </w:t>
      </w:r>
      <w:r>
        <w:t>to provide</w:t>
      </w:r>
      <w:r w:rsidRPr="00B546D9">
        <w:t xml:space="preserve"> SCS </w:t>
      </w:r>
      <w:r>
        <w:t>must either</w:t>
      </w:r>
      <w:r w:rsidRPr="00B546D9">
        <w:t xml:space="preserve"> submit an application requesting modification </w:t>
      </w:r>
      <w:r w:rsidRPr="00B546D9">
        <w:t>of a current NGSO or GSO license or grant of U.S. market access</w:t>
      </w:r>
      <w:r>
        <w:t xml:space="preserve"> under this part</w:t>
      </w:r>
      <w:r w:rsidRPr="00B546D9">
        <w:t>, or an application seeking a new NGSO or GSO license or grant of U.S. market access</w:t>
      </w:r>
      <w:r>
        <w:t xml:space="preserve"> under this part</w:t>
      </w:r>
      <w:r w:rsidRPr="00B546D9">
        <w:t>.</w:t>
      </w:r>
    </w:p>
    <w:p w:rsidR="00473663" w:rsidRPr="00B546D9" w:rsidP="00911274" w14:paraId="25C1DFFA" w14:textId="31F75EB9">
      <w:pPr>
        <w:spacing w:after="120"/>
        <w:ind w:left="1800"/>
      </w:pPr>
      <w:r w:rsidRPr="00B546D9">
        <w:t xml:space="preserve">(1) </w:t>
      </w:r>
      <w:r>
        <w:t xml:space="preserve">- </w:t>
      </w:r>
      <w:r w:rsidRPr="00B546D9">
        <w:t xml:space="preserve">(2) </w:t>
      </w:r>
      <w:r>
        <w:t>[Reserved].</w:t>
      </w:r>
    </w:p>
    <w:p w:rsidR="00473663" w:rsidRPr="00B546D9" w:rsidP="00BD0B77" w14:paraId="19BA3DDC" w14:textId="2A153CC0">
      <w:pPr>
        <w:spacing w:after="120"/>
        <w:ind w:left="1800"/>
      </w:pPr>
      <w:r w:rsidRPr="00B546D9">
        <w:t>(</w:t>
      </w:r>
      <w:r>
        <w:t>3</w:t>
      </w:r>
      <w:r w:rsidRPr="00B546D9">
        <w:t>) Applications to modify a</w:t>
      </w:r>
      <w:r>
        <w:t>n</w:t>
      </w:r>
      <w:r w:rsidRPr="00B546D9">
        <w:t xml:space="preserve"> authorization </w:t>
      </w:r>
      <w:r>
        <w:t xml:space="preserve">under this part </w:t>
      </w:r>
      <w:r w:rsidRPr="00B546D9">
        <w:t xml:space="preserve">to provide SCS and applications seeking to provide SCS in the bands identified in </w:t>
      </w:r>
      <w:r>
        <w:t>§ 2.106(d)(33)(</w:t>
      </w:r>
      <w:r>
        <w:t>i</w:t>
      </w:r>
      <w:r>
        <w:t>) of this chapter</w:t>
      </w:r>
      <w:r w:rsidRPr="00B546D9">
        <w:t xml:space="preserve"> will not be subject to the processing round procedures or first-come, first-served procedures in §§</w:t>
      </w:r>
      <w:r>
        <w:t> </w:t>
      </w:r>
      <w:r w:rsidRPr="00B546D9">
        <w:t>25.137</w:t>
      </w:r>
      <w:r w:rsidR="00A10AB3">
        <w:t>,</w:t>
      </w:r>
      <w:r w:rsidRPr="00B546D9">
        <w:t xml:space="preserve"> 25.157</w:t>
      </w:r>
      <w:r w:rsidR="00A10AB3">
        <w:t>, and 25.158</w:t>
      </w:r>
      <w:r w:rsidRPr="00B546D9">
        <w:t>.</w:t>
      </w:r>
    </w:p>
    <w:p w:rsidR="00473663" w:rsidP="00911274" w14:paraId="18E3D1B4" w14:textId="77777777">
      <w:pPr>
        <w:spacing w:after="120"/>
        <w:ind w:left="1440"/>
      </w:pPr>
      <w:r w:rsidRPr="001F3E82">
        <w:rPr>
          <w:iCs/>
        </w:rPr>
        <w:t>(</w:t>
      </w:r>
      <w:r>
        <w:rPr>
          <w:iCs/>
        </w:rPr>
        <w:t>c</w:t>
      </w:r>
      <w:r w:rsidRPr="001F3E82">
        <w:rPr>
          <w:iCs/>
        </w:rPr>
        <w:t>)</w:t>
      </w:r>
      <w:r w:rsidRPr="50EC1D04">
        <w:rPr>
          <w:i/>
        </w:rPr>
        <w:t xml:space="preserve"> </w:t>
      </w:r>
      <w:r>
        <w:rPr>
          <w:iCs/>
        </w:rPr>
        <w:t>[Reserved].</w:t>
      </w:r>
      <w:r w:rsidRPr="50EC1D04">
        <w:t xml:space="preserve">  </w:t>
      </w:r>
    </w:p>
    <w:p w:rsidR="00473663" w:rsidP="003C17CE" w14:paraId="76F0A361" w14:textId="77777777">
      <w:pPr>
        <w:spacing w:after="120"/>
        <w:ind w:left="1440"/>
      </w:pPr>
      <w:r w:rsidRPr="7A9EC546">
        <w:t>(</w:t>
      </w:r>
      <w:r>
        <w:t>d</w:t>
      </w:r>
      <w:r w:rsidRPr="7A9EC546">
        <w:t xml:space="preserve">) </w:t>
      </w:r>
      <w:r w:rsidRPr="7A9EC546">
        <w:rPr>
          <w:i/>
        </w:rPr>
        <w:t>Effective date</w:t>
      </w:r>
      <w:r w:rsidRPr="45627098">
        <w:rPr>
          <w:i/>
        </w:rPr>
        <w:t xml:space="preserve"> </w:t>
      </w:r>
      <w:r w:rsidRPr="45627098">
        <w:rPr>
          <w:i/>
          <w:iCs/>
        </w:rPr>
        <w:t xml:space="preserve">and continued operation </w:t>
      </w:r>
      <w:r w:rsidRPr="7A9EC546">
        <w:rPr>
          <w:i/>
        </w:rPr>
        <w:t>of SCS authorization.</w:t>
      </w:r>
      <w:r w:rsidRPr="7A9EC546">
        <w:t xml:space="preserve">  SCS authorization will be deemed effective in the Commission’s records and for purposes of the application of the rules set forth in this section </w:t>
      </w:r>
      <w:r>
        <w:t>after each of the following requirements is satisfied:</w:t>
      </w:r>
      <w:r w:rsidRPr="7A9EC546">
        <w:t xml:space="preserve"> </w:t>
      </w:r>
    </w:p>
    <w:p w:rsidR="00473663" w:rsidP="00BD0B77" w14:paraId="08B8BAE6" w14:textId="72C6FF88">
      <w:pPr>
        <w:pStyle w:val="ListParagraph"/>
        <w:widowControl/>
        <w:spacing w:after="120"/>
        <w:ind w:left="1800"/>
        <w:contextualSpacing w:val="0"/>
      </w:pPr>
      <w:r>
        <w:t xml:space="preserve">(1) </w:t>
      </w:r>
      <w:r>
        <w:t>Grant of:</w:t>
      </w:r>
    </w:p>
    <w:p w:rsidR="00473663" w:rsidP="00BD0B77" w14:paraId="7DEE568E" w14:textId="6DB94BDF">
      <w:pPr>
        <w:pStyle w:val="ListParagraph"/>
        <w:spacing w:after="120"/>
        <w:ind w:left="2160"/>
      </w:pPr>
      <w:r w:rsidRPr="00A709B7">
        <w:t>(</w:t>
      </w:r>
      <w:r>
        <w:t>i</w:t>
      </w:r>
      <w:r w:rsidRPr="00A709B7">
        <w:t xml:space="preserve">) </w:t>
      </w:r>
      <w:r>
        <w:t>A</w:t>
      </w:r>
      <w:r w:rsidRPr="00A709B7">
        <w:t xml:space="preserve"> modification application </w:t>
      </w:r>
      <w:r w:rsidR="001C60FB">
        <w:t xml:space="preserve">under this part </w:t>
      </w:r>
      <w:r w:rsidRPr="00A709B7">
        <w:t>or request for modification of a grant of market access</w:t>
      </w:r>
      <w:r w:rsidR="001C60FB">
        <w:t>;</w:t>
      </w:r>
      <w:r w:rsidRPr="00A709B7">
        <w:t xml:space="preserve"> or </w:t>
      </w:r>
    </w:p>
    <w:p w:rsidR="00473663" w:rsidRPr="00902C24" w:rsidP="00874A02" w14:paraId="3B7B80B2" w14:textId="77777777">
      <w:pPr>
        <w:pStyle w:val="ListParagraph"/>
        <w:spacing w:after="120"/>
        <w:ind w:left="2160"/>
      </w:pPr>
      <w:r w:rsidRPr="00A709B7">
        <w:t>(</w:t>
      </w:r>
      <w:r>
        <w:t>ii</w:t>
      </w:r>
      <w:r w:rsidRPr="00A709B7">
        <w:t xml:space="preserve">) </w:t>
      </w:r>
      <w:r>
        <w:t>A</w:t>
      </w:r>
      <w:r w:rsidRPr="00A709B7">
        <w:t>n application to launch and operate or market access</w:t>
      </w:r>
      <w:r>
        <w:t>;</w:t>
      </w:r>
      <w:r w:rsidRPr="00A709B7">
        <w:t xml:space="preserve"> </w:t>
      </w:r>
    </w:p>
    <w:p w:rsidR="00473663" w:rsidRPr="00A709B7" w:rsidP="00BD0B77" w14:paraId="0C04F0ED" w14:textId="2A6B99E0">
      <w:pPr>
        <w:widowControl/>
        <w:spacing w:after="120" w:line="259" w:lineRule="auto"/>
        <w:ind w:left="1800"/>
      </w:pPr>
      <w:r>
        <w:t xml:space="preserve">(2) </w:t>
      </w:r>
      <w:r w:rsidRPr="00A709B7">
        <w:t>Approval</w:t>
      </w:r>
      <w:r>
        <w:t xml:space="preserve"> of a leasing arrangement(s) or agreement(s)</w:t>
      </w:r>
      <w:r w:rsidR="001C60FB">
        <w:t xml:space="preserve"> under part 1 of this chapter</w:t>
      </w:r>
      <w:r>
        <w:t xml:space="preserve"> (</w:t>
      </w:r>
      <w:r w:rsidRPr="00B634C5">
        <w:rPr>
          <w:i/>
          <w:iCs/>
        </w:rPr>
        <w:t>see</w:t>
      </w:r>
      <w:r>
        <w:t xml:space="preserve"> § 1.9047</w:t>
      </w:r>
      <w:r w:rsidR="001C60FB">
        <w:t xml:space="preserve"> of this chapter</w:t>
      </w:r>
      <w:r>
        <w:t>); and</w:t>
      </w:r>
    </w:p>
    <w:p w:rsidR="00473663" w:rsidP="00BD0B77" w14:paraId="349B79C8" w14:textId="678F6709">
      <w:pPr>
        <w:widowControl/>
        <w:spacing w:after="120" w:line="259" w:lineRule="auto"/>
        <w:ind w:left="1800"/>
      </w:pPr>
      <w:r>
        <w:t xml:space="preserve">(3) </w:t>
      </w:r>
      <w:r w:rsidRPr="00A709B7">
        <w:t>Grant of</w:t>
      </w:r>
      <w:r>
        <w:t xml:space="preserve"> a valid SCS earth station equipment certification under part 2 of this chapter.</w:t>
      </w:r>
    </w:p>
    <w:p w:rsidR="00473663" w:rsidP="00BD0B77" w14:paraId="1670DA22" w14:textId="41CF750D">
      <w:pPr>
        <w:spacing w:after="120"/>
        <w:ind w:left="1440"/>
      </w:pPr>
      <w:r>
        <w:t xml:space="preserve">(e) </w:t>
      </w:r>
      <w:r w:rsidRPr="00A77414">
        <w:rPr>
          <w:i/>
          <w:iCs/>
        </w:rPr>
        <w:t>SCS earth station equipment certification requirements.</w:t>
      </w:r>
      <w:r>
        <w:t xml:space="preserve">  </w:t>
      </w:r>
      <w:r w:rsidRPr="71ED7738">
        <w:t xml:space="preserve">Applicants for certification for SCS earth stations for use with a satellite system must meet all requirements for equipment certification and equipment test data necessary to demonstrate compliance with pertinent standards under </w:t>
      </w:r>
      <w:r w:rsidRPr="71ED7738">
        <w:t>part</w:t>
      </w:r>
      <w:r w:rsidRPr="71ED7738">
        <w:t xml:space="preserve"> 22, 24, or 27 of this chapter as applicable</w:t>
      </w:r>
      <w:r>
        <w:t>.”</w:t>
      </w:r>
    </w:p>
    <w:p w:rsidR="00473663" w:rsidRPr="009B4D31" w:rsidP="00BD0B77" w14:paraId="427077C3" w14:textId="472A1434">
      <w:pPr>
        <w:pStyle w:val="ParaNum"/>
        <w:tabs>
          <w:tab w:val="num" w:pos="720"/>
          <w:tab w:val="clear" w:pos="1440"/>
        </w:tabs>
        <w:ind w:firstLine="360"/>
      </w:pPr>
      <w:r>
        <w:rPr>
          <w:szCs w:val="22"/>
          <w:shd w:val="clear" w:color="auto" w:fill="FFFFFF"/>
        </w:rPr>
        <w:t xml:space="preserve">Amendatory instruction </w:t>
      </w:r>
      <w:r w:rsidRPr="00F56EAC">
        <w:rPr>
          <w:szCs w:val="22"/>
          <w:shd w:val="clear" w:color="auto" w:fill="FFFFFF"/>
        </w:rPr>
        <w:t>16</w:t>
      </w:r>
      <w:r>
        <w:rPr>
          <w:szCs w:val="22"/>
          <w:shd w:val="clear" w:color="auto" w:fill="FFFFFF"/>
        </w:rPr>
        <w:t>, revising</w:t>
      </w:r>
      <w:r w:rsidRPr="00F56EAC">
        <w:rPr>
          <w:szCs w:val="22"/>
          <w:shd w:val="clear" w:color="auto" w:fill="FFFFFF"/>
        </w:rPr>
        <w:t xml:space="preserve"> </w:t>
      </w:r>
      <w:r w:rsidRPr="00F56EAC" w:rsidR="003C17CE">
        <w:rPr>
          <w:bCs/>
          <w:szCs w:val="22"/>
          <w:shd w:val="clear" w:color="auto" w:fill="FFFFFF"/>
        </w:rPr>
        <w:t>§</w:t>
      </w:r>
      <w:r w:rsidRPr="00F56EAC">
        <w:rPr>
          <w:bCs/>
          <w:szCs w:val="22"/>
          <w:shd w:val="clear" w:color="auto" w:fill="FFFFFF"/>
        </w:rPr>
        <w:t xml:space="preserve"> 25.125</w:t>
      </w:r>
      <w:r w:rsidRPr="00A23757">
        <w:rPr>
          <w:bCs/>
          <w:szCs w:val="22"/>
          <w:shd w:val="clear" w:color="auto" w:fill="FFFFFF"/>
        </w:rPr>
        <w:t>,</w:t>
      </w:r>
      <w:r>
        <w:rPr>
          <w:b/>
          <w:szCs w:val="22"/>
          <w:shd w:val="clear" w:color="auto" w:fill="FFFFFF"/>
        </w:rPr>
        <w:t xml:space="preserve"> </w:t>
      </w:r>
      <w:r>
        <w:rPr>
          <w:szCs w:val="22"/>
          <w:shd w:val="clear" w:color="auto" w:fill="FFFFFF"/>
        </w:rPr>
        <w:t xml:space="preserve">is </w:t>
      </w:r>
      <w:r w:rsidRPr="00F56EAC" w:rsidR="003C17CE">
        <w:rPr>
          <w:szCs w:val="22"/>
          <w:shd w:val="clear" w:color="auto" w:fill="FFFFFF"/>
        </w:rPr>
        <w:t>corrected to read as</w:t>
      </w:r>
      <w:r w:rsidRPr="00F56EAC">
        <w:rPr>
          <w:szCs w:val="22"/>
          <w:shd w:val="clear" w:color="auto" w:fill="FFFFFF"/>
        </w:rPr>
        <w:t xml:space="preserve"> follow</w:t>
      </w:r>
      <w:r w:rsidRPr="00F56EAC" w:rsidR="003C17CE">
        <w:rPr>
          <w:szCs w:val="22"/>
          <w:shd w:val="clear" w:color="auto" w:fill="FFFFFF"/>
        </w:rPr>
        <w:t>s</w:t>
      </w:r>
      <w:r w:rsidRPr="00F56EAC">
        <w:rPr>
          <w:szCs w:val="22"/>
          <w:shd w:val="clear" w:color="auto" w:fill="FFFFFF"/>
        </w:rPr>
        <w:t>:</w:t>
      </w:r>
    </w:p>
    <w:p w:rsidR="009861AB" w:rsidP="00BD0B77" w14:paraId="09B7647B" w14:textId="1C98373D">
      <w:pPr>
        <w:pStyle w:val="ParaNum"/>
        <w:numPr>
          <w:ilvl w:val="0"/>
          <w:numId w:val="0"/>
        </w:numPr>
        <w:tabs>
          <w:tab w:val="left" w:pos="1800"/>
        </w:tabs>
        <w:ind w:left="1080" w:hanging="90"/>
      </w:pPr>
      <w:r>
        <w:t>“</w:t>
      </w:r>
      <w:r w:rsidR="00911274">
        <w:t>16.</w:t>
      </w:r>
      <w:r w:rsidR="00911274">
        <w:tab/>
      </w:r>
      <w:r w:rsidRPr="007704F1">
        <w:t xml:space="preserve">Delayed </w:t>
      </w:r>
      <w:r w:rsidRPr="009861AB">
        <w:rPr>
          <w:szCs w:val="22"/>
        </w:rPr>
        <w:t>indefinitely</w:t>
      </w:r>
      <w:r w:rsidRPr="007704F1">
        <w:t xml:space="preserve">, </w:t>
      </w:r>
      <w:r>
        <w:t>amend</w:t>
      </w:r>
      <w:r w:rsidRPr="007704F1">
        <w:t xml:space="preserve"> § </w:t>
      </w:r>
      <w:r>
        <w:t>25.125</w:t>
      </w:r>
      <w:r w:rsidRPr="007704F1">
        <w:t xml:space="preserve"> by adding paragraph</w:t>
      </w:r>
      <w:r>
        <w:t>s</w:t>
      </w:r>
      <w:r w:rsidRPr="007704F1">
        <w:t xml:space="preserve"> </w:t>
      </w:r>
      <w:r>
        <w:t>(b)(1)</w:t>
      </w:r>
      <w:r w:rsidR="003618D2">
        <w:t xml:space="preserve"> and </w:t>
      </w:r>
      <w:r>
        <w:t>(2) and (c)</w:t>
      </w:r>
      <w:r w:rsidRPr="007704F1">
        <w:t xml:space="preserve"> to read as follows</w:t>
      </w:r>
      <w:r>
        <w:t>:</w:t>
      </w:r>
    </w:p>
    <w:p w:rsidR="00B30E4C" w:rsidRPr="00A77414" w:rsidP="00BD0B77" w14:paraId="67EEDF7D" w14:textId="77777777">
      <w:pPr>
        <w:snapToGrid w:val="0"/>
        <w:spacing w:after="120"/>
        <w:ind w:left="1080"/>
        <w:rPr>
          <w:b/>
          <w:bCs/>
        </w:rPr>
      </w:pPr>
      <w:r w:rsidRPr="00A77414">
        <w:rPr>
          <w:b/>
          <w:bCs/>
        </w:rPr>
        <w:t>§ 25.125 Applications for supplemental coverage from space (SCS).</w:t>
      </w:r>
    </w:p>
    <w:p w:rsidR="00B30E4C" w:rsidRPr="00A34827" w:rsidP="00BD0B77" w14:paraId="5200BD6A" w14:textId="77777777">
      <w:pPr>
        <w:snapToGrid w:val="0"/>
        <w:spacing w:after="120"/>
        <w:ind w:left="1080"/>
      </w:pPr>
      <w:r>
        <w:t>* * * * *</w:t>
      </w:r>
    </w:p>
    <w:p w:rsidR="00B30E4C" w:rsidRPr="00A34827" w:rsidP="00BD0B77" w14:paraId="016F60C8" w14:textId="77777777">
      <w:pPr>
        <w:snapToGrid w:val="0"/>
        <w:spacing w:after="120"/>
        <w:ind w:left="1440"/>
      </w:pPr>
      <w:r>
        <w:t>(b) * * *</w:t>
      </w:r>
      <w:bookmarkStart w:id="3" w:name="_Hlk158301647"/>
    </w:p>
    <w:p w:rsidR="00B30E4C" w:rsidRPr="00B546D9" w:rsidP="00BD0B77" w14:paraId="28E080E5" w14:textId="77777777">
      <w:pPr>
        <w:spacing w:after="120"/>
        <w:ind w:left="1800"/>
      </w:pPr>
      <w:r w:rsidRPr="00A34827">
        <w:rPr>
          <w:rFonts w:eastAsia="Calibri"/>
        </w:rPr>
        <w:t>(</w:t>
      </w:r>
      <w:r>
        <w:t>1</w:t>
      </w:r>
      <w:r w:rsidRPr="00A34827">
        <w:rPr>
          <w:rFonts w:eastAsia="Calibri"/>
        </w:rPr>
        <w:t>)</w:t>
      </w:r>
      <w:r>
        <w:t xml:space="preserve"> </w:t>
      </w:r>
      <w:r w:rsidRPr="00B546D9">
        <w:t xml:space="preserve">The application </w:t>
      </w:r>
      <w:r>
        <w:t>must</w:t>
      </w:r>
      <w:r w:rsidRPr="00B546D9">
        <w:t xml:space="preserve"> </w:t>
      </w:r>
      <w:bookmarkEnd w:id="3"/>
      <w:r w:rsidRPr="00B546D9">
        <w:t xml:space="preserve">include a certification </w:t>
      </w:r>
      <w:r>
        <w:t>that</w:t>
      </w:r>
      <w:r w:rsidRPr="00B546D9">
        <w:t>:</w:t>
      </w:r>
    </w:p>
    <w:p w:rsidR="00B30E4C" w:rsidRPr="00FF30C8" w:rsidP="00B30E4C" w14:paraId="47BD996C" w14:textId="77777777">
      <w:pPr>
        <w:spacing w:after="120"/>
        <w:ind w:left="2160"/>
      </w:pPr>
      <w:r w:rsidRPr="0C4CAA2D">
        <w:t>(</w:t>
      </w:r>
      <w:r w:rsidRPr="0C4CAA2D">
        <w:t>i</w:t>
      </w:r>
      <w:r w:rsidRPr="0C4CAA2D">
        <w:t xml:space="preserve">) </w:t>
      </w:r>
      <w:r>
        <w:t xml:space="preserve">A lease notification(s) or application(s), pursuant to </w:t>
      </w:r>
      <w:r w:rsidRPr="0C4CAA2D">
        <w:t xml:space="preserve">§ </w:t>
      </w:r>
      <w:r w:rsidRPr="00971385">
        <w:t>1.9047</w:t>
      </w:r>
      <w:r>
        <w:t xml:space="preserve"> </w:t>
      </w:r>
      <w:r w:rsidRPr="00971385">
        <w:t>of this chapter</w:t>
      </w:r>
      <w:r>
        <w:t xml:space="preserve">, where a single terrestrial wireless licensee holds or multiple co-channel licensees collectively hold all co-channel licenses within the relevant GIA </w:t>
      </w:r>
      <w:r w:rsidRPr="00FF30C8">
        <w:t>in the bands identified in § 2.106(d)(33)(</w:t>
      </w:r>
      <w:r w:rsidRPr="00FF30C8">
        <w:t>i</w:t>
      </w:r>
      <w:r w:rsidRPr="00FF30C8">
        <w:t>) of this chapter</w:t>
      </w:r>
      <w:r>
        <w:t>, or as it pertains to FirstNet, an agreement,</w:t>
      </w:r>
      <w:r w:rsidRPr="0C4CAA2D">
        <w:t xml:space="preserve"> is on file with the Commission</w:t>
      </w:r>
      <w:r>
        <w:t xml:space="preserve">; </w:t>
      </w:r>
    </w:p>
    <w:p w:rsidR="00B30E4C" w:rsidRPr="00BE6CF1" w:rsidP="00B30E4C" w14:paraId="4FB3AD78" w14:textId="77777777">
      <w:pPr>
        <w:spacing w:after="120"/>
        <w:ind w:left="2160"/>
      </w:pPr>
      <w:r w:rsidRPr="00B546D9">
        <w:t xml:space="preserve">(ii) </w:t>
      </w:r>
      <w:r>
        <w:rPr>
          <w:color w:val="000000"/>
          <w:szCs w:val="22"/>
          <w:shd w:val="clear" w:color="auto" w:fill="FFFFFF"/>
        </w:rPr>
        <w:t>The current space station licensee under this part or grantee of market access for NGSO or GSO satellite operation under this part seeks modification of authority to provide SCS in the same geographic areas covered in the relevant GIA, or the applicant for a space station license under this part or grant of market access for NGSO or GSO satellite operation under this part seeks to provide SCS in the same geographic areas covered in the relevant GIA</w:t>
      </w:r>
      <w:r w:rsidRPr="00BE6CF1">
        <w:t>; and</w:t>
      </w:r>
    </w:p>
    <w:p w:rsidR="00B30E4C" w:rsidP="00B30E4C" w14:paraId="3B12C609" w14:textId="77777777">
      <w:pPr>
        <w:spacing w:after="120"/>
        <w:ind w:left="2160"/>
      </w:pPr>
      <w:r w:rsidRPr="512AB4B1">
        <w:t xml:space="preserve">(iii) </w:t>
      </w:r>
      <w:r w:rsidRPr="33B87390">
        <w:t xml:space="preserve">SCS </w:t>
      </w:r>
      <w:r w:rsidRPr="512AB4B1">
        <w:t xml:space="preserve">earth stations will qualify as “licensed by rule” earth stations under § 25.115(q). </w:t>
      </w:r>
    </w:p>
    <w:p w:rsidR="00B30E4C" w:rsidP="00BD0B77" w14:paraId="5A442142" w14:textId="77777777">
      <w:pPr>
        <w:pStyle w:val="ListParagraph"/>
        <w:spacing w:after="120"/>
        <w:ind w:left="1800"/>
        <w:contextualSpacing w:val="0"/>
      </w:pPr>
      <w:r w:rsidRPr="00A709B7">
        <w:t>(2)</w:t>
      </w:r>
      <w:r>
        <w:t xml:space="preserve"> </w:t>
      </w:r>
      <w:r w:rsidRPr="00FD084F">
        <w:t>The application must include a comprehensive proposal for the prospective SCS system on FCC Form 312, Main Form and Schedule S, as described in § 25.114, together with the certification described in paragraph (b)(1) of this section and include a list of the file and identification numbers associated with the relevant leasing notification(s)</w:t>
      </w:r>
      <w:r>
        <w:t xml:space="preserve"> under part 1 of this chapter</w:t>
      </w:r>
      <w:r w:rsidRPr="00FD084F">
        <w:t>, application(s), and FCC Form 601(s), with a brief description of the coverage areas that will be served, domestically and internationally.</w:t>
      </w:r>
    </w:p>
    <w:p w:rsidR="00B30E4C" w:rsidRPr="00F81A5D" w:rsidP="00BD0B77" w14:paraId="1E350BA4" w14:textId="77777777">
      <w:pPr>
        <w:spacing w:after="120"/>
        <w:ind w:left="1080"/>
      </w:pPr>
      <w:r w:rsidRPr="00F81A5D">
        <w:t>* * * * *</w:t>
      </w:r>
    </w:p>
    <w:p w:rsidR="00B30E4C" w:rsidP="008E7F6A" w14:paraId="740C618D" w14:textId="77777777">
      <w:pPr>
        <w:spacing w:after="120"/>
        <w:ind w:left="1440"/>
      </w:pPr>
      <w:r>
        <w:t xml:space="preserve">(c) </w:t>
      </w:r>
      <w:r w:rsidRPr="00FE4799">
        <w:rPr>
          <w:i/>
          <w:iCs/>
        </w:rPr>
        <w:t>Equipment authorization for SCS earth stations.</w:t>
      </w:r>
      <w:r>
        <w:t xml:space="preserve"> </w:t>
      </w:r>
      <w:r w:rsidRPr="00FE4799">
        <w:t xml:space="preserve">Each SCS earth station used to provide SCS under this section must meet the equipment authorization requirements under </w:t>
      </w:r>
      <w:r>
        <w:t xml:space="preserve">paragraph </w:t>
      </w:r>
      <w:r w:rsidRPr="00FE4799">
        <w:t>(e)</w:t>
      </w:r>
      <w:r>
        <w:t xml:space="preserve"> of this section</w:t>
      </w:r>
      <w:r w:rsidRPr="00FE4799">
        <w:t xml:space="preserve"> and all equipment authorization requirements for all intended uses of the device pursuant to the procedures specified in part 2 of this chapter and the requirements of at least one of part 22, 24, or 27 of this chapter.</w:t>
      </w:r>
    </w:p>
    <w:p w:rsidR="00473663" w:rsidP="00BD0B77" w14:paraId="18471273" w14:textId="1DC23173">
      <w:pPr>
        <w:spacing w:after="120"/>
        <w:ind w:left="1080"/>
      </w:pPr>
      <w:r>
        <w:t>* * * * *”</w:t>
      </w:r>
    </w:p>
    <w:p w:rsidR="00A84516" w:rsidP="00BD0B77" w14:paraId="446D7B90" w14:textId="1AA8B4F0">
      <w:pPr>
        <w:pStyle w:val="ParaNum"/>
        <w:tabs>
          <w:tab w:val="num" w:pos="720"/>
          <w:tab w:val="clear" w:pos="1440"/>
        </w:tabs>
        <w:ind w:firstLine="360"/>
      </w:pPr>
      <w:r>
        <w:t xml:space="preserve">In paragraph </w:t>
      </w:r>
      <w:r w:rsidR="00011B8A">
        <w:t xml:space="preserve">(f) of </w:t>
      </w:r>
      <w:r w:rsidRPr="00F56EAC" w:rsidR="00C04023">
        <w:rPr>
          <w:b/>
        </w:rPr>
        <w:t>§</w:t>
      </w:r>
      <w:r w:rsidRPr="00F56EAC">
        <w:rPr>
          <w:b/>
        </w:rPr>
        <w:t xml:space="preserve"> 25.137</w:t>
      </w:r>
      <w:r>
        <w:t>, replace “(</w:t>
      </w:r>
      <w:r>
        <w:t>i</w:t>
      </w:r>
      <w:r>
        <w:t>)” with “(j).”</w:t>
      </w:r>
    </w:p>
    <w:p w:rsidR="00253099" w:rsidP="00066F0F" w14:paraId="596198DF" w14:textId="55320F69">
      <w:pPr>
        <w:pStyle w:val="ParaNum"/>
        <w:keepNext/>
        <w:widowControl/>
        <w:tabs>
          <w:tab w:val="num" w:pos="720"/>
          <w:tab w:val="clear" w:pos="1440"/>
        </w:tabs>
        <w:ind w:firstLine="360"/>
      </w:pPr>
      <w:r w:rsidRPr="00DB1140">
        <w:t xml:space="preserve">In paragraph </w:t>
      </w:r>
      <w:r>
        <w:t xml:space="preserve">(k)(1) of </w:t>
      </w:r>
      <w:r w:rsidRPr="00F56EAC" w:rsidR="00C04023">
        <w:rPr>
          <w:b/>
        </w:rPr>
        <w:t>§</w:t>
      </w:r>
      <w:r w:rsidRPr="00F56EAC">
        <w:rPr>
          <w:b/>
        </w:rPr>
        <w:t xml:space="preserve"> 25.202</w:t>
      </w:r>
      <w:r>
        <w:t>, change “§ 25.202(f)” to “paragraph (f) of this section.”</w:t>
      </w:r>
    </w:p>
    <w:p w:rsidR="00641156" w:rsidP="00066F0F" w14:paraId="417E76D5" w14:textId="51B8D923">
      <w:pPr>
        <w:pStyle w:val="ParaNum"/>
        <w:tabs>
          <w:tab w:val="num" w:pos="720"/>
          <w:tab w:val="clear" w:pos="1440"/>
        </w:tabs>
        <w:ind w:firstLine="360"/>
      </w:pPr>
      <w:r>
        <w:t xml:space="preserve">In </w:t>
      </w:r>
      <w:r w:rsidR="003F5659">
        <w:t xml:space="preserve">amendatory instruction </w:t>
      </w:r>
      <w:r>
        <w:t>20, the first sentence is corrected to read as follows</w:t>
      </w:r>
      <w:r>
        <w:t>:</w:t>
      </w:r>
    </w:p>
    <w:p w:rsidR="007973CE" w:rsidP="00BD0B77" w14:paraId="52CBE16A" w14:textId="33CCA009">
      <w:pPr>
        <w:pStyle w:val="ParaNum"/>
        <w:numPr>
          <w:ilvl w:val="0"/>
          <w:numId w:val="0"/>
        </w:numPr>
        <w:tabs>
          <w:tab w:val="left" w:pos="1800"/>
        </w:tabs>
        <w:ind w:left="1080" w:hanging="90"/>
      </w:pPr>
      <w:r>
        <w:rPr>
          <w:szCs w:val="22"/>
        </w:rPr>
        <w:t>“</w:t>
      </w:r>
      <w:r w:rsidR="00C04023">
        <w:rPr>
          <w:szCs w:val="22"/>
        </w:rPr>
        <w:t>20.</w:t>
      </w:r>
      <w:r w:rsidR="00C04023">
        <w:rPr>
          <w:szCs w:val="22"/>
        </w:rPr>
        <w:tab/>
      </w:r>
      <w:r w:rsidRPr="007F40C7" w:rsidR="002B7E5E">
        <w:t xml:space="preserve">Amend </w:t>
      </w:r>
      <w:r w:rsidRPr="25B80F49" w:rsidR="002B7E5E">
        <w:t xml:space="preserve">§ </w:t>
      </w:r>
      <w:r w:rsidRPr="007F40C7" w:rsidR="002B7E5E">
        <w:t xml:space="preserve">25.204 by </w:t>
      </w:r>
      <w:r w:rsidR="002B7E5E">
        <w:t xml:space="preserve">revising the section heading and </w:t>
      </w:r>
      <w:r w:rsidRPr="007F40C7" w:rsidR="002B7E5E">
        <w:t>adding paragraph (g) to read as follows:</w:t>
      </w:r>
      <w:r w:rsidR="00E51C36">
        <w:t>”</w:t>
      </w:r>
    </w:p>
    <w:p w:rsidR="00A61E5C" w:rsidP="00066F0F" w14:paraId="2A9689A0" w14:textId="7B6001D9">
      <w:pPr>
        <w:pStyle w:val="ParaNum"/>
        <w:tabs>
          <w:tab w:val="num" w:pos="720"/>
          <w:tab w:val="clear" w:pos="1440"/>
        </w:tabs>
        <w:ind w:firstLine="360"/>
      </w:pPr>
      <w:r>
        <w:t xml:space="preserve">In </w:t>
      </w:r>
      <w:r w:rsidR="00AD6909">
        <w:t xml:space="preserve">amendatory instruction </w:t>
      </w:r>
      <w:r>
        <w:t>21, the first sentence is corrected to read as follows:</w:t>
      </w:r>
    </w:p>
    <w:p w:rsidR="00C41E29" w:rsidP="00BD0B77" w14:paraId="3058821B" w14:textId="0DAC06E4">
      <w:pPr>
        <w:pStyle w:val="ParaNum"/>
        <w:numPr>
          <w:ilvl w:val="0"/>
          <w:numId w:val="0"/>
        </w:numPr>
        <w:tabs>
          <w:tab w:val="left" w:pos="1800"/>
        </w:tabs>
        <w:ind w:left="1080" w:hanging="90"/>
      </w:pPr>
      <w:r>
        <w:rPr>
          <w:szCs w:val="22"/>
        </w:rPr>
        <w:t>“</w:t>
      </w:r>
      <w:r w:rsidR="00240D1A">
        <w:rPr>
          <w:szCs w:val="22"/>
        </w:rPr>
        <w:t>21.</w:t>
      </w:r>
      <w:r w:rsidR="00240D1A">
        <w:rPr>
          <w:szCs w:val="22"/>
        </w:rPr>
        <w:tab/>
      </w:r>
      <w:r w:rsidRPr="007F40C7">
        <w:t xml:space="preserve">Amend </w:t>
      </w:r>
      <w:r w:rsidRPr="25B80F49">
        <w:t xml:space="preserve">§ </w:t>
      </w:r>
      <w:r w:rsidRPr="007F40C7">
        <w:t>25.20</w:t>
      </w:r>
      <w:r>
        <w:t>8</w:t>
      </w:r>
      <w:r w:rsidRPr="007F40C7">
        <w:t xml:space="preserve"> by </w:t>
      </w:r>
      <w:r>
        <w:t xml:space="preserve">revising the section heading and </w:t>
      </w:r>
      <w:r w:rsidRPr="007F40C7">
        <w:t>adding paragraph (</w:t>
      </w:r>
      <w:r>
        <w:t>w</w:t>
      </w:r>
      <w:r w:rsidRPr="007F40C7">
        <w:t>) to read as follows:</w:t>
      </w:r>
      <w:r>
        <w:t>”</w:t>
      </w:r>
    </w:p>
    <w:p w:rsidR="00011B8A" w:rsidRPr="00DB1140" w:rsidP="00066F0F" w14:paraId="6FF07726" w14:textId="3C9FC93D">
      <w:pPr>
        <w:pStyle w:val="ParaNum"/>
        <w:keepNext/>
        <w:widowControl/>
        <w:tabs>
          <w:tab w:val="num" w:pos="720"/>
          <w:tab w:val="clear" w:pos="1440"/>
        </w:tabs>
        <w:ind w:firstLine="360"/>
      </w:pPr>
      <w:r w:rsidRPr="00DB1140">
        <w:t xml:space="preserve">In </w:t>
      </w:r>
      <w:r w:rsidR="00111F9A">
        <w:t>amendatory instruction</w:t>
      </w:r>
      <w:r w:rsidRPr="00DB1140" w:rsidR="00111F9A">
        <w:t xml:space="preserve"> </w:t>
      </w:r>
      <w:r w:rsidRPr="00DB1140" w:rsidR="00A61E5C">
        <w:t>21</w:t>
      </w:r>
      <w:r w:rsidRPr="00DB1140">
        <w:t>,</w:t>
      </w:r>
      <w:r w:rsidRPr="00DB1140" w:rsidR="00A61E5C">
        <w:t xml:space="preserve"> the section heading</w:t>
      </w:r>
      <w:r w:rsidRPr="00DB1140">
        <w:t xml:space="preserve"> for </w:t>
      </w:r>
      <w:r w:rsidRPr="00BD0B77" w:rsidR="00A61E5C">
        <w:rPr>
          <w:b/>
        </w:rPr>
        <w:t>§ 25.208</w:t>
      </w:r>
      <w:r w:rsidRPr="00DB1140" w:rsidR="00A61E5C">
        <w:t xml:space="preserve"> </w:t>
      </w:r>
      <w:r w:rsidRPr="00DB1140">
        <w:t>is corrected to read as follows:</w:t>
      </w:r>
    </w:p>
    <w:p w:rsidR="000873AF" w:rsidP="00767DE0" w14:paraId="30ABE336" w14:textId="6EF86F34">
      <w:pPr>
        <w:pStyle w:val="ParaNum"/>
        <w:keepNext/>
        <w:widowControl/>
        <w:numPr>
          <w:ilvl w:val="0"/>
          <w:numId w:val="0"/>
        </w:numPr>
        <w:ind w:left="1080"/>
      </w:pPr>
      <w:r w:rsidRPr="00DB1140">
        <w:t>“</w:t>
      </w:r>
      <w:r w:rsidRPr="00DB1140">
        <w:rPr>
          <w:b/>
          <w:bCs/>
        </w:rPr>
        <w:t>§ 25.208 Power flux-density and in-band field strength limits.</w:t>
      </w:r>
      <w:r w:rsidRPr="00DB1140">
        <w:t>”</w:t>
      </w:r>
    </w:p>
    <w:p w:rsidR="00817671" w:rsidRPr="00DB1140" w:rsidP="00BD6EBD" w14:paraId="19C0BBEB" w14:textId="22FAF864">
      <w:pPr>
        <w:pStyle w:val="ParaNum"/>
        <w:keepNext/>
        <w:widowControl/>
        <w:tabs>
          <w:tab w:val="num" w:pos="720"/>
        </w:tabs>
        <w:ind w:firstLine="360"/>
      </w:pPr>
      <w:r>
        <w:t xml:space="preserve">Below </w:t>
      </w:r>
      <w:r w:rsidRPr="00BD0B77">
        <w:rPr>
          <w:b/>
        </w:rPr>
        <w:t>§ 25.208</w:t>
      </w:r>
      <w:r w:rsidRPr="00DB1140">
        <w:t xml:space="preserve">, </w:t>
      </w:r>
      <w:r w:rsidRPr="00DB1140">
        <w:t>paragraph (w) is corrected to read as follows:</w:t>
      </w:r>
    </w:p>
    <w:p w:rsidR="009837D1" w:rsidP="00BD0B77" w14:paraId="03BE5480" w14:textId="77777777">
      <w:pPr>
        <w:pStyle w:val="ParaNum"/>
        <w:keepNext/>
        <w:widowControl/>
        <w:numPr>
          <w:ilvl w:val="0"/>
          <w:numId w:val="0"/>
        </w:numPr>
        <w:ind w:left="1080"/>
      </w:pPr>
      <w:r w:rsidRPr="00DB1140">
        <w:t>“</w:t>
      </w:r>
      <w:r w:rsidR="008E7F6A">
        <w:t xml:space="preserve">(w) </w:t>
      </w:r>
      <w:r w:rsidRPr="00DB1140">
        <w:t>The aggregate field strength at the earth’s surface produced by all visible beams and satellites within each satellite constellation providing SCS service as they move over any given point or area in bands authorized by NG33A in the United States Table of Frequency Allocations and § 25.125 must meet:</w:t>
      </w:r>
    </w:p>
    <w:p w:rsidR="00346FFE" w:rsidRPr="00106F66" w:rsidP="00767DE0" w14:paraId="38DEDA97" w14:textId="77777777">
      <w:pPr>
        <w:spacing w:after="120"/>
        <w:ind w:left="1440"/>
        <w:rPr>
          <w:bCs/>
        </w:rPr>
      </w:pPr>
      <w:r w:rsidRPr="00106F66">
        <w:rPr>
          <w:bCs/>
        </w:rPr>
        <w:t xml:space="preserve">(1) 40 </w:t>
      </w:r>
      <w:r w:rsidRPr="00106F66">
        <w:rPr>
          <w:bCs/>
        </w:rPr>
        <w:t>dBµV</w:t>
      </w:r>
      <w:r w:rsidRPr="00106F66">
        <w:rPr>
          <w:bCs/>
        </w:rPr>
        <w:t xml:space="preserve">/m for the 600 MHz, 700 MHz, and 800 MHz bands; and </w:t>
      </w:r>
    </w:p>
    <w:p w:rsidR="00346FFE" w:rsidRPr="00106F66" w:rsidP="00767DE0" w14:paraId="5874A5CD" w14:textId="77777777">
      <w:pPr>
        <w:spacing w:after="120"/>
        <w:ind w:left="1440"/>
        <w:rPr>
          <w:bCs/>
        </w:rPr>
      </w:pPr>
      <w:r w:rsidRPr="00106F66">
        <w:rPr>
          <w:bCs/>
        </w:rPr>
        <w:t xml:space="preserve">(2) 47 </w:t>
      </w:r>
      <w:r w:rsidRPr="00106F66">
        <w:rPr>
          <w:bCs/>
        </w:rPr>
        <w:t>dBµV</w:t>
      </w:r>
      <w:r w:rsidRPr="00106F66">
        <w:rPr>
          <w:bCs/>
        </w:rPr>
        <w:t>/m for the AWS</w:t>
      </w:r>
      <w:r>
        <w:rPr>
          <w:bCs/>
        </w:rPr>
        <w:t xml:space="preserve"> and</w:t>
      </w:r>
      <w:r w:rsidRPr="00106F66">
        <w:rPr>
          <w:bCs/>
        </w:rPr>
        <w:t xml:space="preserve"> PCS</w:t>
      </w:r>
      <w:r>
        <w:rPr>
          <w:bCs/>
        </w:rPr>
        <w:t xml:space="preserve"> bands;</w:t>
      </w:r>
      <w:r w:rsidRPr="00106F66">
        <w:rPr>
          <w:bCs/>
        </w:rPr>
        <w:t xml:space="preserve"> and</w:t>
      </w:r>
    </w:p>
    <w:p w:rsidR="00817671" w:rsidP="00734D42" w14:paraId="49C28B5B" w14:textId="3E96536A">
      <w:pPr>
        <w:keepNext/>
        <w:widowControl/>
        <w:spacing w:after="120"/>
        <w:ind w:left="1440"/>
      </w:pPr>
      <w:r w:rsidRPr="007F6250">
        <w:t xml:space="preserve">(3) Licensees must comply with </w:t>
      </w:r>
      <w:r>
        <w:t xml:space="preserve">all applicable provisions and requirements of treaties and other international agreements between the United States government and the governments of other countries, including Canada and Mexico.  Absent specific </w:t>
      </w:r>
      <w:r>
        <w:t>international agreements regarding SCS, licensees must comply with the limited provided in paragraphs (w)(1) and (2) of this section.</w:t>
      </w:r>
      <w:r w:rsidRPr="007F6250">
        <w:t xml:space="preserve"> </w:t>
      </w:r>
      <w:r w:rsidRPr="00DB1140">
        <w:t>”</w:t>
      </w:r>
    </w:p>
    <w:p w:rsidR="00BE5DDB" w:rsidRPr="00BE5DDB" w:rsidP="00734D42" w14:paraId="025DEBEF" w14:textId="77777777">
      <w:pPr>
        <w:pStyle w:val="ParaNum"/>
        <w:keepNext/>
        <w:widowControl/>
        <w:numPr>
          <w:ilvl w:val="0"/>
          <w:numId w:val="0"/>
        </w:numPr>
        <w:spacing w:after="0"/>
      </w:pPr>
    </w:p>
    <w:p w:rsidR="002A29D2" w:rsidP="00734D42" w14:paraId="72BC3032" w14:textId="6B5EEBC3">
      <w:pPr>
        <w:keepNext/>
        <w:widowControl/>
        <w:ind w:left="4320"/>
      </w:pPr>
      <w:r w:rsidRPr="00AB5E4A">
        <w:rPr>
          <w:spacing w:val="-2"/>
          <w:szCs w:val="22"/>
        </w:rPr>
        <w:t>FEDERAL COMMUNICATIONS COMMISSION</w:t>
      </w:r>
    </w:p>
    <w:p w:rsidR="002A29D2" w:rsidP="00734D42" w14:paraId="3891E573" w14:textId="77777777">
      <w:pPr>
        <w:pStyle w:val="NoSpacing"/>
        <w:keepNext/>
        <w:ind w:left="4320"/>
        <w:rPr>
          <w:rFonts w:ascii="Times New Roman" w:hAnsi="Times New Roman" w:cs="Times New Roman"/>
        </w:rPr>
      </w:pPr>
    </w:p>
    <w:p w:rsidR="002A29D2" w:rsidP="00734D42" w14:paraId="501C4D36" w14:textId="77777777">
      <w:pPr>
        <w:keepNext/>
        <w:widowControl/>
        <w:ind w:left="4320"/>
      </w:pPr>
    </w:p>
    <w:p w:rsidR="009A7778" w:rsidP="00734D42" w14:paraId="68CAE1B0" w14:textId="77777777">
      <w:pPr>
        <w:keepNext/>
        <w:widowControl/>
        <w:ind w:left="4320"/>
      </w:pPr>
    </w:p>
    <w:p w:rsidR="003872C9" w:rsidP="00734D42" w14:paraId="4A410B4E" w14:textId="77777777">
      <w:pPr>
        <w:keepNext/>
        <w:widowControl/>
        <w:ind w:left="4320"/>
      </w:pPr>
    </w:p>
    <w:p w:rsidR="003872C9" w:rsidP="00734D42" w14:paraId="3C5B9E88" w14:textId="6CC7D467">
      <w:pPr>
        <w:keepNext/>
        <w:widowControl/>
        <w:ind w:left="4320"/>
      </w:pPr>
      <w:r>
        <w:t>Julie M. Kearney</w:t>
      </w:r>
    </w:p>
    <w:p w:rsidR="003872C9" w:rsidP="00734D42" w14:paraId="21DD902A" w14:textId="7CD90707">
      <w:pPr>
        <w:keepNext/>
        <w:widowControl/>
        <w:ind w:left="4320"/>
      </w:pPr>
      <w:r>
        <w:t>Chief</w:t>
      </w:r>
    </w:p>
    <w:p w:rsidR="003872C9" w:rsidP="00734D42" w14:paraId="4BF05D0B" w14:textId="7336E970">
      <w:pPr>
        <w:keepNext/>
        <w:widowControl/>
        <w:ind w:left="4320"/>
      </w:pPr>
      <w:r>
        <w:t>Space Bureau</w:t>
      </w:r>
    </w:p>
    <w:p w:rsidR="005D50E3" w:rsidP="00734D42" w14:paraId="5B9F3D0E" w14:textId="77777777">
      <w:pPr>
        <w:keepNext/>
        <w:widowControl/>
        <w:ind w:left="4320"/>
      </w:pPr>
    </w:p>
    <w:p w:rsidR="005D50E3" w:rsidP="00734D42" w14:paraId="06F63840" w14:textId="77777777">
      <w:pPr>
        <w:keepNext/>
        <w:widowControl/>
        <w:ind w:left="4320"/>
      </w:pPr>
    </w:p>
    <w:p w:rsidR="005D50E3" w:rsidP="00734D42" w14:paraId="2ED8B3E3" w14:textId="77777777">
      <w:pPr>
        <w:keepNext/>
        <w:widowControl/>
        <w:ind w:left="4320"/>
      </w:pPr>
    </w:p>
    <w:p w:rsidR="005D50E3" w:rsidP="00734D42" w14:paraId="4A79CDA0" w14:textId="77777777">
      <w:pPr>
        <w:keepNext/>
        <w:widowControl/>
        <w:ind w:left="4320"/>
      </w:pPr>
    </w:p>
    <w:p w:rsidR="005D50E3" w:rsidP="00734D42" w14:paraId="4A1B77AB" w14:textId="77777777">
      <w:pPr>
        <w:keepNext/>
        <w:widowControl/>
        <w:ind w:left="4320"/>
      </w:pPr>
      <w:r>
        <w:t>Joel Taubenblatt</w:t>
      </w:r>
    </w:p>
    <w:p w:rsidR="005D50E3" w:rsidP="00734D42" w14:paraId="1ACAA60D" w14:textId="77777777">
      <w:pPr>
        <w:keepNext/>
        <w:widowControl/>
        <w:ind w:left="4320"/>
      </w:pPr>
      <w:r>
        <w:t>Chief</w:t>
      </w:r>
    </w:p>
    <w:p w:rsidR="00E75E2D" w:rsidRPr="003872C9" w:rsidP="00011B8A" w14:paraId="3AF8F7B9" w14:textId="29484AB3">
      <w:pPr>
        <w:keepNext/>
        <w:widowControl/>
        <w:ind w:left="4320"/>
      </w:pPr>
      <w:r>
        <w:t>Wireless Telecommunications Bureau</w:t>
      </w:r>
    </w:p>
    <w:sectPr>
      <w:headerReference w:type="default" r:id="rId4"/>
      <w:footerReference w:type="default" r:id="rId5"/>
      <w:headerReference w:type="first" r:id="rId6"/>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14:paraId="53DDA98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P="002A29D2" w14:paraId="04C8D6F6" w14:textId="77777777">
    <w:pPr>
      <w:pStyle w:val="Header"/>
    </w:pPr>
    <w:r>
      <w:tab/>
      <w:t>Federal Communications Commission</w:t>
    </w:r>
    <w:r>
      <w:tab/>
      <w:t xml:space="preserve"> </w:t>
    </w:r>
  </w:p>
  <w:p w:rsidR="0060228B" w:rsidP="002A29D2" w14:paraId="0B366F62" w14:textId="65983D8E">
    <w:pPr>
      <w:pStyle w:val="Header"/>
    </w:pPr>
    <w:r>
      <w:rPr>
        <w:noProof/>
        <w:snapToGrid/>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RPr="002A29D2" w:rsidP="002A29D2" w14:paraId="55389282" w14:textId="77777777">
    <w:pPr>
      <w:pStyle w:val="Header"/>
    </w:pPr>
    <w:r>
      <w:tab/>
    </w:r>
    <w:r w:rsidRPr="002A29D2">
      <w:t>Federal Communications Commission</w:t>
    </w:r>
    <w:r w:rsidRPr="002A29D2">
      <w:tab/>
      <w:t xml:space="preserve"> </w:t>
    </w:r>
  </w:p>
  <w:p w:rsidR="0060228B" w:rsidP="002A29D2" w14:paraId="765956AC" w14:textId="77777777">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76221C"/>
    <w:multiLevelType w:val="hybridMultilevel"/>
    <w:tmpl w:val="84FEA046"/>
    <w:lvl w:ilvl="0">
      <w:start w:val="4"/>
      <w:numFmt w:val="lowerLetter"/>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714561"/>
    <w:multiLevelType w:val="hybridMultilevel"/>
    <w:tmpl w:val="5BEE374E"/>
    <w:lvl w:ilvl="0">
      <w:start w:val="1"/>
      <w:numFmt w:val="low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2724CC8"/>
    <w:multiLevelType w:val="hybridMultilevel"/>
    <w:tmpl w:val="6D4691AE"/>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9DA0936"/>
    <w:multiLevelType w:val="hybridMultilevel"/>
    <w:tmpl w:val="6A3280F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A9615E3"/>
    <w:multiLevelType w:val="hybridMultilevel"/>
    <w:tmpl w:val="97EA518A"/>
    <w:lvl w:ilvl="0">
      <w:start w:val="9"/>
      <w:numFmt w:val="decimal"/>
      <w:lvlText w:val="%1."/>
      <w:lvlJc w:val="left"/>
      <w:pPr>
        <w:ind w:left="69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14A2CF4"/>
    <w:multiLevelType w:val="hybridMultilevel"/>
    <w:tmpl w:val="4650E606"/>
    <w:lvl w:ilvl="0">
      <w:start w:val="1"/>
      <w:numFmt w:val="lowerLetter"/>
      <w:lvlText w:val="%1."/>
      <w:lvlJc w:val="left"/>
      <w:pPr>
        <w:ind w:left="720" w:hanging="360"/>
      </w:pPr>
      <w:rPr>
        <w:rFonts w:ascii="Times New Roman" w:hAnsi="Times New Roman" w:cs="Times New Roman" w:hint="default"/>
        <w:b w:val="0"/>
        <w:color w:val="auto"/>
      </w:rPr>
    </w:lvl>
    <w:lvl w:ilvl="1">
      <w:start w:val="1"/>
      <w:numFmt w:val="lowerRoman"/>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6">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7">
    <w:nsid w:val="545A3F99"/>
    <w:multiLevelType w:val="hybridMultilevel"/>
    <w:tmpl w:val="6D4691AE"/>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30">
    <w:nsid w:val="5C4D431D"/>
    <w:multiLevelType w:val="hybridMultilevel"/>
    <w:tmpl w:val="5A7EE5A8"/>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2">
    <w:nsid w:val="5D431C4F"/>
    <w:multiLevelType w:val="hybridMultilevel"/>
    <w:tmpl w:val="BF5840F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4">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5">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34"/>
  </w:num>
  <w:num w:numId="2">
    <w:abstractNumId w:val="35"/>
  </w:num>
  <w:num w:numId="3">
    <w:abstractNumId w:val="9"/>
  </w:num>
  <w:num w:numId="4">
    <w:abstractNumId w:val="26"/>
  </w:num>
  <w:num w:numId="5">
    <w:abstractNumId w:val="13"/>
  </w:num>
  <w:num w:numId="6">
    <w:abstractNumId w:val="31"/>
  </w:num>
  <w:num w:numId="7">
    <w:abstractNumId w:val="22"/>
  </w:num>
  <w:num w:numId="8">
    <w:abstractNumId w:val="14"/>
  </w:num>
  <w:num w:numId="9">
    <w:abstractNumId w:val="29"/>
  </w:num>
  <w:num w:numId="10">
    <w:abstractNumId w:val="20"/>
  </w:num>
  <w:num w:numId="11">
    <w:abstractNumId w:val="19"/>
  </w:num>
  <w:num w:numId="12">
    <w:abstractNumId w:val="15"/>
  </w:num>
  <w:num w:numId="13">
    <w:abstractNumId w:val="21"/>
  </w:num>
  <w:num w:numId="14">
    <w:abstractNumId w:val="28"/>
  </w:num>
  <w:num w:numId="15">
    <w:abstractNumId w:val="7"/>
  </w:num>
  <w:num w:numId="16">
    <w:abstractNumId w:val="8"/>
  </w:num>
  <w:num w:numId="17">
    <w:abstractNumId w:val="17"/>
  </w:num>
  <w:num w:numId="18">
    <w:abstractNumId w:val="3"/>
  </w:num>
  <w:num w:numId="19">
    <w:abstractNumId w:val="18"/>
  </w:num>
  <w:num w:numId="20">
    <w:abstractNumId w:val="23"/>
  </w:num>
  <w:num w:numId="21">
    <w:abstractNumId w:val="25"/>
  </w:num>
  <w:num w:numId="22">
    <w:abstractNumId w:val="10"/>
  </w:num>
  <w:num w:numId="23">
    <w:abstractNumId w:val="33"/>
  </w:num>
  <w:num w:numId="24">
    <w:abstractNumId w:val="12"/>
  </w:num>
  <w:num w:numId="25">
    <w:abstractNumId w:val="24"/>
  </w:num>
  <w:num w:numId="26">
    <w:abstractNumId w:val="11"/>
  </w:num>
  <w:num w:numId="27">
    <w:abstractNumId w:val="2"/>
  </w:num>
  <w:num w:numId="28">
    <w:abstractNumId w:val="5"/>
  </w:num>
  <w:num w:numId="29">
    <w:abstractNumId w:val="33"/>
  </w:num>
  <w:num w:numId="30">
    <w:abstractNumId w:val="30"/>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num>
  <w:num w:numId="33">
    <w:abstractNumId w:val="33"/>
    <w:lvlOverride w:ilvl="0">
      <w:startOverride w:val="1"/>
    </w:lvlOverride>
  </w:num>
  <w:num w:numId="34">
    <w:abstractNumId w:val="33"/>
    <w:lvlOverride w:ilvl="0">
      <w:startOverride w:val="1"/>
    </w:lvlOverride>
  </w:num>
  <w:num w:numId="35">
    <w:abstractNumId w:val="33"/>
    <w:lvlOverride w:ilvl="0">
      <w:startOverride w:val="1"/>
    </w:lvlOverride>
  </w:num>
  <w:num w:numId="36">
    <w:abstractNumId w:val="33"/>
    <w:lvlOverride w:ilvl="0">
      <w:startOverride w:val="1"/>
    </w:lvlOverride>
  </w:num>
  <w:num w:numId="37">
    <w:abstractNumId w:val="33"/>
    <w:lvlOverride w:ilvl="0">
      <w:startOverride w:val="1"/>
    </w:lvlOverride>
  </w:num>
  <w:num w:numId="38">
    <w:abstractNumId w:val="33"/>
    <w:lvlOverride w:ilvl="0">
      <w:startOverride w:val="1"/>
    </w:lvlOverride>
  </w:num>
  <w:num w:numId="39">
    <w:abstractNumId w:val="33"/>
    <w:lvlOverride w:ilvl="0">
      <w:startOverride w:val="1"/>
    </w:lvlOverride>
  </w:num>
  <w:num w:numId="40">
    <w:abstractNumId w:val="33"/>
    <w:lvlOverride w:ilvl="0">
      <w:startOverride w:val="1"/>
    </w:lvlOverride>
  </w:num>
  <w:num w:numId="41">
    <w:abstractNumId w:val="0"/>
  </w:num>
  <w:num w:numId="42">
    <w:abstractNumId w:val="32"/>
  </w:num>
  <w:num w:numId="43">
    <w:abstractNumId w:val="6"/>
  </w:num>
  <w:num w:numId="44">
    <w:abstractNumId w:val="33"/>
    <w:lvlOverride w:ilvl="0">
      <w:startOverride w:val="1"/>
    </w:lvlOverride>
  </w:num>
  <w:num w:numId="45">
    <w:abstractNumId w:val="33"/>
    <w:lvlOverride w:ilvl="0">
      <w:startOverride w:val="1"/>
    </w:lvlOverride>
  </w:num>
  <w:num w:numId="46">
    <w:abstractNumId w:val="33"/>
    <w:lvlOverride w:ilvl="0">
      <w:startOverride w:val="1"/>
    </w:lvlOverride>
  </w:num>
  <w:num w:numId="47">
    <w:abstractNumId w:val="33"/>
    <w:lvlOverride w:ilvl="0">
      <w:startOverride w:val="1"/>
    </w:lvlOverride>
  </w:num>
  <w:num w:numId="48">
    <w:abstractNumId w:val="1"/>
  </w:num>
  <w:num w:numId="49">
    <w:abstractNumId w:val="4"/>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F9"/>
    <w:rsid w:val="0000030D"/>
    <w:rsid w:val="00002FAC"/>
    <w:rsid w:val="0000571A"/>
    <w:rsid w:val="00006758"/>
    <w:rsid w:val="00006766"/>
    <w:rsid w:val="00011B8A"/>
    <w:rsid w:val="000175AB"/>
    <w:rsid w:val="00017884"/>
    <w:rsid w:val="00025649"/>
    <w:rsid w:val="00027A14"/>
    <w:rsid w:val="00031CAF"/>
    <w:rsid w:val="00040828"/>
    <w:rsid w:val="00041322"/>
    <w:rsid w:val="000429B5"/>
    <w:rsid w:val="000431A5"/>
    <w:rsid w:val="00043837"/>
    <w:rsid w:val="000441C7"/>
    <w:rsid w:val="000668AA"/>
    <w:rsid w:val="00066F0F"/>
    <w:rsid w:val="000750F2"/>
    <w:rsid w:val="000769CA"/>
    <w:rsid w:val="00077BB1"/>
    <w:rsid w:val="0008225F"/>
    <w:rsid w:val="000873AF"/>
    <w:rsid w:val="00093A46"/>
    <w:rsid w:val="000A3FE1"/>
    <w:rsid w:val="000A5DEB"/>
    <w:rsid w:val="000C1713"/>
    <w:rsid w:val="000D5986"/>
    <w:rsid w:val="000E66E5"/>
    <w:rsid w:val="000F0738"/>
    <w:rsid w:val="000F09CF"/>
    <w:rsid w:val="000F41D0"/>
    <w:rsid w:val="00101496"/>
    <w:rsid w:val="00106ED7"/>
    <w:rsid w:val="00106F66"/>
    <w:rsid w:val="00107AE2"/>
    <w:rsid w:val="00111F9A"/>
    <w:rsid w:val="00124A81"/>
    <w:rsid w:val="00125132"/>
    <w:rsid w:val="0012562E"/>
    <w:rsid w:val="001259D0"/>
    <w:rsid w:val="00125B80"/>
    <w:rsid w:val="00134F3F"/>
    <w:rsid w:val="001365A8"/>
    <w:rsid w:val="00140552"/>
    <w:rsid w:val="00141EF6"/>
    <w:rsid w:val="0014308B"/>
    <w:rsid w:val="00145143"/>
    <w:rsid w:val="00146F61"/>
    <w:rsid w:val="0015294E"/>
    <w:rsid w:val="00152DC7"/>
    <w:rsid w:val="00154F2A"/>
    <w:rsid w:val="00156B1A"/>
    <w:rsid w:val="00161DE5"/>
    <w:rsid w:val="00166C0B"/>
    <w:rsid w:val="00167971"/>
    <w:rsid w:val="00171765"/>
    <w:rsid w:val="00172B3F"/>
    <w:rsid w:val="001732EF"/>
    <w:rsid w:val="00174837"/>
    <w:rsid w:val="00175DA1"/>
    <w:rsid w:val="00180525"/>
    <w:rsid w:val="00180584"/>
    <w:rsid w:val="00180EC8"/>
    <w:rsid w:val="0018405E"/>
    <w:rsid w:val="001904AA"/>
    <w:rsid w:val="00191F66"/>
    <w:rsid w:val="00193991"/>
    <w:rsid w:val="0019583E"/>
    <w:rsid w:val="001A01DE"/>
    <w:rsid w:val="001B1A1A"/>
    <w:rsid w:val="001B475B"/>
    <w:rsid w:val="001B5B6D"/>
    <w:rsid w:val="001B61D4"/>
    <w:rsid w:val="001C0FBA"/>
    <w:rsid w:val="001C2A0C"/>
    <w:rsid w:val="001C47B3"/>
    <w:rsid w:val="001C57DC"/>
    <w:rsid w:val="001C60FB"/>
    <w:rsid w:val="001C7EF2"/>
    <w:rsid w:val="001D20DD"/>
    <w:rsid w:val="001D5938"/>
    <w:rsid w:val="001D67EB"/>
    <w:rsid w:val="001D7267"/>
    <w:rsid w:val="001E0909"/>
    <w:rsid w:val="001F3151"/>
    <w:rsid w:val="001F32CD"/>
    <w:rsid w:val="001F3E82"/>
    <w:rsid w:val="00201776"/>
    <w:rsid w:val="0020276E"/>
    <w:rsid w:val="00204424"/>
    <w:rsid w:val="002065E9"/>
    <w:rsid w:val="00207463"/>
    <w:rsid w:val="00212BA8"/>
    <w:rsid w:val="0021434A"/>
    <w:rsid w:val="002153FD"/>
    <w:rsid w:val="00220FA8"/>
    <w:rsid w:val="00223EC6"/>
    <w:rsid w:val="00235E9A"/>
    <w:rsid w:val="00236269"/>
    <w:rsid w:val="00240D1A"/>
    <w:rsid w:val="0024520D"/>
    <w:rsid w:val="00246BDA"/>
    <w:rsid w:val="00253099"/>
    <w:rsid w:val="00253CE1"/>
    <w:rsid w:val="0025736A"/>
    <w:rsid w:val="002624BF"/>
    <w:rsid w:val="002631A9"/>
    <w:rsid w:val="00265DEB"/>
    <w:rsid w:val="002663BC"/>
    <w:rsid w:val="002665B3"/>
    <w:rsid w:val="002678B5"/>
    <w:rsid w:val="0027518F"/>
    <w:rsid w:val="002813F4"/>
    <w:rsid w:val="00283191"/>
    <w:rsid w:val="00290514"/>
    <w:rsid w:val="002909C1"/>
    <w:rsid w:val="0029281E"/>
    <w:rsid w:val="0029344F"/>
    <w:rsid w:val="0029471A"/>
    <w:rsid w:val="002961FB"/>
    <w:rsid w:val="002A0124"/>
    <w:rsid w:val="002A29D2"/>
    <w:rsid w:val="002A4E36"/>
    <w:rsid w:val="002A74D9"/>
    <w:rsid w:val="002B266E"/>
    <w:rsid w:val="002B44E4"/>
    <w:rsid w:val="002B7E5E"/>
    <w:rsid w:val="002C0561"/>
    <w:rsid w:val="002C15A5"/>
    <w:rsid w:val="002C1E7F"/>
    <w:rsid w:val="002C6A1A"/>
    <w:rsid w:val="002D036C"/>
    <w:rsid w:val="002D055D"/>
    <w:rsid w:val="002D1CAD"/>
    <w:rsid w:val="002D1EBB"/>
    <w:rsid w:val="002D538D"/>
    <w:rsid w:val="002D6541"/>
    <w:rsid w:val="002E1925"/>
    <w:rsid w:val="002E2045"/>
    <w:rsid w:val="002E484C"/>
    <w:rsid w:val="002E5EB8"/>
    <w:rsid w:val="002E69A4"/>
    <w:rsid w:val="002F1764"/>
    <w:rsid w:val="002F1F6A"/>
    <w:rsid w:val="002F54D0"/>
    <w:rsid w:val="002F5A9E"/>
    <w:rsid w:val="002F7E70"/>
    <w:rsid w:val="00301740"/>
    <w:rsid w:val="00302369"/>
    <w:rsid w:val="00303050"/>
    <w:rsid w:val="00304C21"/>
    <w:rsid w:val="0031314E"/>
    <w:rsid w:val="00313D6A"/>
    <w:rsid w:val="003161E9"/>
    <w:rsid w:val="0032010B"/>
    <w:rsid w:val="0032361F"/>
    <w:rsid w:val="00325424"/>
    <w:rsid w:val="0032545E"/>
    <w:rsid w:val="003255B4"/>
    <w:rsid w:val="0032776C"/>
    <w:rsid w:val="00327B0A"/>
    <w:rsid w:val="00327D02"/>
    <w:rsid w:val="00334A77"/>
    <w:rsid w:val="00335CA5"/>
    <w:rsid w:val="00335F09"/>
    <w:rsid w:val="00336C86"/>
    <w:rsid w:val="00340E93"/>
    <w:rsid w:val="00343A99"/>
    <w:rsid w:val="003466B7"/>
    <w:rsid w:val="00346FFE"/>
    <w:rsid w:val="00347FF4"/>
    <w:rsid w:val="003503F4"/>
    <w:rsid w:val="00351D82"/>
    <w:rsid w:val="00357332"/>
    <w:rsid w:val="003618D2"/>
    <w:rsid w:val="00361C6B"/>
    <w:rsid w:val="00363C09"/>
    <w:rsid w:val="00370BB9"/>
    <w:rsid w:val="003758FB"/>
    <w:rsid w:val="0038185B"/>
    <w:rsid w:val="003844DF"/>
    <w:rsid w:val="003872C9"/>
    <w:rsid w:val="0038770D"/>
    <w:rsid w:val="00392E70"/>
    <w:rsid w:val="003A01E0"/>
    <w:rsid w:val="003A34A0"/>
    <w:rsid w:val="003B1167"/>
    <w:rsid w:val="003B1655"/>
    <w:rsid w:val="003B4642"/>
    <w:rsid w:val="003B4D8B"/>
    <w:rsid w:val="003C17CE"/>
    <w:rsid w:val="003C64D4"/>
    <w:rsid w:val="003D010C"/>
    <w:rsid w:val="003D2889"/>
    <w:rsid w:val="003D5D08"/>
    <w:rsid w:val="003D7DFE"/>
    <w:rsid w:val="003E0B12"/>
    <w:rsid w:val="003E1670"/>
    <w:rsid w:val="003E18F1"/>
    <w:rsid w:val="003E301B"/>
    <w:rsid w:val="003F3EBA"/>
    <w:rsid w:val="003F5659"/>
    <w:rsid w:val="003F567C"/>
    <w:rsid w:val="003F66B5"/>
    <w:rsid w:val="003F6B93"/>
    <w:rsid w:val="00402D08"/>
    <w:rsid w:val="00406601"/>
    <w:rsid w:val="00411078"/>
    <w:rsid w:val="0041187A"/>
    <w:rsid w:val="00412F66"/>
    <w:rsid w:val="00422EEF"/>
    <w:rsid w:val="00426645"/>
    <w:rsid w:val="00430304"/>
    <w:rsid w:val="00431ACA"/>
    <w:rsid w:val="0043466A"/>
    <w:rsid w:val="00436995"/>
    <w:rsid w:val="00440DFB"/>
    <w:rsid w:val="00441585"/>
    <w:rsid w:val="00441C35"/>
    <w:rsid w:val="00445B52"/>
    <w:rsid w:val="00450B59"/>
    <w:rsid w:val="00453AF8"/>
    <w:rsid w:val="00456E40"/>
    <w:rsid w:val="004570D4"/>
    <w:rsid w:val="004669B0"/>
    <w:rsid w:val="00467470"/>
    <w:rsid w:val="00472796"/>
    <w:rsid w:val="00473663"/>
    <w:rsid w:val="00475957"/>
    <w:rsid w:val="00481406"/>
    <w:rsid w:val="00481B02"/>
    <w:rsid w:val="00482503"/>
    <w:rsid w:val="0049121F"/>
    <w:rsid w:val="004914D4"/>
    <w:rsid w:val="004932E2"/>
    <w:rsid w:val="004B0D22"/>
    <w:rsid w:val="004B0DC3"/>
    <w:rsid w:val="004B5079"/>
    <w:rsid w:val="004B5283"/>
    <w:rsid w:val="004B77CA"/>
    <w:rsid w:val="004C2B07"/>
    <w:rsid w:val="004C408F"/>
    <w:rsid w:val="004C6A1A"/>
    <w:rsid w:val="004C7411"/>
    <w:rsid w:val="004D54A8"/>
    <w:rsid w:val="004E22E8"/>
    <w:rsid w:val="004E2955"/>
    <w:rsid w:val="004E3A78"/>
    <w:rsid w:val="004F13E7"/>
    <w:rsid w:val="004F31FF"/>
    <w:rsid w:val="004F5361"/>
    <w:rsid w:val="004F692D"/>
    <w:rsid w:val="00502526"/>
    <w:rsid w:val="005044D3"/>
    <w:rsid w:val="00505A40"/>
    <w:rsid w:val="00506261"/>
    <w:rsid w:val="005123D1"/>
    <w:rsid w:val="0052142C"/>
    <w:rsid w:val="00522736"/>
    <w:rsid w:val="00522CDD"/>
    <w:rsid w:val="00522ED5"/>
    <w:rsid w:val="005239C2"/>
    <w:rsid w:val="00524332"/>
    <w:rsid w:val="005309D0"/>
    <w:rsid w:val="00532E72"/>
    <w:rsid w:val="00533534"/>
    <w:rsid w:val="005373DA"/>
    <w:rsid w:val="00542470"/>
    <w:rsid w:val="00543743"/>
    <w:rsid w:val="005443F3"/>
    <w:rsid w:val="0054694C"/>
    <w:rsid w:val="00550EE3"/>
    <w:rsid w:val="005524F4"/>
    <w:rsid w:val="00554543"/>
    <w:rsid w:val="005548F7"/>
    <w:rsid w:val="00555438"/>
    <w:rsid w:val="00557337"/>
    <w:rsid w:val="00560568"/>
    <w:rsid w:val="00562F18"/>
    <w:rsid w:val="0056322E"/>
    <w:rsid w:val="00565264"/>
    <w:rsid w:val="00566C6B"/>
    <w:rsid w:val="00567966"/>
    <w:rsid w:val="00567ED8"/>
    <w:rsid w:val="00571354"/>
    <w:rsid w:val="00576024"/>
    <w:rsid w:val="00576CDE"/>
    <w:rsid w:val="00577E0C"/>
    <w:rsid w:val="0058164D"/>
    <w:rsid w:val="005824E8"/>
    <w:rsid w:val="005837B7"/>
    <w:rsid w:val="00584976"/>
    <w:rsid w:val="00591A9A"/>
    <w:rsid w:val="00593DE3"/>
    <w:rsid w:val="00597981"/>
    <w:rsid w:val="005A09E4"/>
    <w:rsid w:val="005A1773"/>
    <w:rsid w:val="005A37B1"/>
    <w:rsid w:val="005A6069"/>
    <w:rsid w:val="005A7821"/>
    <w:rsid w:val="005B1B2C"/>
    <w:rsid w:val="005B3182"/>
    <w:rsid w:val="005C15C8"/>
    <w:rsid w:val="005C768F"/>
    <w:rsid w:val="005D0FC8"/>
    <w:rsid w:val="005D2237"/>
    <w:rsid w:val="005D3465"/>
    <w:rsid w:val="005D50E3"/>
    <w:rsid w:val="005E0A2A"/>
    <w:rsid w:val="005E26AE"/>
    <w:rsid w:val="005E3E98"/>
    <w:rsid w:val="005E4D20"/>
    <w:rsid w:val="005F4F71"/>
    <w:rsid w:val="00600AF9"/>
    <w:rsid w:val="0060228B"/>
    <w:rsid w:val="00604ABF"/>
    <w:rsid w:val="00606BD0"/>
    <w:rsid w:val="006072B5"/>
    <w:rsid w:val="0061432F"/>
    <w:rsid w:val="0062193A"/>
    <w:rsid w:val="00623432"/>
    <w:rsid w:val="006241CF"/>
    <w:rsid w:val="00624609"/>
    <w:rsid w:val="006326E8"/>
    <w:rsid w:val="006355A9"/>
    <w:rsid w:val="00641156"/>
    <w:rsid w:val="00642174"/>
    <w:rsid w:val="0064227B"/>
    <w:rsid w:val="00645E32"/>
    <w:rsid w:val="006474E0"/>
    <w:rsid w:val="00651C57"/>
    <w:rsid w:val="006526FC"/>
    <w:rsid w:val="0065294D"/>
    <w:rsid w:val="006604D3"/>
    <w:rsid w:val="006640C7"/>
    <w:rsid w:val="00664258"/>
    <w:rsid w:val="00671D6C"/>
    <w:rsid w:val="006747BF"/>
    <w:rsid w:val="006759E9"/>
    <w:rsid w:val="006806E2"/>
    <w:rsid w:val="00680FDE"/>
    <w:rsid w:val="00682481"/>
    <w:rsid w:val="00687263"/>
    <w:rsid w:val="00690413"/>
    <w:rsid w:val="0069567C"/>
    <w:rsid w:val="00696CAD"/>
    <w:rsid w:val="00697D09"/>
    <w:rsid w:val="006A1D48"/>
    <w:rsid w:val="006A1EA0"/>
    <w:rsid w:val="006A2D76"/>
    <w:rsid w:val="006A609B"/>
    <w:rsid w:val="006A6B02"/>
    <w:rsid w:val="006B1432"/>
    <w:rsid w:val="006B32CC"/>
    <w:rsid w:val="006B4280"/>
    <w:rsid w:val="006B46DB"/>
    <w:rsid w:val="006C287F"/>
    <w:rsid w:val="006C41F6"/>
    <w:rsid w:val="006C4B08"/>
    <w:rsid w:val="006D0C4C"/>
    <w:rsid w:val="006D22A2"/>
    <w:rsid w:val="006D7C6F"/>
    <w:rsid w:val="006E02BA"/>
    <w:rsid w:val="006E0471"/>
    <w:rsid w:val="006E1918"/>
    <w:rsid w:val="006E70B4"/>
    <w:rsid w:val="006F086B"/>
    <w:rsid w:val="006F22D9"/>
    <w:rsid w:val="006F408C"/>
    <w:rsid w:val="006F435F"/>
    <w:rsid w:val="006F4585"/>
    <w:rsid w:val="006F4FB4"/>
    <w:rsid w:val="00703A50"/>
    <w:rsid w:val="00705B69"/>
    <w:rsid w:val="0071068E"/>
    <w:rsid w:val="00710F7E"/>
    <w:rsid w:val="007121CB"/>
    <w:rsid w:val="00714740"/>
    <w:rsid w:val="00715353"/>
    <w:rsid w:val="007169C0"/>
    <w:rsid w:val="00725A22"/>
    <w:rsid w:val="007334D8"/>
    <w:rsid w:val="00734C19"/>
    <w:rsid w:val="00734D42"/>
    <w:rsid w:val="00736717"/>
    <w:rsid w:val="00737776"/>
    <w:rsid w:val="007378E1"/>
    <w:rsid w:val="007410DA"/>
    <w:rsid w:val="007436C8"/>
    <w:rsid w:val="007560A8"/>
    <w:rsid w:val="00756318"/>
    <w:rsid w:val="007571EB"/>
    <w:rsid w:val="0076675E"/>
    <w:rsid w:val="00767D42"/>
    <w:rsid w:val="00767DE0"/>
    <w:rsid w:val="007704F1"/>
    <w:rsid w:val="00772C53"/>
    <w:rsid w:val="00775809"/>
    <w:rsid w:val="00777FEE"/>
    <w:rsid w:val="007870DC"/>
    <w:rsid w:val="00787120"/>
    <w:rsid w:val="00790CE6"/>
    <w:rsid w:val="0079355E"/>
    <w:rsid w:val="00793EA3"/>
    <w:rsid w:val="00794CA5"/>
    <w:rsid w:val="00795E3E"/>
    <w:rsid w:val="00796F47"/>
    <w:rsid w:val="007973CE"/>
    <w:rsid w:val="007A530B"/>
    <w:rsid w:val="007A6619"/>
    <w:rsid w:val="007A7B1A"/>
    <w:rsid w:val="007B13BA"/>
    <w:rsid w:val="007B5787"/>
    <w:rsid w:val="007B6E29"/>
    <w:rsid w:val="007B7717"/>
    <w:rsid w:val="007C214B"/>
    <w:rsid w:val="007C2559"/>
    <w:rsid w:val="007C35A6"/>
    <w:rsid w:val="007D28C8"/>
    <w:rsid w:val="007D4C07"/>
    <w:rsid w:val="007D5C52"/>
    <w:rsid w:val="007D70B1"/>
    <w:rsid w:val="007D7DD7"/>
    <w:rsid w:val="007E6500"/>
    <w:rsid w:val="007E7737"/>
    <w:rsid w:val="007E7FB5"/>
    <w:rsid w:val="007F0065"/>
    <w:rsid w:val="007F00F8"/>
    <w:rsid w:val="007F40C7"/>
    <w:rsid w:val="007F6250"/>
    <w:rsid w:val="007F679B"/>
    <w:rsid w:val="00800488"/>
    <w:rsid w:val="008018AE"/>
    <w:rsid w:val="008026D5"/>
    <w:rsid w:val="00807428"/>
    <w:rsid w:val="00813425"/>
    <w:rsid w:val="00817671"/>
    <w:rsid w:val="00821129"/>
    <w:rsid w:val="00821152"/>
    <w:rsid w:val="008249B1"/>
    <w:rsid w:val="0083006A"/>
    <w:rsid w:val="00832EE2"/>
    <w:rsid w:val="008366CB"/>
    <w:rsid w:val="008370EF"/>
    <w:rsid w:val="0084053F"/>
    <w:rsid w:val="0084141C"/>
    <w:rsid w:val="008455FC"/>
    <w:rsid w:val="00852EAD"/>
    <w:rsid w:val="008544D9"/>
    <w:rsid w:val="00860112"/>
    <w:rsid w:val="00867320"/>
    <w:rsid w:val="008719C7"/>
    <w:rsid w:val="00874332"/>
    <w:rsid w:val="00874A02"/>
    <w:rsid w:val="00880AC7"/>
    <w:rsid w:val="00882AFF"/>
    <w:rsid w:val="00882F20"/>
    <w:rsid w:val="00883AE2"/>
    <w:rsid w:val="00886E6F"/>
    <w:rsid w:val="008872FC"/>
    <w:rsid w:val="00891005"/>
    <w:rsid w:val="00891ADC"/>
    <w:rsid w:val="008A2612"/>
    <w:rsid w:val="008A28AB"/>
    <w:rsid w:val="008A39DA"/>
    <w:rsid w:val="008A4994"/>
    <w:rsid w:val="008A5EB6"/>
    <w:rsid w:val="008A7492"/>
    <w:rsid w:val="008B1DCE"/>
    <w:rsid w:val="008C0D0A"/>
    <w:rsid w:val="008C360C"/>
    <w:rsid w:val="008D0488"/>
    <w:rsid w:val="008D1EC7"/>
    <w:rsid w:val="008D3DF0"/>
    <w:rsid w:val="008D472D"/>
    <w:rsid w:val="008D51D1"/>
    <w:rsid w:val="008E2533"/>
    <w:rsid w:val="008E3891"/>
    <w:rsid w:val="008E3CF2"/>
    <w:rsid w:val="008E45D8"/>
    <w:rsid w:val="008E5990"/>
    <w:rsid w:val="008E5D52"/>
    <w:rsid w:val="008E7F6A"/>
    <w:rsid w:val="008F0448"/>
    <w:rsid w:val="008F2618"/>
    <w:rsid w:val="008F3C8A"/>
    <w:rsid w:val="008F5916"/>
    <w:rsid w:val="008F7792"/>
    <w:rsid w:val="00900395"/>
    <w:rsid w:val="009020F8"/>
    <w:rsid w:val="00902C24"/>
    <w:rsid w:val="00904710"/>
    <w:rsid w:val="0090493B"/>
    <w:rsid w:val="00905E26"/>
    <w:rsid w:val="00911274"/>
    <w:rsid w:val="009233D9"/>
    <w:rsid w:val="0092765D"/>
    <w:rsid w:val="00927E1B"/>
    <w:rsid w:val="009400D2"/>
    <w:rsid w:val="00943456"/>
    <w:rsid w:val="00944A93"/>
    <w:rsid w:val="0094591E"/>
    <w:rsid w:val="00945C4C"/>
    <w:rsid w:val="00951160"/>
    <w:rsid w:val="009516F5"/>
    <w:rsid w:val="00952832"/>
    <w:rsid w:val="00955CDA"/>
    <w:rsid w:val="00962579"/>
    <w:rsid w:val="009630C1"/>
    <w:rsid w:val="00963E55"/>
    <w:rsid w:val="00967441"/>
    <w:rsid w:val="00967BFD"/>
    <w:rsid w:val="00967D8B"/>
    <w:rsid w:val="00971385"/>
    <w:rsid w:val="00971FF9"/>
    <w:rsid w:val="00972C06"/>
    <w:rsid w:val="00972CC7"/>
    <w:rsid w:val="00977523"/>
    <w:rsid w:val="00977F47"/>
    <w:rsid w:val="009837D1"/>
    <w:rsid w:val="009861AB"/>
    <w:rsid w:val="0098727B"/>
    <w:rsid w:val="00990CA5"/>
    <w:rsid w:val="00994C9E"/>
    <w:rsid w:val="009979DD"/>
    <w:rsid w:val="009A032F"/>
    <w:rsid w:val="009A35AC"/>
    <w:rsid w:val="009A674B"/>
    <w:rsid w:val="009A7778"/>
    <w:rsid w:val="009A7F3C"/>
    <w:rsid w:val="009B25F3"/>
    <w:rsid w:val="009B48BF"/>
    <w:rsid w:val="009B4D31"/>
    <w:rsid w:val="009B69BC"/>
    <w:rsid w:val="009C0204"/>
    <w:rsid w:val="009C0AF2"/>
    <w:rsid w:val="009C1358"/>
    <w:rsid w:val="009C258F"/>
    <w:rsid w:val="009D3BD2"/>
    <w:rsid w:val="009D6644"/>
    <w:rsid w:val="009D7626"/>
    <w:rsid w:val="009D7B5A"/>
    <w:rsid w:val="009E3E43"/>
    <w:rsid w:val="009E5BE6"/>
    <w:rsid w:val="009E79BE"/>
    <w:rsid w:val="009F0C78"/>
    <w:rsid w:val="009F2FD6"/>
    <w:rsid w:val="009F3F8B"/>
    <w:rsid w:val="009F6898"/>
    <w:rsid w:val="009F781B"/>
    <w:rsid w:val="00A013EB"/>
    <w:rsid w:val="00A01583"/>
    <w:rsid w:val="00A02F02"/>
    <w:rsid w:val="00A03F23"/>
    <w:rsid w:val="00A04223"/>
    <w:rsid w:val="00A045D9"/>
    <w:rsid w:val="00A10AB3"/>
    <w:rsid w:val="00A1177C"/>
    <w:rsid w:val="00A17B31"/>
    <w:rsid w:val="00A20F56"/>
    <w:rsid w:val="00A210A4"/>
    <w:rsid w:val="00A223EF"/>
    <w:rsid w:val="00A23757"/>
    <w:rsid w:val="00A238F2"/>
    <w:rsid w:val="00A24145"/>
    <w:rsid w:val="00A278BB"/>
    <w:rsid w:val="00A27E43"/>
    <w:rsid w:val="00A30AB4"/>
    <w:rsid w:val="00A30EEF"/>
    <w:rsid w:val="00A3431F"/>
    <w:rsid w:val="00A34827"/>
    <w:rsid w:val="00A41103"/>
    <w:rsid w:val="00A502F1"/>
    <w:rsid w:val="00A55ABB"/>
    <w:rsid w:val="00A618A3"/>
    <w:rsid w:val="00A61E5C"/>
    <w:rsid w:val="00A62A71"/>
    <w:rsid w:val="00A709B7"/>
    <w:rsid w:val="00A717EE"/>
    <w:rsid w:val="00A724D4"/>
    <w:rsid w:val="00A72919"/>
    <w:rsid w:val="00A77414"/>
    <w:rsid w:val="00A80099"/>
    <w:rsid w:val="00A8042F"/>
    <w:rsid w:val="00A81642"/>
    <w:rsid w:val="00A839F2"/>
    <w:rsid w:val="00A84308"/>
    <w:rsid w:val="00A84516"/>
    <w:rsid w:val="00A848FD"/>
    <w:rsid w:val="00A86A89"/>
    <w:rsid w:val="00A86CE1"/>
    <w:rsid w:val="00A90B75"/>
    <w:rsid w:val="00A916A0"/>
    <w:rsid w:val="00A92AFA"/>
    <w:rsid w:val="00A94776"/>
    <w:rsid w:val="00AA2EDB"/>
    <w:rsid w:val="00AA3EAD"/>
    <w:rsid w:val="00AB0264"/>
    <w:rsid w:val="00AB260D"/>
    <w:rsid w:val="00AB56B0"/>
    <w:rsid w:val="00AB5E4A"/>
    <w:rsid w:val="00AB6E98"/>
    <w:rsid w:val="00AC189F"/>
    <w:rsid w:val="00AC19AD"/>
    <w:rsid w:val="00AC332B"/>
    <w:rsid w:val="00AC36F5"/>
    <w:rsid w:val="00AC4D4F"/>
    <w:rsid w:val="00AC7AB0"/>
    <w:rsid w:val="00AD31CA"/>
    <w:rsid w:val="00AD6909"/>
    <w:rsid w:val="00AE2C47"/>
    <w:rsid w:val="00AE4E46"/>
    <w:rsid w:val="00AE56BC"/>
    <w:rsid w:val="00AF1175"/>
    <w:rsid w:val="00AF1F1A"/>
    <w:rsid w:val="00AF486C"/>
    <w:rsid w:val="00AF5877"/>
    <w:rsid w:val="00B006AA"/>
    <w:rsid w:val="00B0201D"/>
    <w:rsid w:val="00B02176"/>
    <w:rsid w:val="00B0423F"/>
    <w:rsid w:val="00B05F8D"/>
    <w:rsid w:val="00B07300"/>
    <w:rsid w:val="00B1014A"/>
    <w:rsid w:val="00B1195B"/>
    <w:rsid w:val="00B1221E"/>
    <w:rsid w:val="00B1436B"/>
    <w:rsid w:val="00B14F54"/>
    <w:rsid w:val="00B1677D"/>
    <w:rsid w:val="00B23DB0"/>
    <w:rsid w:val="00B30E4C"/>
    <w:rsid w:val="00B314EA"/>
    <w:rsid w:val="00B35AB9"/>
    <w:rsid w:val="00B42349"/>
    <w:rsid w:val="00B46A30"/>
    <w:rsid w:val="00B50056"/>
    <w:rsid w:val="00B513FD"/>
    <w:rsid w:val="00B546D9"/>
    <w:rsid w:val="00B559EB"/>
    <w:rsid w:val="00B57B77"/>
    <w:rsid w:val="00B57EE9"/>
    <w:rsid w:val="00B60EFE"/>
    <w:rsid w:val="00B634C5"/>
    <w:rsid w:val="00B6479E"/>
    <w:rsid w:val="00B660A0"/>
    <w:rsid w:val="00B6642C"/>
    <w:rsid w:val="00B6753D"/>
    <w:rsid w:val="00B67C7A"/>
    <w:rsid w:val="00B70C8B"/>
    <w:rsid w:val="00B73C52"/>
    <w:rsid w:val="00B73F3D"/>
    <w:rsid w:val="00B75AE6"/>
    <w:rsid w:val="00B76BB3"/>
    <w:rsid w:val="00B82B39"/>
    <w:rsid w:val="00BA1A13"/>
    <w:rsid w:val="00BA37F4"/>
    <w:rsid w:val="00BB2B9D"/>
    <w:rsid w:val="00BB3821"/>
    <w:rsid w:val="00BB713A"/>
    <w:rsid w:val="00BC1232"/>
    <w:rsid w:val="00BC2990"/>
    <w:rsid w:val="00BC35E8"/>
    <w:rsid w:val="00BC388D"/>
    <w:rsid w:val="00BC5A75"/>
    <w:rsid w:val="00BD0B77"/>
    <w:rsid w:val="00BD1A61"/>
    <w:rsid w:val="00BD2330"/>
    <w:rsid w:val="00BD38BC"/>
    <w:rsid w:val="00BD4A39"/>
    <w:rsid w:val="00BD6EBD"/>
    <w:rsid w:val="00BD7D41"/>
    <w:rsid w:val="00BE130C"/>
    <w:rsid w:val="00BE2798"/>
    <w:rsid w:val="00BE34E4"/>
    <w:rsid w:val="00BE4DDB"/>
    <w:rsid w:val="00BE5DDB"/>
    <w:rsid w:val="00BE6CF1"/>
    <w:rsid w:val="00BF2E17"/>
    <w:rsid w:val="00BF420A"/>
    <w:rsid w:val="00C007D7"/>
    <w:rsid w:val="00C04023"/>
    <w:rsid w:val="00C1625D"/>
    <w:rsid w:val="00C176FF"/>
    <w:rsid w:val="00C2211D"/>
    <w:rsid w:val="00C258AF"/>
    <w:rsid w:val="00C4093A"/>
    <w:rsid w:val="00C41E29"/>
    <w:rsid w:val="00C43236"/>
    <w:rsid w:val="00C53438"/>
    <w:rsid w:val="00C54C9C"/>
    <w:rsid w:val="00C57789"/>
    <w:rsid w:val="00C609DA"/>
    <w:rsid w:val="00C6498C"/>
    <w:rsid w:val="00C74381"/>
    <w:rsid w:val="00C762DD"/>
    <w:rsid w:val="00C81C45"/>
    <w:rsid w:val="00C87D80"/>
    <w:rsid w:val="00C92B80"/>
    <w:rsid w:val="00CA3914"/>
    <w:rsid w:val="00CA41F6"/>
    <w:rsid w:val="00CA586C"/>
    <w:rsid w:val="00CA6BB5"/>
    <w:rsid w:val="00CB50A6"/>
    <w:rsid w:val="00CB77DA"/>
    <w:rsid w:val="00CC1257"/>
    <w:rsid w:val="00CC1C88"/>
    <w:rsid w:val="00CC6C87"/>
    <w:rsid w:val="00CC7C47"/>
    <w:rsid w:val="00CD03F6"/>
    <w:rsid w:val="00CD1F30"/>
    <w:rsid w:val="00CE0091"/>
    <w:rsid w:val="00CE0E65"/>
    <w:rsid w:val="00CE10D1"/>
    <w:rsid w:val="00CF08CA"/>
    <w:rsid w:val="00CF2AC6"/>
    <w:rsid w:val="00CF3F5A"/>
    <w:rsid w:val="00CF61CC"/>
    <w:rsid w:val="00CF67E3"/>
    <w:rsid w:val="00D00058"/>
    <w:rsid w:val="00D00424"/>
    <w:rsid w:val="00D04DBF"/>
    <w:rsid w:val="00D13001"/>
    <w:rsid w:val="00D20C6C"/>
    <w:rsid w:val="00D27636"/>
    <w:rsid w:val="00D36819"/>
    <w:rsid w:val="00D41A1B"/>
    <w:rsid w:val="00D46B6B"/>
    <w:rsid w:val="00D520D8"/>
    <w:rsid w:val="00D5242C"/>
    <w:rsid w:val="00D55BA6"/>
    <w:rsid w:val="00D63203"/>
    <w:rsid w:val="00D63752"/>
    <w:rsid w:val="00D64E09"/>
    <w:rsid w:val="00D77019"/>
    <w:rsid w:val="00D82CBA"/>
    <w:rsid w:val="00D834EF"/>
    <w:rsid w:val="00D842B0"/>
    <w:rsid w:val="00D87007"/>
    <w:rsid w:val="00D917EB"/>
    <w:rsid w:val="00D91EF9"/>
    <w:rsid w:val="00D94448"/>
    <w:rsid w:val="00D966D3"/>
    <w:rsid w:val="00D96B53"/>
    <w:rsid w:val="00D9741E"/>
    <w:rsid w:val="00DA2DD3"/>
    <w:rsid w:val="00DA6017"/>
    <w:rsid w:val="00DB0243"/>
    <w:rsid w:val="00DB1140"/>
    <w:rsid w:val="00DB2A20"/>
    <w:rsid w:val="00DB6DAF"/>
    <w:rsid w:val="00DB704C"/>
    <w:rsid w:val="00DC2C08"/>
    <w:rsid w:val="00DC2F4A"/>
    <w:rsid w:val="00DC482D"/>
    <w:rsid w:val="00DC6FE6"/>
    <w:rsid w:val="00DD2DEF"/>
    <w:rsid w:val="00DD7E31"/>
    <w:rsid w:val="00DE0D5A"/>
    <w:rsid w:val="00DE2D5C"/>
    <w:rsid w:val="00DE3023"/>
    <w:rsid w:val="00DE3A87"/>
    <w:rsid w:val="00DE53F3"/>
    <w:rsid w:val="00DF095F"/>
    <w:rsid w:val="00DF10CE"/>
    <w:rsid w:val="00DF2B2B"/>
    <w:rsid w:val="00E00E22"/>
    <w:rsid w:val="00E011ED"/>
    <w:rsid w:val="00E012CE"/>
    <w:rsid w:val="00E05FE4"/>
    <w:rsid w:val="00E11353"/>
    <w:rsid w:val="00E118F9"/>
    <w:rsid w:val="00E12CE5"/>
    <w:rsid w:val="00E14490"/>
    <w:rsid w:val="00E16EAB"/>
    <w:rsid w:val="00E23FDE"/>
    <w:rsid w:val="00E25F5D"/>
    <w:rsid w:val="00E305DF"/>
    <w:rsid w:val="00E31B13"/>
    <w:rsid w:val="00E3383C"/>
    <w:rsid w:val="00E37E29"/>
    <w:rsid w:val="00E42A7A"/>
    <w:rsid w:val="00E471CE"/>
    <w:rsid w:val="00E510E7"/>
    <w:rsid w:val="00E511F0"/>
    <w:rsid w:val="00E51C36"/>
    <w:rsid w:val="00E53152"/>
    <w:rsid w:val="00E5798C"/>
    <w:rsid w:val="00E60467"/>
    <w:rsid w:val="00E61B23"/>
    <w:rsid w:val="00E61E9F"/>
    <w:rsid w:val="00E65044"/>
    <w:rsid w:val="00E6507C"/>
    <w:rsid w:val="00E675FB"/>
    <w:rsid w:val="00E73AE6"/>
    <w:rsid w:val="00E73C3E"/>
    <w:rsid w:val="00E75E2D"/>
    <w:rsid w:val="00E775B1"/>
    <w:rsid w:val="00E83011"/>
    <w:rsid w:val="00E87602"/>
    <w:rsid w:val="00E8766D"/>
    <w:rsid w:val="00E9004F"/>
    <w:rsid w:val="00E90597"/>
    <w:rsid w:val="00E90A88"/>
    <w:rsid w:val="00E964BE"/>
    <w:rsid w:val="00E9799C"/>
    <w:rsid w:val="00E97C6B"/>
    <w:rsid w:val="00EA1A1A"/>
    <w:rsid w:val="00EA5B44"/>
    <w:rsid w:val="00EB1A95"/>
    <w:rsid w:val="00EB2E2D"/>
    <w:rsid w:val="00EB642D"/>
    <w:rsid w:val="00EC1460"/>
    <w:rsid w:val="00EC514E"/>
    <w:rsid w:val="00EC58E3"/>
    <w:rsid w:val="00EC7512"/>
    <w:rsid w:val="00ED0B26"/>
    <w:rsid w:val="00ED2EA8"/>
    <w:rsid w:val="00ED528C"/>
    <w:rsid w:val="00EE624E"/>
    <w:rsid w:val="00EF293E"/>
    <w:rsid w:val="00EF3A39"/>
    <w:rsid w:val="00EF3BE8"/>
    <w:rsid w:val="00EF5415"/>
    <w:rsid w:val="00F0399D"/>
    <w:rsid w:val="00F039E0"/>
    <w:rsid w:val="00F041A4"/>
    <w:rsid w:val="00F04CC1"/>
    <w:rsid w:val="00F059A6"/>
    <w:rsid w:val="00F0640A"/>
    <w:rsid w:val="00F06A0B"/>
    <w:rsid w:val="00F06ED2"/>
    <w:rsid w:val="00F11C83"/>
    <w:rsid w:val="00F13514"/>
    <w:rsid w:val="00F13E54"/>
    <w:rsid w:val="00F15CBC"/>
    <w:rsid w:val="00F16D48"/>
    <w:rsid w:val="00F209C3"/>
    <w:rsid w:val="00F24A47"/>
    <w:rsid w:val="00F25801"/>
    <w:rsid w:val="00F4465C"/>
    <w:rsid w:val="00F50568"/>
    <w:rsid w:val="00F5423D"/>
    <w:rsid w:val="00F553EC"/>
    <w:rsid w:val="00F5606F"/>
    <w:rsid w:val="00F565B4"/>
    <w:rsid w:val="00F56EAC"/>
    <w:rsid w:val="00F5787B"/>
    <w:rsid w:val="00F60A37"/>
    <w:rsid w:val="00F60B62"/>
    <w:rsid w:val="00F653A1"/>
    <w:rsid w:val="00F72AC9"/>
    <w:rsid w:val="00F76D83"/>
    <w:rsid w:val="00F817CE"/>
    <w:rsid w:val="00F81A5D"/>
    <w:rsid w:val="00F823DB"/>
    <w:rsid w:val="00F84DFC"/>
    <w:rsid w:val="00F90EDD"/>
    <w:rsid w:val="00F92957"/>
    <w:rsid w:val="00F92EC5"/>
    <w:rsid w:val="00F931B5"/>
    <w:rsid w:val="00F9386E"/>
    <w:rsid w:val="00FA3401"/>
    <w:rsid w:val="00FA7CD1"/>
    <w:rsid w:val="00FB4127"/>
    <w:rsid w:val="00FB5965"/>
    <w:rsid w:val="00FC1D17"/>
    <w:rsid w:val="00FC2006"/>
    <w:rsid w:val="00FC2217"/>
    <w:rsid w:val="00FC2A9E"/>
    <w:rsid w:val="00FC60A4"/>
    <w:rsid w:val="00FD084F"/>
    <w:rsid w:val="00FD0C4E"/>
    <w:rsid w:val="00FD1904"/>
    <w:rsid w:val="00FD212E"/>
    <w:rsid w:val="00FD4F8E"/>
    <w:rsid w:val="00FD6CEA"/>
    <w:rsid w:val="00FD7147"/>
    <w:rsid w:val="00FD7386"/>
    <w:rsid w:val="00FE4799"/>
    <w:rsid w:val="00FE4CF7"/>
    <w:rsid w:val="00FE7859"/>
    <w:rsid w:val="00FF08EC"/>
    <w:rsid w:val="00FF2355"/>
    <w:rsid w:val="00FF30C8"/>
    <w:rsid w:val="00FF3B92"/>
    <w:rsid w:val="00FF3D90"/>
    <w:rsid w:val="00FF67DE"/>
    <w:rsid w:val="0C4CAA2D"/>
    <w:rsid w:val="0F745666"/>
    <w:rsid w:val="25B80F49"/>
    <w:rsid w:val="2A36366C"/>
    <w:rsid w:val="33B87390"/>
    <w:rsid w:val="45627098"/>
    <w:rsid w:val="47AEDD02"/>
    <w:rsid w:val="50EC1D04"/>
    <w:rsid w:val="512AB4B1"/>
    <w:rsid w:val="71ED7738"/>
    <w:rsid w:val="7A9EC546"/>
    <w:rsid w:val="7CDDDCA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DE3DD38"/>
  <w15:docId w15:val="{AACBC3D2-EC5D-4459-A498-DC5094F6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D42"/>
    <w:pPr>
      <w:widowControl w:val="0"/>
    </w:pPr>
    <w:rPr>
      <w:snapToGrid w:val="0"/>
      <w:kern w:val="28"/>
      <w:sz w:val="22"/>
    </w:rPr>
  </w:style>
  <w:style w:type="paragraph" w:styleId="Heading1">
    <w:name w:val="heading 1"/>
    <w:basedOn w:val="Normal"/>
    <w:next w:val="ParaNum"/>
    <w:qFormat/>
    <w:rsid w:val="00734D42"/>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34D42"/>
    <w:pPr>
      <w:keepNext/>
      <w:numPr>
        <w:ilvl w:val="1"/>
        <w:numId w:val="24"/>
      </w:numPr>
      <w:spacing w:after="120"/>
      <w:outlineLvl w:val="1"/>
    </w:pPr>
    <w:rPr>
      <w:b/>
    </w:rPr>
  </w:style>
  <w:style w:type="paragraph" w:styleId="Heading3">
    <w:name w:val="heading 3"/>
    <w:basedOn w:val="Normal"/>
    <w:next w:val="ParaNum"/>
    <w:qFormat/>
    <w:rsid w:val="00734D42"/>
    <w:pPr>
      <w:keepNext/>
      <w:numPr>
        <w:ilvl w:val="2"/>
        <w:numId w:val="24"/>
      </w:numPr>
      <w:tabs>
        <w:tab w:val="left" w:pos="2160"/>
      </w:tabs>
      <w:spacing w:after="120"/>
      <w:outlineLvl w:val="2"/>
    </w:pPr>
    <w:rPr>
      <w:b/>
    </w:rPr>
  </w:style>
  <w:style w:type="paragraph" w:styleId="Heading4">
    <w:name w:val="heading 4"/>
    <w:basedOn w:val="Normal"/>
    <w:next w:val="ParaNum"/>
    <w:qFormat/>
    <w:rsid w:val="00734D42"/>
    <w:pPr>
      <w:keepNext/>
      <w:numPr>
        <w:ilvl w:val="3"/>
        <w:numId w:val="24"/>
      </w:numPr>
      <w:tabs>
        <w:tab w:val="left" w:pos="2880"/>
      </w:tabs>
      <w:spacing w:after="120"/>
      <w:outlineLvl w:val="3"/>
    </w:pPr>
    <w:rPr>
      <w:b/>
    </w:rPr>
  </w:style>
  <w:style w:type="paragraph" w:styleId="Heading5">
    <w:name w:val="heading 5"/>
    <w:basedOn w:val="Normal"/>
    <w:next w:val="ParaNum"/>
    <w:qFormat/>
    <w:rsid w:val="00734D42"/>
    <w:pPr>
      <w:keepNext/>
      <w:numPr>
        <w:ilvl w:val="4"/>
        <w:numId w:val="24"/>
      </w:numPr>
      <w:tabs>
        <w:tab w:val="left" w:pos="3600"/>
      </w:tabs>
      <w:suppressAutoHyphens/>
      <w:spacing w:after="120"/>
      <w:outlineLvl w:val="4"/>
    </w:pPr>
    <w:rPr>
      <w:b/>
    </w:rPr>
  </w:style>
  <w:style w:type="paragraph" w:styleId="Heading6">
    <w:name w:val="heading 6"/>
    <w:basedOn w:val="Normal"/>
    <w:next w:val="ParaNum"/>
    <w:qFormat/>
    <w:rsid w:val="00734D42"/>
    <w:pPr>
      <w:numPr>
        <w:ilvl w:val="5"/>
        <w:numId w:val="24"/>
      </w:numPr>
      <w:tabs>
        <w:tab w:val="left" w:pos="4320"/>
      </w:tabs>
      <w:spacing w:after="120"/>
      <w:outlineLvl w:val="5"/>
    </w:pPr>
    <w:rPr>
      <w:b/>
    </w:rPr>
  </w:style>
  <w:style w:type="paragraph" w:styleId="Heading7">
    <w:name w:val="heading 7"/>
    <w:basedOn w:val="Normal"/>
    <w:next w:val="ParaNum"/>
    <w:qFormat/>
    <w:rsid w:val="00734D42"/>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734D42"/>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
    <w:qFormat/>
    <w:rsid w:val="00734D42"/>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34D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4D42"/>
  </w:style>
  <w:style w:type="paragraph" w:styleId="Caption">
    <w:name w:val="caption"/>
    <w:basedOn w:val="Normal"/>
    <w:next w:val="Normal"/>
    <w:qFormat/>
    <w:rsid w:val="00571354"/>
    <w:pPr>
      <w:spacing w:before="120" w:after="120"/>
    </w:pPr>
    <w:rPr>
      <w:b/>
    </w:rPr>
  </w:style>
  <w:style w:type="paragraph" w:customStyle="1" w:styleId="ParaNum">
    <w:name w:val="ParaNum"/>
    <w:basedOn w:val="Normal"/>
    <w:link w:val="ParaNumChar1"/>
    <w:rsid w:val="00734D42"/>
    <w:pPr>
      <w:numPr>
        <w:numId w:val="32"/>
      </w:numPr>
      <w:tabs>
        <w:tab w:val="clear" w:pos="1080"/>
        <w:tab w:val="num" w:pos="1440"/>
      </w:tabs>
      <w:spacing w:after="120"/>
    </w:pPr>
  </w:style>
  <w:style w:type="paragraph" w:styleId="FootnoteText">
    <w:name w:val="footnote text"/>
    <w:rsid w:val="00734D42"/>
    <w:pPr>
      <w:spacing w:after="120"/>
    </w:pPr>
  </w:style>
  <w:style w:type="paragraph" w:customStyle="1" w:styleId="Bullet">
    <w:name w:val="Bullet"/>
    <w:basedOn w:val="Normal"/>
    <w:rsid w:val="00734D42"/>
    <w:pPr>
      <w:tabs>
        <w:tab w:val="left" w:pos="2160"/>
      </w:tabs>
      <w:spacing w:after="220"/>
      <w:ind w:left="2160" w:hanging="720"/>
    </w:pPr>
  </w:style>
  <w:style w:type="paragraph" w:styleId="BlockText">
    <w:name w:val="Block Text"/>
    <w:basedOn w:val="Normal"/>
    <w:rsid w:val="00734D42"/>
    <w:pPr>
      <w:spacing w:after="240"/>
      <w:ind w:left="1440" w:right="1440"/>
    </w:pPr>
  </w:style>
  <w:style w:type="paragraph" w:customStyle="1" w:styleId="TableFormat">
    <w:name w:val="TableFormat"/>
    <w:basedOn w:val="Bullet"/>
    <w:rsid w:val="00734D42"/>
    <w:pPr>
      <w:tabs>
        <w:tab w:val="clear" w:pos="2160"/>
        <w:tab w:val="left" w:pos="5040"/>
      </w:tabs>
      <w:ind w:left="5040" w:hanging="360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734D42"/>
    <w:rPr>
      <w:rFonts w:ascii="Times New Roman" w:hAnsi="Times New Roman"/>
      <w:dstrike w:val="0"/>
      <w:color w:val="auto"/>
      <w:sz w:val="20"/>
      <w:vertAlign w:val="superscript"/>
    </w:rPr>
  </w:style>
  <w:style w:type="paragraph" w:styleId="Header">
    <w:name w:val="header"/>
    <w:basedOn w:val="Normal"/>
    <w:autoRedefine/>
    <w:rsid w:val="00734D42"/>
    <w:pPr>
      <w:tabs>
        <w:tab w:val="center" w:pos="4680"/>
        <w:tab w:val="right" w:pos="9360"/>
      </w:tabs>
    </w:pPr>
    <w:rPr>
      <w:b/>
    </w:rPr>
  </w:style>
  <w:style w:type="paragraph" w:styleId="Footer">
    <w:name w:val="footer"/>
    <w:basedOn w:val="Normal"/>
    <w:link w:val="FooterChar"/>
    <w:uiPriority w:val="99"/>
    <w:rsid w:val="00734D42"/>
    <w:pPr>
      <w:tabs>
        <w:tab w:val="center" w:pos="4320"/>
        <w:tab w:val="right" w:pos="8640"/>
      </w:tabs>
    </w:pPr>
  </w:style>
  <w:style w:type="paragraph" w:styleId="TOC2">
    <w:name w:val="toc 2"/>
    <w:basedOn w:val="Normal"/>
    <w:next w:val="Normal"/>
    <w:semiHidden/>
    <w:rsid w:val="00734D42"/>
    <w:pPr>
      <w:tabs>
        <w:tab w:val="left" w:pos="720"/>
        <w:tab w:val="right" w:leader="dot" w:pos="9360"/>
      </w:tabs>
      <w:suppressAutoHyphens/>
      <w:ind w:left="720" w:right="720" w:hanging="360"/>
    </w:pPr>
    <w:rPr>
      <w:noProof/>
    </w:rPr>
  </w:style>
  <w:style w:type="paragraph" w:customStyle="1" w:styleId="NumberedList">
    <w:name w:val="Numbered List"/>
    <w:basedOn w:val="Normal"/>
    <w:rsid w:val="00571354"/>
    <w:pPr>
      <w:numPr>
        <w:numId w:val="21"/>
      </w:numPr>
      <w:tabs>
        <w:tab w:val="clear" w:pos="1080"/>
      </w:tabs>
      <w:spacing w:after="220"/>
      <w:ind w:firstLine="0"/>
    </w:pPr>
  </w:style>
  <w:style w:type="paragraph" w:styleId="TOC1">
    <w:name w:val="toc 1"/>
    <w:basedOn w:val="Normal"/>
    <w:next w:val="Normal"/>
    <w:semiHidden/>
    <w:rsid w:val="00734D42"/>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734D4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34D4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34D4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34D4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34D4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34D4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34D42"/>
    <w:pPr>
      <w:tabs>
        <w:tab w:val="left" w:pos="3240"/>
        <w:tab w:val="right" w:leader="dot" w:pos="9360"/>
      </w:tabs>
      <w:suppressAutoHyphens/>
      <w:ind w:left="3240" w:hanging="360"/>
    </w:pPr>
    <w:rPr>
      <w:noProof/>
    </w:rPr>
  </w:style>
  <w:style w:type="character" w:styleId="PageNumber">
    <w:name w:val="page number"/>
    <w:basedOn w:val="DefaultParagraphFont"/>
    <w:rsid w:val="00734D42"/>
  </w:style>
  <w:style w:type="paragraph" w:styleId="Title">
    <w:name w:val="Title"/>
    <w:basedOn w:val="Normal"/>
    <w:qFormat/>
    <w:rsid w:val="00571354"/>
    <w:pPr>
      <w:jc w:val="center"/>
    </w:pPr>
    <w:rPr>
      <w:b/>
    </w:rPr>
  </w:style>
  <w:style w:type="paragraph" w:styleId="EndnoteText">
    <w:name w:val="endnote text"/>
    <w:basedOn w:val="Normal"/>
    <w:link w:val="EndnoteTextChar"/>
    <w:rsid w:val="00734D42"/>
    <w:rPr>
      <w:sz w:val="20"/>
    </w:rPr>
  </w:style>
  <w:style w:type="character" w:customStyle="1" w:styleId="EndnoteTextChar">
    <w:name w:val="Endnote Text Char"/>
    <w:basedOn w:val="DefaultParagraphFont"/>
    <w:link w:val="EndnoteText"/>
    <w:rsid w:val="00571354"/>
    <w:rPr>
      <w:snapToGrid w:val="0"/>
      <w:kern w:val="28"/>
    </w:rPr>
  </w:style>
  <w:style w:type="character" w:styleId="EndnoteReference">
    <w:name w:val="endnote reference"/>
    <w:rsid w:val="00734D42"/>
    <w:rPr>
      <w:vertAlign w:val="superscript"/>
    </w:rPr>
  </w:style>
  <w:style w:type="paragraph" w:styleId="TOAHeading">
    <w:name w:val="toa heading"/>
    <w:basedOn w:val="Normal"/>
    <w:next w:val="Normal"/>
    <w:rsid w:val="00734D42"/>
    <w:pPr>
      <w:tabs>
        <w:tab w:val="right" w:pos="9360"/>
      </w:tabs>
      <w:suppressAutoHyphens/>
    </w:pPr>
  </w:style>
  <w:style w:type="character" w:customStyle="1" w:styleId="EquationCaption">
    <w:name w:val="_Equation Caption"/>
    <w:rsid w:val="00734D42"/>
  </w:style>
  <w:style w:type="paragraph" w:customStyle="1" w:styleId="Paratitle">
    <w:name w:val="Para title"/>
    <w:basedOn w:val="Normal"/>
    <w:rsid w:val="00734D42"/>
    <w:pPr>
      <w:tabs>
        <w:tab w:val="center" w:pos="9270"/>
      </w:tabs>
      <w:spacing w:after="240"/>
    </w:pPr>
    <w:rPr>
      <w:spacing w:val="-2"/>
    </w:rPr>
  </w:style>
  <w:style w:type="paragraph" w:customStyle="1" w:styleId="TOCTitle">
    <w:name w:val="TOC Title"/>
    <w:basedOn w:val="Normal"/>
    <w:rsid w:val="00734D4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34D42"/>
    <w:pPr>
      <w:jc w:val="center"/>
    </w:pPr>
    <w:rPr>
      <w:rFonts w:ascii="Times New Roman Bold" w:hAnsi="Times New Roman Bold"/>
      <w:b/>
      <w:bCs/>
      <w:caps/>
      <w:szCs w:val="22"/>
    </w:rPr>
  </w:style>
  <w:style w:type="character" w:styleId="Hyperlink">
    <w:name w:val="Hyperlink"/>
    <w:rsid w:val="00734D42"/>
    <w:rPr>
      <w:color w:val="0000FF"/>
      <w:u w:val="single"/>
    </w:rPr>
  </w:style>
  <w:style w:type="paragraph" w:styleId="BalloonText">
    <w:name w:val="Balloon Text"/>
    <w:basedOn w:val="Normal"/>
    <w:link w:val="BalloonTextChar"/>
    <w:rsid w:val="003255B4"/>
    <w:rPr>
      <w:rFonts w:ascii="Segoe UI" w:hAnsi="Segoe UI" w:cs="Segoe UI"/>
      <w:snapToGrid/>
      <w:sz w:val="18"/>
      <w:szCs w:val="18"/>
    </w:rPr>
  </w:style>
  <w:style w:type="character" w:customStyle="1" w:styleId="BalloonTextChar">
    <w:name w:val="Balloon Text Char"/>
    <w:basedOn w:val="DefaultParagraphFont"/>
    <w:link w:val="BalloonText"/>
    <w:rsid w:val="003255B4"/>
    <w:rPr>
      <w:rFonts w:ascii="Segoe UI" w:hAnsi="Segoe UI" w:cs="Segoe UI"/>
      <w:snapToGrid w:val="0"/>
      <w:kern w:val="28"/>
      <w:sz w:val="18"/>
      <w:szCs w:val="18"/>
    </w:rPr>
  </w:style>
  <w:style w:type="character" w:styleId="CommentReference">
    <w:name w:val="annotation reference"/>
    <w:uiPriority w:val="99"/>
    <w:unhideWhenUsed/>
    <w:rsid w:val="009D3BD2"/>
    <w:rPr>
      <w:sz w:val="16"/>
      <w:szCs w:val="16"/>
    </w:rPr>
  </w:style>
  <w:style w:type="paragraph" w:styleId="CommentText">
    <w:name w:val="annotation text"/>
    <w:basedOn w:val="Normal"/>
    <w:link w:val="CommentTextChar"/>
    <w:uiPriority w:val="99"/>
    <w:unhideWhenUsed/>
    <w:rsid w:val="009D3BD2"/>
    <w:rPr>
      <w:sz w:val="20"/>
    </w:rPr>
  </w:style>
  <w:style w:type="character" w:customStyle="1" w:styleId="CommentTextChar">
    <w:name w:val="Comment Text Char"/>
    <w:basedOn w:val="DefaultParagraphFont"/>
    <w:link w:val="CommentText"/>
    <w:uiPriority w:val="99"/>
    <w:rsid w:val="009D3BD2"/>
    <w:rPr>
      <w:snapToGrid w:val="0"/>
      <w:kern w:val="28"/>
    </w:rPr>
  </w:style>
  <w:style w:type="paragraph" w:styleId="NoSpacing">
    <w:name w:val="No Spacing"/>
    <w:uiPriority w:val="1"/>
    <w:qFormat/>
    <w:rsid w:val="00F60B62"/>
    <w:rPr>
      <w:rFonts w:ascii="Calibri" w:eastAsia="Calibri" w:hAnsi="Calibri" w:cs="Arial"/>
      <w:sz w:val="22"/>
      <w:szCs w:val="22"/>
    </w:rPr>
  </w:style>
  <w:style w:type="paragraph" w:styleId="CommentSubject">
    <w:name w:val="annotation subject"/>
    <w:basedOn w:val="CommentText"/>
    <w:next w:val="CommentText"/>
    <w:link w:val="CommentSubjectChar"/>
    <w:semiHidden/>
    <w:unhideWhenUsed/>
    <w:rsid w:val="005A37B1"/>
    <w:rPr>
      <w:b/>
      <w:bCs/>
    </w:rPr>
  </w:style>
  <w:style w:type="character" w:customStyle="1" w:styleId="CommentSubjectChar">
    <w:name w:val="Comment Subject Char"/>
    <w:basedOn w:val="CommentTextChar"/>
    <w:link w:val="CommentSubject"/>
    <w:semiHidden/>
    <w:rsid w:val="005A37B1"/>
    <w:rPr>
      <w:b/>
      <w:bCs/>
      <w:snapToGrid w:val="0"/>
      <w:kern w:val="28"/>
    </w:rPr>
  </w:style>
  <w:style w:type="character" w:customStyle="1" w:styleId="ParaNumChar1">
    <w:name w:val="ParaNum Char1"/>
    <w:link w:val="ParaNum"/>
    <w:locked/>
    <w:rsid w:val="00BE5DDB"/>
    <w:rPr>
      <w:snapToGrid w:val="0"/>
      <w:kern w:val="28"/>
      <w:sz w:val="22"/>
    </w:rPr>
  </w:style>
  <w:style w:type="paragraph" w:styleId="Revision">
    <w:name w:val="Revision"/>
    <w:hidden/>
    <w:uiPriority w:val="99"/>
    <w:semiHidden/>
    <w:rsid w:val="007B7717"/>
    <w:rPr>
      <w:snapToGrid w:val="0"/>
      <w:kern w:val="28"/>
      <w:sz w:val="22"/>
    </w:rPr>
  </w:style>
  <w:style w:type="character" w:customStyle="1" w:styleId="FooterChar">
    <w:name w:val="Footer Char"/>
    <w:link w:val="Footer"/>
    <w:uiPriority w:val="99"/>
    <w:rsid w:val="00734D42"/>
    <w:rPr>
      <w:snapToGrid w:val="0"/>
      <w:kern w:val="28"/>
      <w:sz w:val="22"/>
    </w:rPr>
  </w:style>
  <w:style w:type="character" w:customStyle="1" w:styleId="normaltextrun">
    <w:name w:val="normaltextrun"/>
    <w:basedOn w:val="DefaultParagraphFont"/>
    <w:rsid w:val="00D94448"/>
  </w:style>
  <w:style w:type="paragraph" w:styleId="ListParagraph">
    <w:name w:val="List Paragraph"/>
    <w:basedOn w:val="Normal"/>
    <w:uiPriority w:val="34"/>
    <w:qFormat/>
    <w:rsid w:val="00193991"/>
    <w:pPr>
      <w:ind w:left="720"/>
      <w:contextualSpacing/>
    </w:pPr>
  </w:style>
  <w:style w:type="character" w:styleId="Mention">
    <w:name w:val="Mention"/>
    <w:basedOn w:val="DefaultParagraphFont"/>
    <w:rsid w:val="004C7411"/>
    <w:rPr>
      <w:color w:val="2B579A"/>
      <w:shd w:val="clear" w:color="auto" w:fill="E1DFDD"/>
    </w:rPr>
  </w:style>
  <w:style w:type="character" w:styleId="UnresolvedMention">
    <w:name w:val="Unresolved Mention"/>
    <w:basedOn w:val="DefaultParagraphFont"/>
    <w:rsid w:val="00DC2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erratum-ord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erratum-order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