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80" w:type="dxa"/>
        <w:tblLook w:val="0000"/>
      </w:tblPr>
      <w:tblGrid>
        <w:gridCol w:w="8886"/>
      </w:tblGrid>
      <w:tr w14:paraId="15B7F985" w14:textId="77777777" w:rsidTr="5A5ACFB2">
        <w:tblPrEx>
          <w:tblW w:w="8880" w:type="dxa"/>
          <w:tblLook w:val="0000"/>
        </w:tblPrEx>
        <w:trPr>
          <w:trHeight w:val="2181"/>
        </w:trPr>
        <w:tc>
          <w:tcPr>
            <w:tcW w:w="8880" w:type="dxa"/>
          </w:tcPr>
          <w:p w:rsidR="00FF232D" w:rsidP="006A7D75" w14:paraId="10925861" w14:textId="77777777">
            <w:pPr>
              <w:jc w:val="center"/>
              <w:rPr>
                <w:b/>
              </w:rPr>
            </w:pPr>
            <w:r>
              <w:rPr>
                <w:b/>
                <w:i/>
                <w:noProof/>
                <w:color w:val="2B579A"/>
                <w:sz w:val="28"/>
                <w:szCs w:val="28"/>
                <w:shd w:val="clear" w:color="auto" w:fill="E6E6E6"/>
              </w:rPr>
              <w:drawing>
                <wp:inline distT="0" distB="0" distL="0" distR="0">
                  <wp:extent cx="55054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A44F8" w:rsidRPr="008A3940" w:rsidP="00BB4E29" w14:paraId="3777A3C3" w14:textId="77777777">
            <w:pPr>
              <w:rPr>
                <w:b/>
                <w:bCs/>
                <w:sz w:val="22"/>
                <w:szCs w:val="22"/>
              </w:rPr>
            </w:pPr>
            <w:r w:rsidRPr="008A3940">
              <w:rPr>
                <w:b/>
                <w:bCs/>
                <w:sz w:val="22"/>
                <w:szCs w:val="22"/>
              </w:rPr>
              <w:t xml:space="preserve">Media Contact: </w:t>
            </w:r>
          </w:p>
          <w:p w:rsidR="007A44F8" w:rsidP="006E14AC" w14:paraId="33E8DAD3" w14:textId="77777777">
            <w:pPr>
              <w:rPr>
                <w:bCs/>
                <w:sz w:val="22"/>
                <w:szCs w:val="22"/>
              </w:rPr>
            </w:pPr>
            <w:r w:rsidRPr="006E14AC">
              <w:rPr>
                <w:bCs/>
                <w:sz w:val="22"/>
                <w:szCs w:val="22"/>
              </w:rPr>
              <w:t>MediaRelations@fcc.gov</w:t>
            </w:r>
          </w:p>
          <w:p w:rsidR="007A44F8" w:rsidRPr="004A729A" w:rsidP="00BB4E29" w14:paraId="5319426A" w14:textId="77777777">
            <w:pPr>
              <w:jc w:val="center"/>
              <w:rPr>
                <w:b/>
                <w:bCs/>
                <w:sz w:val="22"/>
                <w:szCs w:val="22"/>
              </w:rPr>
            </w:pPr>
          </w:p>
          <w:p w:rsidR="00CC5E08" w:rsidRPr="006D2AD1" w:rsidP="00040127" w14:paraId="5B014601" w14:textId="58554D80">
            <w:pPr>
              <w:tabs>
                <w:tab w:val="left" w:pos="8625"/>
              </w:tabs>
              <w:jc w:val="center"/>
              <w:rPr>
                <w:iCs/>
                <w:sz w:val="28"/>
                <w:szCs w:val="28"/>
                <w:u w:val="single"/>
              </w:rPr>
            </w:pPr>
            <w:r w:rsidRPr="00D652BD">
              <w:rPr>
                <w:b/>
                <w:bCs/>
                <w:iCs/>
                <w:sz w:val="28"/>
                <w:szCs w:val="28"/>
                <w:u w:val="single"/>
              </w:rPr>
              <w:t>Five</w:t>
            </w:r>
            <w:r w:rsidRPr="00D652BD" w:rsidR="006D2AD1">
              <w:rPr>
                <w:b/>
                <w:bCs/>
                <w:iCs/>
                <w:sz w:val="28"/>
                <w:szCs w:val="28"/>
                <w:u w:val="single"/>
              </w:rPr>
              <w:t xml:space="preserve"> Facts</w:t>
            </w:r>
            <w:r w:rsidRPr="006D2AD1" w:rsidR="006D2AD1">
              <w:rPr>
                <w:b/>
                <w:bCs/>
                <w:iCs/>
                <w:sz w:val="28"/>
                <w:szCs w:val="28"/>
                <w:u w:val="single"/>
              </w:rPr>
              <w:t xml:space="preserve"> About Net Neutrality Protections</w:t>
            </w:r>
          </w:p>
          <w:p w:rsidR="001C7579" w:rsidP="00BB4E29" w14:paraId="6ABF85A1" w14:textId="77777777">
            <w:pPr>
              <w:tabs>
                <w:tab w:val="left" w:pos="8625"/>
              </w:tabs>
              <w:jc w:val="center"/>
              <w:rPr>
                <w:b/>
                <w:bCs/>
                <w:i/>
                <w:color w:val="F2F2F2" w:themeColor="background1" w:themeShade="F2"/>
                <w:sz w:val="28"/>
                <w:szCs w:val="32"/>
              </w:rPr>
            </w:pPr>
            <w:r w:rsidRPr="006B0A70">
              <w:rPr>
                <w:b/>
                <w:bCs/>
                <w:i/>
                <w:sz w:val="28"/>
                <w:szCs w:val="32"/>
              </w:rPr>
              <w:t xml:space="preserve">  </w:t>
            </w:r>
            <w:r w:rsidRPr="006B0A70">
              <w:rPr>
                <w:b/>
                <w:bCs/>
                <w:i/>
                <w:color w:val="F2F2F2" w:themeColor="background1" w:themeShade="F2"/>
                <w:sz w:val="28"/>
                <w:szCs w:val="32"/>
              </w:rPr>
              <w:t>-</w:t>
            </w:r>
          </w:p>
          <w:p w:rsidR="001C7579" w:rsidRPr="004C6F9F" w:rsidP="00BB4E29" w14:paraId="69E07163" w14:textId="580E348B">
            <w:pPr>
              <w:tabs>
                <w:tab w:val="left" w:pos="8625"/>
              </w:tabs>
              <w:jc w:val="center"/>
              <w:rPr>
                <w:b/>
                <w:bCs/>
                <w:i/>
                <w:sz w:val="22"/>
                <w:szCs w:val="22"/>
              </w:rPr>
            </w:pPr>
            <w:r w:rsidRPr="004C6F9F">
              <w:rPr>
                <w:b/>
                <w:bCs/>
                <w:i/>
                <w:sz w:val="22"/>
                <w:szCs w:val="22"/>
              </w:rPr>
              <w:t>“We need broadband to reach 100 percent of us—and we need it fast, open, and fair.”</w:t>
            </w:r>
          </w:p>
          <w:p w:rsidR="001C7579" w:rsidRPr="004C6F9F" w:rsidP="00BB4E29" w14:paraId="6912AA2A" w14:textId="26182CA9">
            <w:pPr>
              <w:tabs>
                <w:tab w:val="left" w:pos="8625"/>
              </w:tabs>
              <w:jc w:val="center"/>
              <w:rPr>
                <w:b/>
                <w:bCs/>
                <w:i/>
                <w:sz w:val="22"/>
                <w:szCs w:val="22"/>
              </w:rPr>
            </w:pPr>
            <w:r w:rsidRPr="004C6F9F">
              <w:rPr>
                <w:b/>
                <w:bCs/>
                <w:i/>
                <w:sz w:val="22"/>
                <w:szCs w:val="22"/>
              </w:rPr>
              <w:t>-Jessica Rosenworcel, FCC Chairwoman</w:t>
            </w:r>
          </w:p>
          <w:p w:rsidR="00697F28" w:rsidP="00BB4E29" w14:paraId="7B769829" w14:textId="77777777">
            <w:pPr>
              <w:tabs>
                <w:tab w:val="left" w:pos="8625"/>
              </w:tabs>
              <w:jc w:val="center"/>
              <w:rPr>
                <w:b/>
                <w:bCs/>
                <w:i/>
                <w:color w:val="F2F2F2" w:themeColor="background1" w:themeShade="F2"/>
                <w:sz w:val="28"/>
                <w:szCs w:val="32"/>
              </w:rPr>
            </w:pPr>
          </w:p>
          <w:p w:rsidR="00796D86" w:rsidRPr="002B2BC7" w:rsidP="00B9006D" w14:paraId="2B2EB02A" w14:textId="16E1B163">
            <w:pPr>
              <w:tabs>
                <w:tab w:val="left" w:pos="8625"/>
              </w:tabs>
              <w:rPr>
                <w:sz w:val="22"/>
                <w:szCs w:val="22"/>
              </w:rPr>
            </w:pPr>
            <w:r w:rsidRPr="002B2BC7">
              <w:rPr>
                <w:sz w:val="22"/>
                <w:szCs w:val="22"/>
              </w:rPr>
              <w:t xml:space="preserve">A devastating pandemic reaffirmed the essential nature of broadband access to protect the health and economic security of all </w:t>
            </w:r>
            <w:r w:rsidRPr="002B2BC7" w:rsidR="78981702">
              <w:rPr>
                <w:sz w:val="22"/>
                <w:szCs w:val="22"/>
              </w:rPr>
              <w:t>people living in the United States</w:t>
            </w:r>
            <w:r w:rsidRPr="002B2BC7">
              <w:rPr>
                <w:sz w:val="22"/>
                <w:szCs w:val="22"/>
              </w:rPr>
              <w:t xml:space="preserve">. </w:t>
            </w:r>
            <w:r w:rsidRPr="002B2BC7" w:rsidR="00341E34">
              <w:rPr>
                <w:sz w:val="22"/>
                <w:szCs w:val="22"/>
              </w:rPr>
              <w:t xml:space="preserve"> But </w:t>
            </w:r>
            <w:r w:rsidRPr="002B2BC7">
              <w:rPr>
                <w:sz w:val="22"/>
                <w:szCs w:val="22"/>
              </w:rPr>
              <w:t>in 2017</w:t>
            </w:r>
            <w:r w:rsidRPr="002B2BC7" w:rsidR="00341E34">
              <w:rPr>
                <w:sz w:val="22"/>
                <w:szCs w:val="22"/>
              </w:rPr>
              <w:t xml:space="preserve">, the nation’s expert communications regulator </w:t>
            </w:r>
            <w:r w:rsidRPr="002B2BC7" w:rsidR="00707367">
              <w:rPr>
                <w:sz w:val="22"/>
                <w:szCs w:val="22"/>
              </w:rPr>
              <w:t>gave up its oversight authority over broadband.</w:t>
            </w:r>
            <w:r w:rsidRPr="002B2BC7" w:rsidR="007E736D">
              <w:rPr>
                <w:sz w:val="22"/>
                <w:szCs w:val="22"/>
              </w:rPr>
              <w:t xml:space="preserve">  </w:t>
            </w:r>
            <w:r w:rsidRPr="002B2BC7" w:rsidR="00F6514B">
              <w:rPr>
                <w:sz w:val="22"/>
                <w:szCs w:val="22"/>
              </w:rPr>
              <w:t xml:space="preserve">Now, in 2024, the FCC is </w:t>
            </w:r>
            <w:hyperlink r:id="rId5" w:history="1">
              <w:r w:rsidRPr="00D81FFC" w:rsidR="0072274A">
                <w:rPr>
                  <w:rStyle w:val="Hyperlink"/>
                  <w:sz w:val="22"/>
                  <w:szCs w:val="22"/>
                </w:rPr>
                <w:t>poised</w:t>
              </w:r>
            </w:hyperlink>
            <w:r w:rsidRPr="002B2BC7" w:rsidR="00F6514B">
              <w:rPr>
                <w:sz w:val="22"/>
                <w:szCs w:val="22"/>
              </w:rPr>
              <w:t xml:space="preserve"> to </w:t>
            </w:r>
            <w:r w:rsidRPr="002B2BC7" w:rsidR="003B607F">
              <w:rPr>
                <w:sz w:val="22"/>
                <w:szCs w:val="22"/>
              </w:rPr>
              <w:t xml:space="preserve">restore federal broadband </w:t>
            </w:r>
            <w:r w:rsidRPr="002B2BC7" w:rsidR="410AC99D">
              <w:rPr>
                <w:sz w:val="22"/>
                <w:szCs w:val="22"/>
              </w:rPr>
              <w:t xml:space="preserve">service </w:t>
            </w:r>
            <w:r w:rsidRPr="002B2BC7" w:rsidR="003B607F">
              <w:rPr>
                <w:sz w:val="22"/>
                <w:szCs w:val="22"/>
              </w:rPr>
              <w:t>oversight and net neutrality rules.</w:t>
            </w:r>
          </w:p>
          <w:p w:rsidR="00707367" w:rsidRPr="002B2BC7" w:rsidP="00B9006D" w14:paraId="547072D4" w14:textId="77777777">
            <w:pPr>
              <w:tabs>
                <w:tab w:val="left" w:pos="8625"/>
              </w:tabs>
              <w:rPr>
                <w:sz w:val="22"/>
                <w:szCs w:val="22"/>
              </w:rPr>
            </w:pPr>
          </w:p>
          <w:p w:rsidR="00DD35CA" w:rsidRPr="002B2BC7" w:rsidP="00B9006D" w14:paraId="56F28211" w14:textId="5381DBB9">
            <w:pPr>
              <w:tabs>
                <w:tab w:val="left" w:pos="8625"/>
              </w:tabs>
              <w:rPr>
                <w:sz w:val="22"/>
                <w:szCs w:val="22"/>
              </w:rPr>
            </w:pPr>
            <w:r w:rsidRPr="002B2BC7">
              <w:rPr>
                <w:sz w:val="22"/>
                <w:szCs w:val="22"/>
              </w:rPr>
              <w:t xml:space="preserve">Here are five reasons why </w:t>
            </w:r>
            <w:r w:rsidRPr="002B2BC7" w:rsidR="006C6BB6">
              <w:rPr>
                <w:sz w:val="22"/>
                <w:szCs w:val="22"/>
              </w:rPr>
              <w:t>we need these protections restored</w:t>
            </w:r>
            <w:r w:rsidRPr="002B2BC7" w:rsidR="176F8E90">
              <w:rPr>
                <w:sz w:val="22"/>
                <w:szCs w:val="22"/>
              </w:rPr>
              <w:t xml:space="preserve"> an</w:t>
            </w:r>
            <w:r w:rsidRPr="002B2BC7" w:rsidR="1FE86D7A">
              <w:rPr>
                <w:sz w:val="22"/>
                <w:szCs w:val="22"/>
              </w:rPr>
              <w:t xml:space="preserve">d why the FCC’s proposed Title II reclassification </w:t>
            </w:r>
            <w:r w:rsidRPr="002B2BC7" w:rsidR="00430161">
              <w:rPr>
                <w:sz w:val="22"/>
                <w:szCs w:val="22"/>
              </w:rPr>
              <w:t>brings back</w:t>
            </w:r>
            <w:r w:rsidRPr="002B2BC7" w:rsidR="73933574">
              <w:rPr>
                <w:sz w:val="22"/>
                <w:szCs w:val="22"/>
              </w:rPr>
              <w:t xml:space="preserve"> </w:t>
            </w:r>
            <w:r w:rsidRPr="002B2BC7" w:rsidR="002B68E5">
              <w:rPr>
                <w:sz w:val="22"/>
                <w:szCs w:val="22"/>
              </w:rPr>
              <w:t>its</w:t>
            </w:r>
            <w:r w:rsidRPr="002B2BC7" w:rsidR="2FE39EEB">
              <w:rPr>
                <w:sz w:val="22"/>
                <w:szCs w:val="22"/>
              </w:rPr>
              <w:t xml:space="preserve"> ability</w:t>
            </w:r>
            <w:r w:rsidRPr="002B2BC7" w:rsidR="1FE86D7A">
              <w:rPr>
                <w:sz w:val="22"/>
                <w:szCs w:val="22"/>
              </w:rPr>
              <w:t xml:space="preserve"> to provide</w:t>
            </w:r>
            <w:r w:rsidRPr="002B2BC7" w:rsidR="555F8288">
              <w:rPr>
                <w:sz w:val="22"/>
                <w:szCs w:val="22"/>
              </w:rPr>
              <w:t xml:space="preserve"> necessary</w:t>
            </w:r>
            <w:r w:rsidRPr="002B2BC7" w:rsidR="1FE86D7A">
              <w:rPr>
                <w:sz w:val="22"/>
                <w:szCs w:val="22"/>
              </w:rPr>
              <w:t xml:space="preserve"> oversight to this essential service</w:t>
            </w:r>
            <w:r w:rsidRPr="002B2BC7" w:rsidR="006C6BB6">
              <w:rPr>
                <w:sz w:val="22"/>
                <w:szCs w:val="22"/>
              </w:rPr>
              <w:t>:</w:t>
            </w:r>
          </w:p>
          <w:p w:rsidR="00F61155" w:rsidRPr="002B2BC7" w:rsidP="00BB4E29" w14:paraId="5AE76DC0" w14:textId="6E16CAFF">
            <w:pPr>
              <w:tabs>
                <w:tab w:val="left" w:pos="8625"/>
              </w:tabs>
              <w:jc w:val="center"/>
              <w:rPr>
                <w:i/>
                <w:color w:val="F2F2F2" w:themeColor="background1" w:themeShade="F2"/>
                <w:sz w:val="22"/>
                <w:szCs w:val="22"/>
              </w:rPr>
            </w:pPr>
            <w:r w:rsidRPr="002B2BC7">
              <w:rPr>
                <w:b/>
                <w:bCs/>
                <w:i/>
                <w:color w:val="F2F2F2" w:themeColor="background1" w:themeShade="F2"/>
                <w:sz w:val="22"/>
                <w:szCs w:val="22"/>
              </w:rPr>
              <w:t>-</w:t>
            </w:r>
            <w:r w:rsidRPr="002B2BC7" w:rsidR="00347716">
              <w:rPr>
                <w:b/>
                <w:bCs/>
                <w:i/>
                <w:color w:val="F2F2F2" w:themeColor="background1" w:themeShade="F2"/>
                <w:sz w:val="22"/>
                <w:szCs w:val="22"/>
              </w:rPr>
              <w:t xml:space="preserve"> </w:t>
            </w:r>
          </w:p>
          <w:p w:rsidR="00E26F60" w:rsidRPr="002B2BC7" w:rsidP="00E26F60" w14:paraId="5C30C5E8" w14:textId="5813FB35">
            <w:pPr>
              <w:pStyle w:val="ListParagraph"/>
              <w:numPr>
                <w:ilvl w:val="0"/>
                <w:numId w:val="2"/>
              </w:numPr>
              <w:rPr>
                <w:b/>
                <w:bCs/>
                <w:sz w:val="22"/>
                <w:szCs w:val="22"/>
              </w:rPr>
            </w:pPr>
            <w:r w:rsidRPr="002B2BC7">
              <w:rPr>
                <w:b/>
                <w:bCs/>
                <w:sz w:val="22"/>
                <w:szCs w:val="22"/>
              </w:rPr>
              <w:t xml:space="preserve">RETURN </w:t>
            </w:r>
            <w:r w:rsidRPr="002B2BC7" w:rsidR="23120DB0">
              <w:rPr>
                <w:b/>
                <w:bCs/>
                <w:sz w:val="22"/>
                <w:szCs w:val="22"/>
              </w:rPr>
              <w:t xml:space="preserve">OF </w:t>
            </w:r>
            <w:r w:rsidRPr="002B2BC7">
              <w:rPr>
                <w:b/>
                <w:bCs/>
                <w:sz w:val="22"/>
                <w:szCs w:val="22"/>
              </w:rPr>
              <w:t>POPULAR</w:t>
            </w:r>
            <w:r w:rsidRPr="002B2BC7" w:rsidR="00AD7315">
              <w:rPr>
                <w:b/>
                <w:bCs/>
                <w:sz w:val="22"/>
                <w:szCs w:val="22"/>
              </w:rPr>
              <w:t>, COURT-TESTED</w:t>
            </w:r>
            <w:r w:rsidRPr="002B2BC7">
              <w:rPr>
                <w:b/>
                <w:bCs/>
                <w:sz w:val="22"/>
                <w:szCs w:val="22"/>
              </w:rPr>
              <w:t xml:space="preserve"> NET NEUTRALITY PROTECTIONS – </w:t>
            </w:r>
            <w:r w:rsidRPr="002B2BC7">
              <w:rPr>
                <w:sz w:val="22"/>
                <w:szCs w:val="22"/>
              </w:rPr>
              <w:t xml:space="preserve">The FCC would once again </w:t>
            </w:r>
            <w:r w:rsidRPr="002B2BC7" w:rsidR="005E791A">
              <w:rPr>
                <w:sz w:val="22"/>
                <w:szCs w:val="22"/>
              </w:rPr>
              <w:t>prevent</w:t>
            </w:r>
            <w:r w:rsidRPr="002B2BC7">
              <w:rPr>
                <w:sz w:val="22"/>
                <w:szCs w:val="22"/>
              </w:rPr>
              <w:t xml:space="preserve"> broadband </w:t>
            </w:r>
            <w:r w:rsidRPr="002B2BC7" w:rsidR="006E7B97">
              <w:rPr>
                <w:sz w:val="22"/>
                <w:szCs w:val="22"/>
              </w:rPr>
              <w:t xml:space="preserve">service </w:t>
            </w:r>
            <w:r w:rsidRPr="002B2BC7">
              <w:rPr>
                <w:sz w:val="22"/>
                <w:szCs w:val="22"/>
              </w:rPr>
              <w:t>providers from blocking</w:t>
            </w:r>
            <w:r w:rsidRPr="002B2BC7" w:rsidR="00435830">
              <w:rPr>
                <w:sz w:val="22"/>
                <w:szCs w:val="22"/>
              </w:rPr>
              <w:t xml:space="preserve"> traffic</w:t>
            </w:r>
            <w:r w:rsidRPr="002B2BC7">
              <w:rPr>
                <w:sz w:val="22"/>
                <w:szCs w:val="22"/>
              </w:rPr>
              <w:t>, slowing down</w:t>
            </w:r>
            <w:r w:rsidRPr="002B2BC7" w:rsidR="00435830">
              <w:rPr>
                <w:sz w:val="22"/>
                <w:szCs w:val="22"/>
              </w:rPr>
              <w:t xml:space="preserve"> content</w:t>
            </w:r>
            <w:r w:rsidRPr="002B2BC7">
              <w:rPr>
                <w:sz w:val="22"/>
                <w:szCs w:val="22"/>
              </w:rPr>
              <w:t>, or creating pay-to-play internet fast lanes.</w:t>
            </w:r>
            <w:r w:rsidRPr="002B2BC7">
              <w:rPr>
                <w:b/>
                <w:bCs/>
                <w:sz w:val="22"/>
                <w:szCs w:val="22"/>
              </w:rPr>
              <w:t xml:space="preserve"> </w:t>
            </w:r>
            <w:r w:rsidRPr="002B2BC7" w:rsidR="00AD7315">
              <w:rPr>
                <w:sz w:val="22"/>
                <w:szCs w:val="22"/>
              </w:rPr>
              <w:t xml:space="preserve"> The FCC will be voting on rules that were upheld in full by the court in 2016.</w:t>
            </w:r>
          </w:p>
          <w:p w:rsidR="00E26F60" w:rsidRPr="002B2BC7" w:rsidP="00E26F60" w14:paraId="56253244" w14:textId="5783AFAA">
            <w:pPr>
              <w:pStyle w:val="ListParagraph"/>
              <w:numPr>
                <w:ilvl w:val="0"/>
                <w:numId w:val="2"/>
              </w:numPr>
              <w:rPr>
                <w:b/>
                <w:bCs/>
                <w:sz w:val="22"/>
                <w:szCs w:val="22"/>
              </w:rPr>
            </w:pPr>
            <w:r w:rsidRPr="002B2BC7">
              <w:rPr>
                <w:b/>
                <w:bCs/>
                <w:sz w:val="22"/>
                <w:szCs w:val="22"/>
              </w:rPr>
              <w:t xml:space="preserve">PROVIDE OVERSIGHT OF BROADBAND OUTAGES – </w:t>
            </w:r>
            <w:r w:rsidRPr="002B2BC7">
              <w:rPr>
                <w:sz w:val="22"/>
                <w:szCs w:val="22"/>
              </w:rPr>
              <w:t xml:space="preserve">When households and businesses lose internet service, consumers often expect the FCC might either be able to help </w:t>
            </w:r>
            <w:r w:rsidRPr="002B2BC7" w:rsidR="00AC5E91">
              <w:rPr>
                <w:sz w:val="22"/>
                <w:szCs w:val="22"/>
              </w:rPr>
              <w:t xml:space="preserve">in </w:t>
            </w:r>
            <w:r w:rsidRPr="002B2BC7">
              <w:rPr>
                <w:sz w:val="22"/>
                <w:szCs w:val="22"/>
              </w:rPr>
              <w:t>the restoration or at least have information about the outage.  By restoring the FCC’s Title II authority over internet service providers, the FCC will bolster its ability to require these companies to address internet outages.</w:t>
            </w:r>
          </w:p>
          <w:p w:rsidR="00306EF7" w:rsidRPr="002B2BC7" w:rsidP="003C30FA" w14:paraId="31EEE21F" w14:textId="77777777">
            <w:pPr>
              <w:pStyle w:val="ListParagraph"/>
              <w:numPr>
                <w:ilvl w:val="0"/>
                <w:numId w:val="2"/>
              </w:numPr>
              <w:rPr>
                <w:sz w:val="22"/>
                <w:szCs w:val="22"/>
              </w:rPr>
            </w:pPr>
            <w:r w:rsidRPr="002B2BC7">
              <w:rPr>
                <w:b/>
                <w:bCs/>
                <w:sz w:val="22"/>
                <w:szCs w:val="22"/>
              </w:rPr>
              <w:t>BOOST SECURITY OF BROADBAND NETWORKS –</w:t>
            </w:r>
            <w:r w:rsidRPr="002B2BC7" w:rsidR="00A21ACE">
              <w:rPr>
                <w:sz w:val="22"/>
                <w:szCs w:val="22"/>
              </w:rPr>
              <w:t xml:space="preserve"> </w:t>
            </w:r>
            <w:r w:rsidRPr="002B2BC7">
              <w:rPr>
                <w:sz w:val="22"/>
                <w:szCs w:val="22"/>
              </w:rPr>
              <w:t>Without reclassification</w:t>
            </w:r>
            <w:r w:rsidRPr="002B2BC7" w:rsidR="00A21ACE">
              <w:rPr>
                <w:sz w:val="22"/>
                <w:szCs w:val="22"/>
              </w:rPr>
              <w:t xml:space="preserve"> of broadband</w:t>
            </w:r>
            <w:r w:rsidRPr="002B2BC7">
              <w:rPr>
                <w:sz w:val="22"/>
                <w:szCs w:val="22"/>
              </w:rPr>
              <w:t>, the FCC is limited in its authority to direct foreign-owned companies deemed to be national security threats to discontinue any domestic or international broadband services</w:t>
            </w:r>
            <w:r w:rsidRPr="002B2BC7" w:rsidR="00E911B3">
              <w:rPr>
                <w:sz w:val="22"/>
                <w:szCs w:val="22"/>
              </w:rPr>
              <w:t xml:space="preserve"> </w:t>
            </w:r>
            <w:r w:rsidRPr="002B2BC7">
              <w:rPr>
                <w:sz w:val="22"/>
                <w:szCs w:val="22"/>
              </w:rPr>
              <w:t xml:space="preserve">– as the agency has done with telephone services. </w:t>
            </w:r>
            <w:r w:rsidRPr="002B2BC7" w:rsidR="00E911B3">
              <w:rPr>
                <w:sz w:val="22"/>
                <w:szCs w:val="22"/>
              </w:rPr>
              <w:t xml:space="preserve"> </w:t>
            </w:r>
          </w:p>
          <w:p w:rsidR="00D60562" w:rsidRPr="00D60562" w:rsidP="00D60562" w14:paraId="30673B77" w14:textId="540A0DBA">
            <w:pPr>
              <w:pStyle w:val="ListParagraph"/>
              <w:numPr>
                <w:ilvl w:val="0"/>
                <w:numId w:val="6"/>
              </w:numPr>
              <w:rPr>
                <w:sz w:val="22"/>
                <w:szCs w:val="22"/>
              </w:rPr>
            </w:pPr>
            <w:r w:rsidRPr="00D60562">
              <w:rPr>
                <w:sz w:val="22"/>
                <w:szCs w:val="22"/>
              </w:rPr>
              <w:t xml:space="preserve">Our </w:t>
            </w:r>
            <w:hyperlink r:id="rId6" w:history="1">
              <w:r w:rsidRPr="00D60562">
                <w:rPr>
                  <w:rStyle w:val="Hyperlink"/>
                  <w:sz w:val="22"/>
                  <w:szCs w:val="22"/>
                </w:rPr>
                <w:t>federal agency partners</w:t>
              </w:r>
            </w:hyperlink>
            <w:r w:rsidRPr="00D60562">
              <w:rPr>
                <w:sz w:val="22"/>
                <w:szCs w:val="22"/>
              </w:rPr>
              <w:t xml:space="preserve"> have also backed the need to address these national security concerns and have said because of the repeal of Title II, “The Commission has encountered challenges that have hampered its ability to fully protect the public from serious national security threats.”</w:t>
            </w:r>
          </w:p>
          <w:p w:rsidR="00E26F60" w:rsidRPr="002B2BC7" w:rsidP="00D652BD" w14:paraId="2998DE04" w14:textId="5B80C67D">
            <w:pPr>
              <w:pStyle w:val="ListParagraph"/>
              <w:numPr>
                <w:ilvl w:val="0"/>
                <w:numId w:val="5"/>
              </w:numPr>
              <w:rPr>
                <w:sz w:val="22"/>
                <w:szCs w:val="22"/>
              </w:rPr>
            </w:pPr>
            <w:r w:rsidRPr="002B2BC7">
              <w:rPr>
                <w:sz w:val="22"/>
                <w:szCs w:val="22"/>
              </w:rPr>
              <w:t xml:space="preserve">Notably, in 2021 and 2022, the Commission revoked the authority of certain foreign-owned network service providers to provide </w:t>
            </w:r>
            <w:r w:rsidRPr="002B2BC7" w:rsidR="00AF23C6">
              <w:rPr>
                <w:sz w:val="22"/>
                <w:szCs w:val="22"/>
              </w:rPr>
              <w:t xml:space="preserve">voice </w:t>
            </w:r>
            <w:r w:rsidRPr="002B2BC7">
              <w:rPr>
                <w:sz w:val="22"/>
                <w:szCs w:val="22"/>
              </w:rPr>
              <w:t>service in the United States on the grounds that they presented threats to national security</w:t>
            </w:r>
            <w:r w:rsidRPr="002B2BC7" w:rsidR="00B25C62">
              <w:rPr>
                <w:sz w:val="22"/>
                <w:szCs w:val="22"/>
              </w:rPr>
              <w:t xml:space="preserve">, but that revocation did not extend to </w:t>
            </w:r>
            <w:r w:rsidRPr="002B2BC7" w:rsidR="0049536A">
              <w:rPr>
                <w:sz w:val="22"/>
                <w:szCs w:val="22"/>
              </w:rPr>
              <w:t xml:space="preserve">any </w:t>
            </w:r>
            <w:r w:rsidRPr="002B2BC7" w:rsidR="00B25C62">
              <w:rPr>
                <w:sz w:val="22"/>
                <w:szCs w:val="22"/>
              </w:rPr>
              <w:t>broadband service</w:t>
            </w:r>
            <w:r w:rsidRPr="002B2BC7" w:rsidR="0049536A">
              <w:rPr>
                <w:sz w:val="22"/>
                <w:szCs w:val="22"/>
              </w:rPr>
              <w:t xml:space="preserve"> those providers may</w:t>
            </w:r>
            <w:r w:rsidRPr="002B2BC7" w:rsidR="004409F5">
              <w:rPr>
                <w:sz w:val="22"/>
                <w:szCs w:val="22"/>
              </w:rPr>
              <w:t xml:space="preserve"> offer in the U.S</w:t>
            </w:r>
            <w:r w:rsidRPr="002B2BC7">
              <w:rPr>
                <w:sz w:val="22"/>
                <w:szCs w:val="22"/>
              </w:rPr>
              <w:t xml:space="preserve">. </w:t>
            </w:r>
          </w:p>
          <w:p w:rsidR="00E26F60" w:rsidRPr="002B2BC7" w:rsidP="00886676" w14:paraId="42B2FA03" w14:textId="5B15B81D">
            <w:pPr>
              <w:pStyle w:val="ListParagraph"/>
              <w:numPr>
                <w:ilvl w:val="1"/>
                <w:numId w:val="2"/>
              </w:numPr>
              <w:rPr>
                <w:sz w:val="22"/>
                <w:szCs w:val="22"/>
              </w:rPr>
            </w:pPr>
            <w:r w:rsidRPr="002B2BC7">
              <w:rPr>
                <w:sz w:val="22"/>
                <w:szCs w:val="22"/>
              </w:rPr>
              <w:t xml:space="preserve">The Commission observed that these providers’ presence in the United States gave them the opportunity to access U.S. telecommunications infrastructure, access U.S. customer records, monitor communications, disrupt communications, misroute communications, and facilitate espionage. </w:t>
            </w:r>
            <w:r w:rsidRPr="002B2BC7" w:rsidR="00886676">
              <w:rPr>
                <w:sz w:val="22"/>
                <w:szCs w:val="22"/>
              </w:rPr>
              <w:t xml:space="preserve"> </w:t>
            </w:r>
            <w:r w:rsidRPr="002B2BC7" w:rsidR="00EB4DE9">
              <w:rPr>
                <w:sz w:val="22"/>
                <w:szCs w:val="22"/>
              </w:rPr>
              <w:t>Yet h</w:t>
            </w:r>
            <w:r w:rsidRPr="002B2BC7" w:rsidR="5E675426">
              <w:rPr>
                <w:sz w:val="22"/>
                <w:szCs w:val="22"/>
              </w:rPr>
              <w:t>aving identified these threats, the Commission had limited ability to act</w:t>
            </w:r>
            <w:r w:rsidRPr="002B2BC7" w:rsidR="7F4E4519">
              <w:rPr>
                <w:sz w:val="22"/>
                <w:szCs w:val="22"/>
              </w:rPr>
              <w:t>.</w:t>
            </w:r>
          </w:p>
          <w:p w:rsidR="00244B32" w:rsidRPr="002B2BC7" w:rsidP="10221286" w14:paraId="1CE384ED" w14:textId="54FBFBE8">
            <w:pPr>
              <w:pStyle w:val="ListParagraph"/>
              <w:numPr>
                <w:ilvl w:val="0"/>
                <w:numId w:val="2"/>
              </w:numPr>
              <w:rPr>
                <w:sz w:val="22"/>
                <w:szCs w:val="22"/>
              </w:rPr>
            </w:pPr>
            <w:r w:rsidRPr="002B2BC7">
              <w:rPr>
                <w:b/>
                <w:bCs/>
                <w:sz w:val="22"/>
                <w:szCs w:val="22"/>
              </w:rPr>
              <w:t>BROADBAND</w:t>
            </w:r>
            <w:r w:rsidRPr="002B2BC7" w:rsidR="008943CD">
              <w:rPr>
                <w:b/>
                <w:bCs/>
                <w:sz w:val="22"/>
                <w:szCs w:val="22"/>
              </w:rPr>
              <w:t xml:space="preserve"> </w:t>
            </w:r>
            <w:r w:rsidRPr="002B2BC7" w:rsidR="003F13DE">
              <w:rPr>
                <w:b/>
                <w:bCs/>
                <w:i/>
                <w:iCs/>
                <w:sz w:val="22"/>
                <w:szCs w:val="22"/>
              </w:rPr>
              <w:t>PROVIDER</w:t>
            </w:r>
            <w:r w:rsidRPr="002B2BC7" w:rsidR="003F13DE">
              <w:rPr>
                <w:b/>
                <w:bCs/>
                <w:sz w:val="22"/>
                <w:szCs w:val="22"/>
              </w:rPr>
              <w:t xml:space="preserve"> </w:t>
            </w:r>
            <w:r w:rsidRPr="002B2BC7" w:rsidR="008943CD">
              <w:rPr>
                <w:b/>
                <w:bCs/>
                <w:sz w:val="22"/>
                <w:szCs w:val="22"/>
              </w:rPr>
              <w:t>OVERSIGHT, NOT</w:t>
            </w:r>
            <w:r w:rsidRPr="002B2BC7" w:rsidR="001234A4">
              <w:rPr>
                <w:b/>
                <w:bCs/>
                <w:sz w:val="22"/>
                <w:szCs w:val="22"/>
              </w:rPr>
              <w:t xml:space="preserve"> </w:t>
            </w:r>
            <w:r w:rsidRPr="002B2BC7" w:rsidR="008943CD">
              <w:rPr>
                <w:b/>
                <w:bCs/>
                <w:sz w:val="22"/>
                <w:szCs w:val="22"/>
              </w:rPr>
              <w:t>CONTROL</w:t>
            </w:r>
            <w:r w:rsidRPr="002B2BC7">
              <w:rPr>
                <w:b/>
                <w:bCs/>
                <w:sz w:val="22"/>
                <w:szCs w:val="22"/>
              </w:rPr>
              <w:t xml:space="preserve"> </w:t>
            </w:r>
            <w:r w:rsidRPr="002B2BC7" w:rsidR="008445A1">
              <w:rPr>
                <w:b/>
                <w:bCs/>
                <w:sz w:val="22"/>
                <w:szCs w:val="22"/>
              </w:rPr>
              <w:t xml:space="preserve">– </w:t>
            </w:r>
            <w:r w:rsidRPr="002B2BC7">
              <w:rPr>
                <w:sz w:val="22"/>
                <w:szCs w:val="22"/>
              </w:rPr>
              <w:t>The FCC has no authority</w:t>
            </w:r>
            <w:r w:rsidRPr="002B2BC7" w:rsidR="008943CD">
              <w:rPr>
                <w:sz w:val="22"/>
                <w:szCs w:val="22"/>
              </w:rPr>
              <w:t xml:space="preserve"> to</w:t>
            </w:r>
            <w:r w:rsidRPr="002B2BC7" w:rsidR="00B02A15">
              <w:rPr>
                <w:sz w:val="22"/>
                <w:szCs w:val="22"/>
              </w:rPr>
              <w:t>,</w:t>
            </w:r>
            <w:r w:rsidRPr="002B2BC7">
              <w:rPr>
                <w:sz w:val="22"/>
                <w:szCs w:val="22"/>
              </w:rPr>
              <w:t xml:space="preserve"> </w:t>
            </w:r>
            <w:r w:rsidRPr="002B2BC7" w:rsidR="008943CD">
              <w:rPr>
                <w:sz w:val="22"/>
                <w:szCs w:val="22"/>
              </w:rPr>
              <w:t>and no</w:t>
            </w:r>
            <w:r w:rsidRPr="002B2BC7">
              <w:rPr>
                <w:sz w:val="22"/>
                <w:szCs w:val="22"/>
              </w:rPr>
              <w:t xml:space="preserve"> interest </w:t>
            </w:r>
            <w:r w:rsidRPr="002B2BC7" w:rsidR="008943CD">
              <w:rPr>
                <w:sz w:val="22"/>
                <w:szCs w:val="22"/>
              </w:rPr>
              <w:t>in</w:t>
            </w:r>
            <w:r w:rsidRPr="002B2BC7" w:rsidR="00B02A15">
              <w:rPr>
                <w:sz w:val="22"/>
                <w:szCs w:val="22"/>
              </w:rPr>
              <w:t>,</w:t>
            </w:r>
            <w:r w:rsidRPr="002B2BC7">
              <w:rPr>
                <w:sz w:val="22"/>
                <w:szCs w:val="22"/>
              </w:rPr>
              <w:t xml:space="preserve"> polic</w:t>
            </w:r>
            <w:r w:rsidRPr="002B2BC7" w:rsidR="00BE0CA2">
              <w:rPr>
                <w:sz w:val="22"/>
                <w:szCs w:val="22"/>
              </w:rPr>
              <w:t>ing</w:t>
            </w:r>
            <w:r w:rsidRPr="002B2BC7">
              <w:rPr>
                <w:sz w:val="22"/>
                <w:szCs w:val="22"/>
              </w:rPr>
              <w:t xml:space="preserve"> online speech. </w:t>
            </w:r>
            <w:r w:rsidRPr="002B2BC7" w:rsidR="008943CD">
              <w:rPr>
                <w:sz w:val="22"/>
                <w:szCs w:val="22"/>
              </w:rPr>
              <w:t xml:space="preserve"> </w:t>
            </w:r>
            <w:r w:rsidRPr="002B2BC7">
              <w:rPr>
                <w:sz w:val="22"/>
                <w:szCs w:val="22"/>
              </w:rPr>
              <w:t xml:space="preserve">On the contrary, freedom of speech will be enhanced by open internet protections, because they will prevent broadband providers from blocking or disfavoring any type of online speech.  </w:t>
            </w:r>
          </w:p>
          <w:p w:rsidR="003D57BD" w:rsidRPr="002B2BC7" w:rsidP="5A5ACFB2" w14:paraId="317AE788" w14:textId="406C7C6D">
            <w:pPr>
              <w:pStyle w:val="ListParagraph"/>
              <w:numPr>
                <w:ilvl w:val="0"/>
                <w:numId w:val="2"/>
              </w:numPr>
              <w:rPr>
                <w:sz w:val="22"/>
                <w:szCs w:val="22"/>
              </w:rPr>
            </w:pPr>
            <w:r w:rsidRPr="002B2BC7">
              <w:rPr>
                <w:b/>
                <w:bCs/>
                <w:sz w:val="22"/>
                <w:szCs w:val="22"/>
              </w:rPr>
              <w:t xml:space="preserve">‘BIG TECH’ </w:t>
            </w:r>
            <w:r w:rsidRPr="002B2BC7" w:rsidR="005C629B">
              <w:rPr>
                <w:b/>
                <w:bCs/>
                <w:sz w:val="22"/>
                <w:szCs w:val="22"/>
              </w:rPr>
              <w:t xml:space="preserve">IS </w:t>
            </w:r>
            <w:r w:rsidRPr="002B2BC7" w:rsidR="00770512">
              <w:rPr>
                <w:b/>
                <w:bCs/>
                <w:sz w:val="22"/>
                <w:szCs w:val="22"/>
              </w:rPr>
              <w:t>A</w:t>
            </w:r>
            <w:r w:rsidRPr="002B2BC7" w:rsidR="00F067DA">
              <w:rPr>
                <w:b/>
                <w:bCs/>
                <w:sz w:val="22"/>
                <w:szCs w:val="22"/>
              </w:rPr>
              <w:t xml:space="preserve">N </w:t>
            </w:r>
            <w:r w:rsidRPr="002B2BC7" w:rsidR="1A49D080">
              <w:rPr>
                <w:b/>
                <w:bCs/>
                <w:sz w:val="22"/>
                <w:szCs w:val="22"/>
              </w:rPr>
              <w:t xml:space="preserve">IMPORTANT BUT </w:t>
            </w:r>
            <w:r w:rsidRPr="002B2BC7" w:rsidR="00F067DA">
              <w:rPr>
                <w:b/>
                <w:bCs/>
                <w:sz w:val="22"/>
                <w:szCs w:val="22"/>
              </w:rPr>
              <w:t xml:space="preserve">UNRELATED </w:t>
            </w:r>
            <w:r w:rsidRPr="002B2BC7" w:rsidR="005C629B">
              <w:rPr>
                <w:b/>
                <w:bCs/>
                <w:sz w:val="22"/>
                <w:szCs w:val="22"/>
              </w:rPr>
              <w:t>POLICY CHALLENGE</w:t>
            </w:r>
            <w:r w:rsidRPr="002B2BC7" w:rsidR="005C629B">
              <w:rPr>
                <w:sz w:val="22"/>
                <w:szCs w:val="22"/>
              </w:rPr>
              <w:t xml:space="preserve"> </w:t>
            </w:r>
            <w:r w:rsidRPr="002B2BC7" w:rsidR="00C819D7">
              <w:rPr>
                <w:sz w:val="22"/>
                <w:szCs w:val="22"/>
              </w:rPr>
              <w:t>–</w:t>
            </w:r>
            <w:r w:rsidRPr="002B2BC7" w:rsidR="005C629B">
              <w:rPr>
                <w:sz w:val="22"/>
                <w:szCs w:val="22"/>
              </w:rPr>
              <w:t xml:space="preserve"> </w:t>
            </w:r>
            <w:r w:rsidRPr="002B2BC7" w:rsidR="00C819D7">
              <w:rPr>
                <w:sz w:val="22"/>
                <w:szCs w:val="22"/>
              </w:rPr>
              <w:t xml:space="preserve">Treating broadband as the essential service it is does not </w:t>
            </w:r>
            <w:r w:rsidRPr="002B2BC7" w:rsidR="00914216">
              <w:rPr>
                <w:sz w:val="22"/>
                <w:szCs w:val="22"/>
              </w:rPr>
              <w:t>in any way limit policy options related to</w:t>
            </w:r>
            <w:r w:rsidRPr="002B2BC7" w:rsidR="6572AD41">
              <w:rPr>
                <w:sz w:val="22"/>
                <w:szCs w:val="22"/>
              </w:rPr>
              <w:t xml:space="preserve"> internet-age companies</w:t>
            </w:r>
            <w:r w:rsidRPr="002B2BC7" w:rsidR="00914216">
              <w:rPr>
                <w:sz w:val="22"/>
                <w:szCs w:val="22"/>
              </w:rPr>
              <w:t xml:space="preserve"> </w:t>
            </w:r>
            <w:r w:rsidRPr="002B2BC7" w:rsidR="6B63687D">
              <w:rPr>
                <w:sz w:val="22"/>
                <w:szCs w:val="22"/>
              </w:rPr>
              <w:t xml:space="preserve">that </w:t>
            </w:r>
            <w:r w:rsidRPr="002B2BC7" w:rsidR="2BB1FCFB">
              <w:rPr>
                <w:sz w:val="22"/>
                <w:szCs w:val="22"/>
              </w:rPr>
              <w:t>the public and Capitol Hill often collectively refer to as</w:t>
            </w:r>
            <w:r w:rsidRPr="002B2BC7" w:rsidR="5A56D576">
              <w:rPr>
                <w:sz w:val="22"/>
                <w:szCs w:val="22"/>
              </w:rPr>
              <w:t xml:space="preserve"> “B</w:t>
            </w:r>
            <w:r w:rsidRPr="002B2BC7" w:rsidR="00914216">
              <w:rPr>
                <w:sz w:val="22"/>
                <w:szCs w:val="22"/>
              </w:rPr>
              <w:t xml:space="preserve">ig </w:t>
            </w:r>
            <w:r w:rsidRPr="002B2BC7" w:rsidR="1DB0FC0F">
              <w:rPr>
                <w:sz w:val="22"/>
                <w:szCs w:val="22"/>
              </w:rPr>
              <w:t>T</w:t>
            </w:r>
            <w:r w:rsidRPr="002B2BC7" w:rsidR="00914216">
              <w:rPr>
                <w:sz w:val="22"/>
                <w:szCs w:val="22"/>
              </w:rPr>
              <w:t>ech.</w:t>
            </w:r>
            <w:r w:rsidRPr="002B2BC7" w:rsidR="456D4D6A">
              <w:rPr>
                <w:sz w:val="22"/>
                <w:szCs w:val="22"/>
              </w:rPr>
              <w:t>”</w:t>
            </w:r>
            <w:r w:rsidRPr="002B2BC7" w:rsidR="00914216">
              <w:rPr>
                <w:sz w:val="22"/>
                <w:szCs w:val="22"/>
              </w:rPr>
              <w:t xml:space="preserve">  </w:t>
            </w:r>
            <w:r w:rsidRPr="002B2BC7" w:rsidR="007D02FE">
              <w:rPr>
                <w:sz w:val="22"/>
                <w:szCs w:val="22"/>
              </w:rPr>
              <w:t xml:space="preserve">Certainly, there may be a need for </w:t>
            </w:r>
            <w:r w:rsidRPr="002B2BC7" w:rsidR="3CA18848">
              <w:rPr>
                <w:sz w:val="22"/>
                <w:szCs w:val="22"/>
              </w:rPr>
              <w:t>closer oversight of</w:t>
            </w:r>
            <w:r w:rsidRPr="002B2BC7" w:rsidR="007D02FE">
              <w:rPr>
                <w:sz w:val="22"/>
                <w:szCs w:val="22"/>
              </w:rPr>
              <w:t xml:space="preserve"> </w:t>
            </w:r>
            <w:r w:rsidRPr="002B2BC7" w:rsidR="17CE97CD">
              <w:rPr>
                <w:sz w:val="22"/>
                <w:szCs w:val="22"/>
              </w:rPr>
              <w:t>“</w:t>
            </w:r>
            <w:r w:rsidRPr="002B2BC7" w:rsidR="007D02FE">
              <w:rPr>
                <w:sz w:val="22"/>
                <w:szCs w:val="22"/>
              </w:rPr>
              <w:t>Big Tech</w:t>
            </w:r>
            <w:r w:rsidRPr="002B2BC7" w:rsidR="1AD392B0">
              <w:rPr>
                <w:sz w:val="22"/>
                <w:szCs w:val="22"/>
              </w:rPr>
              <w:t>”</w:t>
            </w:r>
            <w:r w:rsidRPr="002B2BC7" w:rsidR="007D02FE">
              <w:rPr>
                <w:sz w:val="22"/>
                <w:szCs w:val="22"/>
              </w:rPr>
              <w:t xml:space="preserve"> – but the Communications Act</w:t>
            </w:r>
            <w:r w:rsidRPr="002B2BC7" w:rsidR="00515040">
              <w:rPr>
                <w:sz w:val="22"/>
                <w:szCs w:val="22"/>
              </w:rPr>
              <w:t xml:space="preserve"> does not grant </w:t>
            </w:r>
            <w:r w:rsidRPr="002B2BC7" w:rsidR="00A20BE7">
              <w:rPr>
                <w:sz w:val="22"/>
                <w:szCs w:val="22"/>
              </w:rPr>
              <w:t>such</w:t>
            </w:r>
            <w:r w:rsidRPr="002B2BC7" w:rsidR="00515040">
              <w:rPr>
                <w:sz w:val="22"/>
                <w:szCs w:val="22"/>
              </w:rPr>
              <w:t xml:space="preserve"> authority to the FCC</w:t>
            </w:r>
            <w:r w:rsidRPr="002B2BC7" w:rsidR="00A20BE7">
              <w:rPr>
                <w:sz w:val="22"/>
                <w:szCs w:val="22"/>
              </w:rPr>
              <w:t xml:space="preserve">. </w:t>
            </w:r>
            <w:r w:rsidRPr="002B2BC7" w:rsidR="007D02FE">
              <w:rPr>
                <w:sz w:val="22"/>
                <w:szCs w:val="22"/>
              </w:rPr>
              <w:t xml:space="preserve"> </w:t>
            </w:r>
            <w:r w:rsidRPr="002B2BC7" w:rsidR="00801F74">
              <w:rPr>
                <w:sz w:val="22"/>
                <w:szCs w:val="22"/>
              </w:rPr>
              <w:t>In addition, n</w:t>
            </w:r>
            <w:r w:rsidRPr="002B2BC7">
              <w:rPr>
                <w:sz w:val="22"/>
                <w:szCs w:val="22"/>
              </w:rPr>
              <w:t xml:space="preserve">et neutrality is important so that the small and medium-sized companies that are trying to compete with </w:t>
            </w:r>
            <w:r w:rsidRPr="002B2BC7" w:rsidR="145CE7DB">
              <w:rPr>
                <w:sz w:val="22"/>
                <w:szCs w:val="22"/>
              </w:rPr>
              <w:t>more established companies</w:t>
            </w:r>
            <w:r w:rsidRPr="002B2BC7">
              <w:rPr>
                <w:sz w:val="22"/>
                <w:szCs w:val="22"/>
              </w:rPr>
              <w:t xml:space="preserve"> ha</w:t>
            </w:r>
            <w:r w:rsidRPr="002B2BC7" w:rsidR="48D1A882">
              <w:rPr>
                <w:sz w:val="22"/>
                <w:szCs w:val="22"/>
              </w:rPr>
              <w:t>ve</w:t>
            </w:r>
            <w:r w:rsidRPr="002B2BC7">
              <w:rPr>
                <w:sz w:val="22"/>
                <w:szCs w:val="22"/>
              </w:rPr>
              <w:t xml:space="preserve"> a level playing field, and </w:t>
            </w:r>
            <w:r w:rsidRPr="002B2BC7" w:rsidR="00401D50">
              <w:rPr>
                <w:sz w:val="22"/>
                <w:szCs w:val="22"/>
              </w:rPr>
              <w:t>net neutrality</w:t>
            </w:r>
            <w:r w:rsidRPr="002B2BC7" w:rsidR="61453E5C">
              <w:rPr>
                <w:sz w:val="22"/>
                <w:szCs w:val="22"/>
              </w:rPr>
              <w:t xml:space="preserve"> would </w:t>
            </w:r>
            <w:r w:rsidRPr="002B2BC7" w:rsidR="00401D50">
              <w:rPr>
                <w:sz w:val="22"/>
                <w:szCs w:val="22"/>
              </w:rPr>
              <w:t xml:space="preserve">ensure that </w:t>
            </w:r>
            <w:r w:rsidRPr="002B2BC7" w:rsidR="61453E5C">
              <w:rPr>
                <w:sz w:val="22"/>
                <w:szCs w:val="22"/>
              </w:rPr>
              <w:t>“</w:t>
            </w:r>
            <w:r w:rsidRPr="002B2BC7">
              <w:rPr>
                <w:sz w:val="22"/>
                <w:szCs w:val="22"/>
              </w:rPr>
              <w:t>Big Tech</w:t>
            </w:r>
            <w:r w:rsidRPr="002B2BC7" w:rsidR="10E71A33">
              <w:rPr>
                <w:sz w:val="22"/>
                <w:szCs w:val="22"/>
              </w:rPr>
              <w:t>”</w:t>
            </w:r>
            <w:r w:rsidRPr="002B2BC7">
              <w:rPr>
                <w:sz w:val="22"/>
                <w:szCs w:val="22"/>
              </w:rPr>
              <w:t xml:space="preserve"> can’t just cut a deal with a</w:t>
            </w:r>
            <w:r w:rsidRPr="002B2BC7" w:rsidR="00401D50">
              <w:rPr>
                <w:sz w:val="22"/>
                <w:szCs w:val="22"/>
              </w:rPr>
              <w:t xml:space="preserve"> broadband provider </w:t>
            </w:r>
            <w:r w:rsidRPr="002B2BC7">
              <w:rPr>
                <w:sz w:val="22"/>
                <w:szCs w:val="22"/>
              </w:rPr>
              <w:t xml:space="preserve">to favor its products over upstart competitors. </w:t>
            </w:r>
          </w:p>
          <w:p w:rsidR="00BE0CA2" w:rsidRPr="00BE0CA2" w:rsidP="00BE0CA2" w14:paraId="65F4A0FD" w14:textId="77777777">
            <w:pPr>
              <w:pStyle w:val="ListParagraph"/>
              <w:rPr>
                <w:sz w:val="22"/>
                <w:szCs w:val="22"/>
              </w:rPr>
            </w:pPr>
          </w:p>
          <w:p w:rsidR="004F0F1F" w:rsidRPr="007475A1" w:rsidP="00850E26" w14:paraId="51C40399" w14:textId="77777777">
            <w:pPr>
              <w:ind w:right="72"/>
              <w:jc w:val="center"/>
              <w:rPr>
                <w:sz w:val="22"/>
                <w:szCs w:val="22"/>
              </w:rPr>
            </w:pPr>
            <w:r w:rsidRPr="007475A1">
              <w:rPr>
                <w:sz w:val="22"/>
                <w:szCs w:val="22"/>
              </w:rPr>
              <w:t>###</w:t>
            </w:r>
          </w:p>
          <w:p w:rsidR="002B2BC7" w:rsidRPr="002B2BC7" w:rsidP="00AD5CA9" w14:paraId="33806645" w14:textId="77777777">
            <w:pPr>
              <w:ind w:right="72"/>
              <w:jc w:val="center"/>
              <w:rPr>
                <w:b/>
                <w:bCs/>
                <w:sz w:val="18"/>
                <w:szCs w:val="18"/>
              </w:rPr>
            </w:pPr>
          </w:p>
          <w:p w:rsidR="002B2BC7" w:rsidRPr="002B2BC7" w:rsidP="00AD5CA9" w14:paraId="37A0CA0D" w14:textId="300D7B03">
            <w:pPr>
              <w:ind w:right="72"/>
              <w:jc w:val="center"/>
              <w:rPr>
                <w:b/>
                <w:bCs/>
                <w:sz w:val="17"/>
                <w:szCs w:val="17"/>
              </w:rPr>
            </w:pPr>
            <w:r w:rsidRPr="002B2BC7">
              <w:rPr>
                <w:b/>
                <w:bCs/>
                <w:sz w:val="17"/>
                <w:szCs w:val="17"/>
              </w:rPr>
              <w:t>Released: April 24, 2024</w:t>
            </w:r>
          </w:p>
          <w:p w:rsidR="00AD5CA9" w:rsidRPr="0080486B" w:rsidP="00AD5CA9" w14:paraId="47600B95" w14:textId="5FE036BD">
            <w:pPr>
              <w:ind w:right="72"/>
              <w:jc w:val="center"/>
              <w:rPr>
                <w:rStyle w:val="Hyperlink"/>
                <w:b/>
                <w:bCs/>
                <w:color w:val="auto"/>
                <w:sz w:val="17"/>
                <w:szCs w:val="17"/>
              </w:rPr>
            </w:pPr>
            <w:r w:rsidRPr="004A729A">
              <w:rPr>
                <w:b/>
                <w:bCs/>
                <w:sz w:val="22"/>
                <w:szCs w:val="22"/>
              </w:rPr>
              <w:br/>
            </w:r>
            <w:r w:rsidRPr="00497495" w:rsidR="00C642AF">
              <w:rPr>
                <w:b/>
                <w:bCs/>
                <w:sz w:val="17"/>
                <w:szCs w:val="17"/>
              </w:rPr>
              <w:t xml:space="preserve">Office of </w:t>
            </w:r>
            <w:r w:rsidR="00C642AF">
              <w:rPr>
                <w:b/>
                <w:bCs/>
                <w:sz w:val="17"/>
                <w:szCs w:val="17"/>
              </w:rPr>
              <w:t xml:space="preserve">the </w:t>
            </w:r>
            <w:r w:rsidRPr="00497495" w:rsidR="00C642AF">
              <w:rPr>
                <w:b/>
                <w:bCs/>
                <w:sz w:val="17"/>
                <w:szCs w:val="17"/>
              </w:rPr>
              <w:t>Chair</w:t>
            </w:r>
            <w:r w:rsidR="00C642AF">
              <w:rPr>
                <w:b/>
                <w:bCs/>
                <w:sz w:val="17"/>
                <w:szCs w:val="17"/>
              </w:rPr>
              <w:t>woman</w:t>
            </w:r>
            <w:r w:rsidRPr="00497495" w:rsidR="00C642AF">
              <w:rPr>
                <w:b/>
                <w:bCs/>
                <w:sz w:val="17"/>
                <w:szCs w:val="17"/>
              </w:rPr>
              <w:t>: (202) 418-</w:t>
            </w:r>
            <w:r w:rsidR="00C642AF">
              <w:rPr>
                <w:b/>
                <w:bCs/>
                <w:sz w:val="17"/>
                <w:szCs w:val="17"/>
              </w:rPr>
              <w:t>24</w:t>
            </w:r>
            <w:r w:rsidRPr="00BA45DA" w:rsidR="00C642AF">
              <w:rPr>
                <w:b/>
                <w:bCs/>
                <w:sz w:val="17"/>
                <w:szCs w:val="17"/>
              </w:rPr>
              <w:t>00</w:t>
            </w:r>
            <w:r w:rsidRPr="00497495" w:rsidR="00C642AF">
              <w:rPr>
                <w:b/>
                <w:bCs/>
                <w:sz w:val="17"/>
                <w:szCs w:val="17"/>
              </w:rPr>
              <w:t xml:space="preserve"> /</w:t>
            </w:r>
            <w:r w:rsidRPr="00BA45DA" w:rsidR="00C642AF">
              <w:rPr>
                <w:b/>
                <w:bCs/>
                <w:sz w:val="17"/>
                <w:szCs w:val="17"/>
              </w:rPr>
              <w:t xml:space="preserve"> </w:t>
            </w:r>
            <w:r w:rsidRPr="00497495" w:rsidR="00C642AF">
              <w:rPr>
                <w:b/>
                <w:bCs/>
                <w:sz w:val="17"/>
                <w:szCs w:val="17"/>
              </w:rPr>
              <w:t xml:space="preserve"> </w:t>
            </w:r>
            <w:r w:rsidRPr="00913056" w:rsidR="00C642AF">
              <w:rPr>
                <w:b/>
                <w:bCs/>
                <w:sz w:val="17"/>
                <w:szCs w:val="17"/>
              </w:rPr>
              <w:t>www.fcc.gov/jessica-rosenworcel</w:t>
            </w:r>
          </w:p>
          <w:p w:rsidR="0069420F" w:rsidRPr="00EE0E90" w:rsidP="00850E26" w14:paraId="6C310D80" w14:textId="4AA93236">
            <w:pPr>
              <w:ind w:right="72"/>
              <w:jc w:val="center"/>
              <w:rPr>
                <w:b/>
                <w:bCs/>
                <w:sz w:val="18"/>
                <w:szCs w:val="18"/>
              </w:rPr>
            </w:pPr>
          </w:p>
          <w:p w:rsidR="00EE0E90" w:rsidRPr="00EF729B" w:rsidP="00850E26" w14:paraId="30DFD34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15AECE57" w14:textId="77777777" w:rsidTr="5A5ACFB2">
        <w:tblPrEx>
          <w:tblW w:w="8880" w:type="dxa"/>
          <w:tblLook w:val="0000"/>
        </w:tblPrEx>
        <w:trPr>
          <w:trHeight w:val="2181"/>
        </w:trPr>
        <w:tc>
          <w:tcPr>
            <w:tcW w:w="8880" w:type="dxa"/>
          </w:tcPr>
          <w:p w:rsidR="003C30FA" w:rsidP="006A7D75" w14:paraId="6AB3FAF1" w14:textId="77777777">
            <w:pPr>
              <w:jc w:val="center"/>
              <w:rPr>
                <w:b/>
                <w:i/>
                <w:noProof/>
                <w:color w:val="2B579A"/>
                <w:sz w:val="28"/>
                <w:szCs w:val="28"/>
                <w:shd w:val="clear" w:color="auto" w:fill="E6E6E6"/>
              </w:rPr>
            </w:pPr>
          </w:p>
        </w:tc>
      </w:tr>
    </w:tbl>
    <w:p w:rsidR="00D24C3D" w:rsidRPr="007528A5" w14:paraId="4DEC30CB" w14:textId="77777777">
      <w:pPr>
        <w:rPr>
          <w:b/>
          <w:bCs/>
          <w:sz w:val="2"/>
          <w:szCs w:val="2"/>
        </w:rPr>
      </w:pPr>
    </w:p>
    <w:sectPr w:rsidSect="00BD5004">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02006E"/>
    <w:multiLevelType w:val="hybridMultilevel"/>
    <w:tmpl w:val="DD8AB414"/>
    <w:lvl w:ilvl="0">
      <w:start w:val="1"/>
      <w:numFmt w:val="decimal"/>
      <w:lvlText w:val="%1."/>
      <w:lvlJc w:val="left"/>
      <w:pPr>
        <w:ind w:left="720" w:hanging="360"/>
      </w:pPr>
      <w:rPr>
        <w:b/>
        <w:bCs/>
      </w:rPr>
    </w:lvl>
    <w:lvl w:ilvl="1">
      <w:start w:val="1"/>
      <w:numFmt w:val="bullet"/>
      <w:lvlText w:val="o"/>
      <w:lvlJc w:val="left"/>
      <w:pPr>
        <w:ind w:left="1440" w:hanging="360"/>
      </w:pPr>
      <w:rPr>
        <w:rFonts w:ascii="Courier New" w:hAnsi="Courier New"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31C350E"/>
    <w:multiLevelType w:val="hybridMultilevel"/>
    <w:tmpl w:val="F6B8837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8DB5EFC"/>
    <w:multiLevelType w:val="hybridMultilevel"/>
    <w:tmpl w:val="48461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AD61DAE"/>
    <w:multiLevelType w:val="hybridMultilevel"/>
    <w:tmpl w:val="1ABE579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69360488"/>
    <w:multiLevelType w:val="hybridMultilevel"/>
    <w:tmpl w:val="E932DE6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A0A"/>
    <w:rsid w:val="0000526B"/>
    <w:rsid w:val="00006455"/>
    <w:rsid w:val="00020194"/>
    <w:rsid w:val="0002500C"/>
    <w:rsid w:val="0002632D"/>
    <w:rsid w:val="00026667"/>
    <w:rsid w:val="000311FC"/>
    <w:rsid w:val="00040127"/>
    <w:rsid w:val="00044E75"/>
    <w:rsid w:val="00062888"/>
    <w:rsid w:val="00064BA6"/>
    <w:rsid w:val="00065E2D"/>
    <w:rsid w:val="00072FB4"/>
    <w:rsid w:val="000731F9"/>
    <w:rsid w:val="0008080C"/>
    <w:rsid w:val="00081232"/>
    <w:rsid w:val="000858C5"/>
    <w:rsid w:val="00091E65"/>
    <w:rsid w:val="00096D4A"/>
    <w:rsid w:val="000A38EA"/>
    <w:rsid w:val="000A59F4"/>
    <w:rsid w:val="000C09E7"/>
    <w:rsid w:val="000C1E47"/>
    <w:rsid w:val="000C26F3"/>
    <w:rsid w:val="000E049E"/>
    <w:rsid w:val="000E2BEE"/>
    <w:rsid w:val="000F00A2"/>
    <w:rsid w:val="00100FF9"/>
    <w:rsid w:val="00106194"/>
    <w:rsid w:val="0010799B"/>
    <w:rsid w:val="0011158C"/>
    <w:rsid w:val="00111FCA"/>
    <w:rsid w:val="00117DB2"/>
    <w:rsid w:val="00121ABF"/>
    <w:rsid w:val="001234A4"/>
    <w:rsid w:val="00123ED2"/>
    <w:rsid w:val="00125BE0"/>
    <w:rsid w:val="00140741"/>
    <w:rsid w:val="00142C13"/>
    <w:rsid w:val="00152776"/>
    <w:rsid w:val="00153222"/>
    <w:rsid w:val="001577D3"/>
    <w:rsid w:val="001733A6"/>
    <w:rsid w:val="001865A9"/>
    <w:rsid w:val="0018725A"/>
    <w:rsid w:val="00187DB2"/>
    <w:rsid w:val="00192067"/>
    <w:rsid w:val="001B20BB"/>
    <w:rsid w:val="001B4C6F"/>
    <w:rsid w:val="001C35E6"/>
    <w:rsid w:val="001C4370"/>
    <w:rsid w:val="001C7579"/>
    <w:rsid w:val="001D2A53"/>
    <w:rsid w:val="001D3779"/>
    <w:rsid w:val="001E27D1"/>
    <w:rsid w:val="001E2898"/>
    <w:rsid w:val="001F0469"/>
    <w:rsid w:val="00203A98"/>
    <w:rsid w:val="00206EDD"/>
    <w:rsid w:val="0021247E"/>
    <w:rsid w:val="002146F6"/>
    <w:rsid w:val="00231C32"/>
    <w:rsid w:val="0023677F"/>
    <w:rsid w:val="00240345"/>
    <w:rsid w:val="002421F0"/>
    <w:rsid w:val="00244B32"/>
    <w:rsid w:val="00247274"/>
    <w:rsid w:val="002512EA"/>
    <w:rsid w:val="00266966"/>
    <w:rsid w:val="00285C36"/>
    <w:rsid w:val="00285CB3"/>
    <w:rsid w:val="00294C0C"/>
    <w:rsid w:val="00295322"/>
    <w:rsid w:val="002A0934"/>
    <w:rsid w:val="002A5A66"/>
    <w:rsid w:val="002B1013"/>
    <w:rsid w:val="002B2BC7"/>
    <w:rsid w:val="002B68E5"/>
    <w:rsid w:val="002D03E5"/>
    <w:rsid w:val="002D0AE0"/>
    <w:rsid w:val="002E165B"/>
    <w:rsid w:val="002E3F1D"/>
    <w:rsid w:val="002F31D0"/>
    <w:rsid w:val="00300359"/>
    <w:rsid w:val="00306EF7"/>
    <w:rsid w:val="0031773E"/>
    <w:rsid w:val="00327175"/>
    <w:rsid w:val="00333871"/>
    <w:rsid w:val="00341E34"/>
    <w:rsid w:val="00342188"/>
    <w:rsid w:val="00347716"/>
    <w:rsid w:val="003506E1"/>
    <w:rsid w:val="00363CC2"/>
    <w:rsid w:val="00365748"/>
    <w:rsid w:val="003662F6"/>
    <w:rsid w:val="003727E3"/>
    <w:rsid w:val="00385A93"/>
    <w:rsid w:val="003910F1"/>
    <w:rsid w:val="00392C37"/>
    <w:rsid w:val="003B5911"/>
    <w:rsid w:val="003B5E02"/>
    <w:rsid w:val="003B607F"/>
    <w:rsid w:val="003B6C78"/>
    <w:rsid w:val="003C30FA"/>
    <w:rsid w:val="003D57BD"/>
    <w:rsid w:val="003E1A25"/>
    <w:rsid w:val="003E42FC"/>
    <w:rsid w:val="003E5991"/>
    <w:rsid w:val="003F13DE"/>
    <w:rsid w:val="003F344A"/>
    <w:rsid w:val="00401D50"/>
    <w:rsid w:val="00403FF0"/>
    <w:rsid w:val="0042046D"/>
    <w:rsid w:val="0042116E"/>
    <w:rsid w:val="00425AEF"/>
    <w:rsid w:val="00426518"/>
    <w:rsid w:val="00426630"/>
    <w:rsid w:val="00427B06"/>
    <w:rsid w:val="00430161"/>
    <w:rsid w:val="00434A0A"/>
    <w:rsid w:val="00435830"/>
    <w:rsid w:val="004409F5"/>
    <w:rsid w:val="0044144A"/>
    <w:rsid w:val="00441F59"/>
    <w:rsid w:val="00444E07"/>
    <w:rsid w:val="00444FA9"/>
    <w:rsid w:val="00473E9C"/>
    <w:rsid w:val="00480099"/>
    <w:rsid w:val="004841DE"/>
    <w:rsid w:val="00491B74"/>
    <w:rsid w:val="004941A2"/>
    <w:rsid w:val="0049536A"/>
    <w:rsid w:val="00497495"/>
    <w:rsid w:val="00497642"/>
    <w:rsid w:val="00497858"/>
    <w:rsid w:val="004A729A"/>
    <w:rsid w:val="004B4FEA"/>
    <w:rsid w:val="004C0ADA"/>
    <w:rsid w:val="004C433E"/>
    <w:rsid w:val="004C4512"/>
    <w:rsid w:val="004C4F36"/>
    <w:rsid w:val="004C6F9F"/>
    <w:rsid w:val="004D3D85"/>
    <w:rsid w:val="004E2BD8"/>
    <w:rsid w:val="004E2C1C"/>
    <w:rsid w:val="004F0F1F"/>
    <w:rsid w:val="005022AA"/>
    <w:rsid w:val="00504845"/>
    <w:rsid w:val="0050757F"/>
    <w:rsid w:val="00515040"/>
    <w:rsid w:val="00516AD2"/>
    <w:rsid w:val="005226BC"/>
    <w:rsid w:val="005374F4"/>
    <w:rsid w:val="00545DAE"/>
    <w:rsid w:val="00565A13"/>
    <w:rsid w:val="00571B83"/>
    <w:rsid w:val="00572E2F"/>
    <w:rsid w:val="00575A00"/>
    <w:rsid w:val="00586417"/>
    <w:rsid w:val="0058673C"/>
    <w:rsid w:val="005A7972"/>
    <w:rsid w:val="005B17E7"/>
    <w:rsid w:val="005B2643"/>
    <w:rsid w:val="005B552A"/>
    <w:rsid w:val="005B5B8C"/>
    <w:rsid w:val="005C629B"/>
    <w:rsid w:val="005D17FD"/>
    <w:rsid w:val="005D564C"/>
    <w:rsid w:val="005E791A"/>
    <w:rsid w:val="005F0D55"/>
    <w:rsid w:val="005F183E"/>
    <w:rsid w:val="005F281E"/>
    <w:rsid w:val="00600DDA"/>
    <w:rsid w:val="00603A30"/>
    <w:rsid w:val="00604211"/>
    <w:rsid w:val="00613498"/>
    <w:rsid w:val="00617B94"/>
    <w:rsid w:val="00620BED"/>
    <w:rsid w:val="00625901"/>
    <w:rsid w:val="006415B4"/>
    <w:rsid w:val="00642A0F"/>
    <w:rsid w:val="006435D7"/>
    <w:rsid w:val="00644E3D"/>
    <w:rsid w:val="00646529"/>
    <w:rsid w:val="00651B9E"/>
    <w:rsid w:val="00652019"/>
    <w:rsid w:val="00652FD3"/>
    <w:rsid w:val="00657EC9"/>
    <w:rsid w:val="00665633"/>
    <w:rsid w:val="00674C86"/>
    <w:rsid w:val="0068015E"/>
    <w:rsid w:val="00685421"/>
    <w:rsid w:val="006861AB"/>
    <w:rsid w:val="00686B89"/>
    <w:rsid w:val="0069420F"/>
    <w:rsid w:val="00697F28"/>
    <w:rsid w:val="006A2FC5"/>
    <w:rsid w:val="006A7D75"/>
    <w:rsid w:val="006B0A70"/>
    <w:rsid w:val="006B606A"/>
    <w:rsid w:val="006C33AF"/>
    <w:rsid w:val="006C6BB6"/>
    <w:rsid w:val="006D0DFB"/>
    <w:rsid w:val="006D16EF"/>
    <w:rsid w:val="006D2AD1"/>
    <w:rsid w:val="006D5D22"/>
    <w:rsid w:val="006E0324"/>
    <w:rsid w:val="006E14AC"/>
    <w:rsid w:val="006E4A76"/>
    <w:rsid w:val="006E7B97"/>
    <w:rsid w:val="006F1DBD"/>
    <w:rsid w:val="00700556"/>
    <w:rsid w:val="007046C0"/>
    <w:rsid w:val="0070589A"/>
    <w:rsid w:val="00707367"/>
    <w:rsid w:val="0071417E"/>
    <w:rsid w:val="007167DD"/>
    <w:rsid w:val="0072274A"/>
    <w:rsid w:val="0072478B"/>
    <w:rsid w:val="00732EA4"/>
    <w:rsid w:val="0073414D"/>
    <w:rsid w:val="00736C93"/>
    <w:rsid w:val="007475A1"/>
    <w:rsid w:val="00750A31"/>
    <w:rsid w:val="0075235E"/>
    <w:rsid w:val="007528A5"/>
    <w:rsid w:val="00763FEE"/>
    <w:rsid w:val="00770512"/>
    <w:rsid w:val="007732CC"/>
    <w:rsid w:val="00774079"/>
    <w:rsid w:val="00777195"/>
    <w:rsid w:val="0077752B"/>
    <w:rsid w:val="00793D6F"/>
    <w:rsid w:val="00794090"/>
    <w:rsid w:val="00796D86"/>
    <w:rsid w:val="007A44F8"/>
    <w:rsid w:val="007A7203"/>
    <w:rsid w:val="007B12F2"/>
    <w:rsid w:val="007C6A06"/>
    <w:rsid w:val="007D02FE"/>
    <w:rsid w:val="007D21BF"/>
    <w:rsid w:val="007E736D"/>
    <w:rsid w:val="007F3C12"/>
    <w:rsid w:val="007F5205"/>
    <w:rsid w:val="00801F74"/>
    <w:rsid w:val="0080486B"/>
    <w:rsid w:val="008215E7"/>
    <w:rsid w:val="00826CFF"/>
    <w:rsid w:val="00830FC6"/>
    <w:rsid w:val="008445A1"/>
    <w:rsid w:val="00850E26"/>
    <w:rsid w:val="00865EAA"/>
    <w:rsid w:val="00866F06"/>
    <w:rsid w:val="008728F5"/>
    <w:rsid w:val="008824C2"/>
    <w:rsid w:val="00886676"/>
    <w:rsid w:val="00886960"/>
    <w:rsid w:val="008943CD"/>
    <w:rsid w:val="008960E4"/>
    <w:rsid w:val="008A3940"/>
    <w:rsid w:val="008A4A60"/>
    <w:rsid w:val="008B13C9"/>
    <w:rsid w:val="008C248C"/>
    <w:rsid w:val="008C3634"/>
    <w:rsid w:val="008C5432"/>
    <w:rsid w:val="008C7BF1"/>
    <w:rsid w:val="008D00D6"/>
    <w:rsid w:val="008D4D00"/>
    <w:rsid w:val="008D4E5E"/>
    <w:rsid w:val="008D7ABD"/>
    <w:rsid w:val="008E0F5A"/>
    <w:rsid w:val="008E239B"/>
    <w:rsid w:val="008E55A2"/>
    <w:rsid w:val="008F1609"/>
    <w:rsid w:val="008F4EB0"/>
    <w:rsid w:val="008F78D8"/>
    <w:rsid w:val="00904EE4"/>
    <w:rsid w:val="00913056"/>
    <w:rsid w:val="00914216"/>
    <w:rsid w:val="00915745"/>
    <w:rsid w:val="009247D7"/>
    <w:rsid w:val="0093373C"/>
    <w:rsid w:val="00956C87"/>
    <w:rsid w:val="00961620"/>
    <w:rsid w:val="009718C2"/>
    <w:rsid w:val="009734B6"/>
    <w:rsid w:val="00974DCF"/>
    <w:rsid w:val="0098096F"/>
    <w:rsid w:val="0098437A"/>
    <w:rsid w:val="00984B50"/>
    <w:rsid w:val="00986C92"/>
    <w:rsid w:val="0099110B"/>
    <w:rsid w:val="0099357B"/>
    <w:rsid w:val="00993C47"/>
    <w:rsid w:val="009972BC"/>
    <w:rsid w:val="009B4B16"/>
    <w:rsid w:val="009B605E"/>
    <w:rsid w:val="009D27D5"/>
    <w:rsid w:val="009E54A1"/>
    <w:rsid w:val="009F4E25"/>
    <w:rsid w:val="009F5B1F"/>
    <w:rsid w:val="00A17223"/>
    <w:rsid w:val="00A20BE7"/>
    <w:rsid w:val="00A21ACE"/>
    <w:rsid w:val="00A225A9"/>
    <w:rsid w:val="00A25987"/>
    <w:rsid w:val="00A3308E"/>
    <w:rsid w:val="00A35DFD"/>
    <w:rsid w:val="00A37B20"/>
    <w:rsid w:val="00A639B4"/>
    <w:rsid w:val="00A702DF"/>
    <w:rsid w:val="00A7248A"/>
    <w:rsid w:val="00A775A3"/>
    <w:rsid w:val="00A81700"/>
    <w:rsid w:val="00A81B5B"/>
    <w:rsid w:val="00A82FAD"/>
    <w:rsid w:val="00A85461"/>
    <w:rsid w:val="00A9673A"/>
    <w:rsid w:val="00A96EF2"/>
    <w:rsid w:val="00A97AE8"/>
    <w:rsid w:val="00AA5C35"/>
    <w:rsid w:val="00AA5ED9"/>
    <w:rsid w:val="00AB4054"/>
    <w:rsid w:val="00AB4D4A"/>
    <w:rsid w:val="00AB541A"/>
    <w:rsid w:val="00AB6224"/>
    <w:rsid w:val="00AC0A38"/>
    <w:rsid w:val="00AC2A47"/>
    <w:rsid w:val="00AC4E0E"/>
    <w:rsid w:val="00AC517B"/>
    <w:rsid w:val="00AC5E91"/>
    <w:rsid w:val="00AC6EBE"/>
    <w:rsid w:val="00AD0D19"/>
    <w:rsid w:val="00AD4184"/>
    <w:rsid w:val="00AD5CA9"/>
    <w:rsid w:val="00AD7315"/>
    <w:rsid w:val="00AE26B5"/>
    <w:rsid w:val="00AF051B"/>
    <w:rsid w:val="00AF23C6"/>
    <w:rsid w:val="00AF4EC8"/>
    <w:rsid w:val="00B01955"/>
    <w:rsid w:val="00B02A15"/>
    <w:rsid w:val="00B037A2"/>
    <w:rsid w:val="00B14CE1"/>
    <w:rsid w:val="00B171E0"/>
    <w:rsid w:val="00B21A3D"/>
    <w:rsid w:val="00B25C62"/>
    <w:rsid w:val="00B31870"/>
    <w:rsid w:val="00B31C65"/>
    <w:rsid w:val="00B320B8"/>
    <w:rsid w:val="00B34D64"/>
    <w:rsid w:val="00B35EE2"/>
    <w:rsid w:val="00B365A7"/>
    <w:rsid w:val="00B36DEF"/>
    <w:rsid w:val="00B57131"/>
    <w:rsid w:val="00B62F2C"/>
    <w:rsid w:val="00B6779D"/>
    <w:rsid w:val="00B727C9"/>
    <w:rsid w:val="00B735C8"/>
    <w:rsid w:val="00B76A63"/>
    <w:rsid w:val="00B81AE0"/>
    <w:rsid w:val="00B9006D"/>
    <w:rsid w:val="00B920F0"/>
    <w:rsid w:val="00BA45DA"/>
    <w:rsid w:val="00BA6350"/>
    <w:rsid w:val="00BB4799"/>
    <w:rsid w:val="00BB4E29"/>
    <w:rsid w:val="00BB74C9"/>
    <w:rsid w:val="00BC3AB6"/>
    <w:rsid w:val="00BD19E8"/>
    <w:rsid w:val="00BD4273"/>
    <w:rsid w:val="00BD5004"/>
    <w:rsid w:val="00BE0CA2"/>
    <w:rsid w:val="00BE4D0F"/>
    <w:rsid w:val="00C31ED8"/>
    <w:rsid w:val="00C432E4"/>
    <w:rsid w:val="00C53C41"/>
    <w:rsid w:val="00C6073F"/>
    <w:rsid w:val="00C642AF"/>
    <w:rsid w:val="00C645D9"/>
    <w:rsid w:val="00C64C4E"/>
    <w:rsid w:val="00C70C26"/>
    <w:rsid w:val="00C72001"/>
    <w:rsid w:val="00C7396E"/>
    <w:rsid w:val="00C772B7"/>
    <w:rsid w:val="00C773EE"/>
    <w:rsid w:val="00C80347"/>
    <w:rsid w:val="00C819D7"/>
    <w:rsid w:val="00CB24D2"/>
    <w:rsid w:val="00CB7C1A"/>
    <w:rsid w:val="00CC5E08"/>
    <w:rsid w:val="00CD1C70"/>
    <w:rsid w:val="00CD4127"/>
    <w:rsid w:val="00CE14FD"/>
    <w:rsid w:val="00CE2733"/>
    <w:rsid w:val="00CF11B0"/>
    <w:rsid w:val="00CF6860"/>
    <w:rsid w:val="00D02AC6"/>
    <w:rsid w:val="00D03F0C"/>
    <w:rsid w:val="00D04312"/>
    <w:rsid w:val="00D06F3A"/>
    <w:rsid w:val="00D16A7F"/>
    <w:rsid w:val="00D16AD2"/>
    <w:rsid w:val="00D22596"/>
    <w:rsid w:val="00D22691"/>
    <w:rsid w:val="00D24C3D"/>
    <w:rsid w:val="00D35C62"/>
    <w:rsid w:val="00D41352"/>
    <w:rsid w:val="00D46CB1"/>
    <w:rsid w:val="00D60562"/>
    <w:rsid w:val="00D652BD"/>
    <w:rsid w:val="00D70562"/>
    <w:rsid w:val="00D723F0"/>
    <w:rsid w:val="00D8133F"/>
    <w:rsid w:val="00D81FFC"/>
    <w:rsid w:val="00D85107"/>
    <w:rsid w:val="00D861EE"/>
    <w:rsid w:val="00D954E8"/>
    <w:rsid w:val="00D95B05"/>
    <w:rsid w:val="00D97E2D"/>
    <w:rsid w:val="00DA0A5B"/>
    <w:rsid w:val="00DA103D"/>
    <w:rsid w:val="00DA26D0"/>
    <w:rsid w:val="00DA45D3"/>
    <w:rsid w:val="00DA4772"/>
    <w:rsid w:val="00DA7B44"/>
    <w:rsid w:val="00DB2667"/>
    <w:rsid w:val="00DB67B7"/>
    <w:rsid w:val="00DC15A9"/>
    <w:rsid w:val="00DC40AA"/>
    <w:rsid w:val="00DD1750"/>
    <w:rsid w:val="00DD2DEA"/>
    <w:rsid w:val="00DD35CA"/>
    <w:rsid w:val="00DD586B"/>
    <w:rsid w:val="00DD7917"/>
    <w:rsid w:val="00DF3574"/>
    <w:rsid w:val="00E24055"/>
    <w:rsid w:val="00E26F60"/>
    <w:rsid w:val="00E349AA"/>
    <w:rsid w:val="00E37C1A"/>
    <w:rsid w:val="00E41390"/>
    <w:rsid w:val="00E41CA0"/>
    <w:rsid w:val="00E4366B"/>
    <w:rsid w:val="00E46D8F"/>
    <w:rsid w:val="00E50A4A"/>
    <w:rsid w:val="00E563F6"/>
    <w:rsid w:val="00E606DE"/>
    <w:rsid w:val="00E644FE"/>
    <w:rsid w:val="00E726DB"/>
    <w:rsid w:val="00E72733"/>
    <w:rsid w:val="00E742FA"/>
    <w:rsid w:val="00E74FDF"/>
    <w:rsid w:val="00E76816"/>
    <w:rsid w:val="00E83DBF"/>
    <w:rsid w:val="00E87C13"/>
    <w:rsid w:val="00E911B3"/>
    <w:rsid w:val="00E94CD9"/>
    <w:rsid w:val="00E965B5"/>
    <w:rsid w:val="00EA1A76"/>
    <w:rsid w:val="00EA1BF5"/>
    <w:rsid w:val="00EA290B"/>
    <w:rsid w:val="00EA6370"/>
    <w:rsid w:val="00EA72B6"/>
    <w:rsid w:val="00EB4DE9"/>
    <w:rsid w:val="00ED4E77"/>
    <w:rsid w:val="00EE0E90"/>
    <w:rsid w:val="00EE1363"/>
    <w:rsid w:val="00EE583B"/>
    <w:rsid w:val="00EF3BCA"/>
    <w:rsid w:val="00EF729B"/>
    <w:rsid w:val="00F01B0D"/>
    <w:rsid w:val="00F066D2"/>
    <w:rsid w:val="00F067DA"/>
    <w:rsid w:val="00F07150"/>
    <w:rsid w:val="00F1238F"/>
    <w:rsid w:val="00F16485"/>
    <w:rsid w:val="00F228ED"/>
    <w:rsid w:val="00F2358F"/>
    <w:rsid w:val="00F26E31"/>
    <w:rsid w:val="00F27C6C"/>
    <w:rsid w:val="00F3274C"/>
    <w:rsid w:val="00F34A8D"/>
    <w:rsid w:val="00F41D60"/>
    <w:rsid w:val="00F50D25"/>
    <w:rsid w:val="00F51A00"/>
    <w:rsid w:val="00F530BC"/>
    <w:rsid w:val="00F535D8"/>
    <w:rsid w:val="00F61155"/>
    <w:rsid w:val="00F6514B"/>
    <w:rsid w:val="00F67E9C"/>
    <w:rsid w:val="00F708E3"/>
    <w:rsid w:val="00F749DD"/>
    <w:rsid w:val="00F76561"/>
    <w:rsid w:val="00F77D1B"/>
    <w:rsid w:val="00F84736"/>
    <w:rsid w:val="00FC6C29"/>
    <w:rsid w:val="00FD58E0"/>
    <w:rsid w:val="00FD71AE"/>
    <w:rsid w:val="00FE0198"/>
    <w:rsid w:val="00FE2355"/>
    <w:rsid w:val="00FE3A7C"/>
    <w:rsid w:val="00FF1C0B"/>
    <w:rsid w:val="00FF232D"/>
    <w:rsid w:val="00FF7F9B"/>
    <w:rsid w:val="01833419"/>
    <w:rsid w:val="0265E46C"/>
    <w:rsid w:val="06EC0764"/>
    <w:rsid w:val="0BE70BAE"/>
    <w:rsid w:val="0C6F6C70"/>
    <w:rsid w:val="10221286"/>
    <w:rsid w:val="10E71A33"/>
    <w:rsid w:val="145CE7DB"/>
    <w:rsid w:val="176F8E90"/>
    <w:rsid w:val="17CE97CD"/>
    <w:rsid w:val="1A49D080"/>
    <w:rsid w:val="1A874033"/>
    <w:rsid w:val="1AD392B0"/>
    <w:rsid w:val="1DB0FC0F"/>
    <w:rsid w:val="1EE6BC9F"/>
    <w:rsid w:val="1FE86D7A"/>
    <w:rsid w:val="23120DB0"/>
    <w:rsid w:val="256E7EB7"/>
    <w:rsid w:val="27B92C9E"/>
    <w:rsid w:val="2A7477E7"/>
    <w:rsid w:val="2AD1AC99"/>
    <w:rsid w:val="2BA6904B"/>
    <w:rsid w:val="2BB1FCFB"/>
    <w:rsid w:val="2F7B3199"/>
    <w:rsid w:val="2F8EA217"/>
    <w:rsid w:val="2FE39EEB"/>
    <w:rsid w:val="30F5F7AA"/>
    <w:rsid w:val="35C968CD"/>
    <w:rsid w:val="3B322427"/>
    <w:rsid w:val="3CA18848"/>
    <w:rsid w:val="410AC99D"/>
    <w:rsid w:val="456D4D6A"/>
    <w:rsid w:val="46A5326C"/>
    <w:rsid w:val="48D1A882"/>
    <w:rsid w:val="4B8D9850"/>
    <w:rsid w:val="4DC50144"/>
    <w:rsid w:val="50042A01"/>
    <w:rsid w:val="5023133F"/>
    <w:rsid w:val="541BBDD2"/>
    <w:rsid w:val="555F8288"/>
    <w:rsid w:val="5577C599"/>
    <w:rsid w:val="57232EF0"/>
    <w:rsid w:val="57D0D69C"/>
    <w:rsid w:val="5A56D576"/>
    <w:rsid w:val="5A5ACFB2"/>
    <w:rsid w:val="5C463E2C"/>
    <w:rsid w:val="5CDA26F8"/>
    <w:rsid w:val="5DADBCE6"/>
    <w:rsid w:val="5DAF6CA7"/>
    <w:rsid w:val="5E311E11"/>
    <w:rsid w:val="5E675426"/>
    <w:rsid w:val="5F34393F"/>
    <w:rsid w:val="60807EB5"/>
    <w:rsid w:val="61453E5C"/>
    <w:rsid w:val="6572AD41"/>
    <w:rsid w:val="6709AEB8"/>
    <w:rsid w:val="6A7D8F95"/>
    <w:rsid w:val="6B63687D"/>
    <w:rsid w:val="6EA81792"/>
    <w:rsid w:val="73933574"/>
    <w:rsid w:val="750F6C8B"/>
    <w:rsid w:val="7517A1A0"/>
    <w:rsid w:val="78981702"/>
    <w:rsid w:val="7985CCEB"/>
    <w:rsid w:val="79D74002"/>
    <w:rsid w:val="7B16BB69"/>
    <w:rsid w:val="7C29409B"/>
    <w:rsid w:val="7F4E4519"/>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E228477"/>
  <w15:docId w15:val="{93D0BC85-86B2-45FD-BE8B-522B359C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435D7"/>
    <w:pPr>
      <w:suppressAutoHyphens/>
      <w:autoSpaceDN w:val="0"/>
      <w:ind w:left="720"/>
      <w:contextualSpacing/>
    </w:pPr>
  </w:style>
  <w:style w:type="character" w:customStyle="1" w:styleId="normaltextrun">
    <w:name w:val="normaltextrun"/>
    <w:basedOn w:val="DefaultParagraphFont"/>
    <w:rsid w:val="006435D7"/>
  </w:style>
  <w:style w:type="paragraph" w:styleId="Revision">
    <w:name w:val="Revision"/>
    <w:hidden/>
    <w:uiPriority w:val="99"/>
    <w:semiHidden/>
    <w:rsid w:val="00341E34"/>
    <w:rPr>
      <w:sz w:val="24"/>
      <w:szCs w:val="24"/>
    </w:rPr>
  </w:style>
  <w:style w:type="character" w:styleId="CommentReference">
    <w:name w:val="annotation reference"/>
    <w:basedOn w:val="DefaultParagraphFont"/>
    <w:semiHidden/>
    <w:unhideWhenUsed/>
    <w:rsid w:val="00285CB3"/>
    <w:rPr>
      <w:sz w:val="16"/>
      <w:szCs w:val="16"/>
    </w:rPr>
  </w:style>
  <w:style w:type="paragraph" w:styleId="CommentText">
    <w:name w:val="annotation text"/>
    <w:basedOn w:val="Normal"/>
    <w:link w:val="CommentTextChar"/>
    <w:unhideWhenUsed/>
    <w:rsid w:val="00285CB3"/>
    <w:rPr>
      <w:sz w:val="20"/>
      <w:szCs w:val="20"/>
    </w:rPr>
  </w:style>
  <w:style w:type="character" w:customStyle="1" w:styleId="CommentTextChar">
    <w:name w:val="Comment Text Char"/>
    <w:basedOn w:val="DefaultParagraphFont"/>
    <w:link w:val="CommentText"/>
    <w:rsid w:val="00285CB3"/>
  </w:style>
  <w:style w:type="paragraph" w:styleId="CommentSubject">
    <w:name w:val="annotation subject"/>
    <w:basedOn w:val="CommentText"/>
    <w:next w:val="CommentText"/>
    <w:link w:val="CommentSubjectChar"/>
    <w:semiHidden/>
    <w:unhideWhenUsed/>
    <w:rsid w:val="00285CB3"/>
    <w:rPr>
      <w:b/>
      <w:bCs/>
    </w:rPr>
  </w:style>
  <w:style w:type="character" w:customStyle="1" w:styleId="CommentSubjectChar">
    <w:name w:val="Comment Subject Char"/>
    <w:basedOn w:val="CommentTextChar"/>
    <w:link w:val="CommentSubject"/>
    <w:semiHidden/>
    <w:rsid w:val="00285CB3"/>
    <w:rPr>
      <w:b/>
      <w:bCs/>
    </w:rPr>
  </w:style>
  <w:style w:type="character" w:styleId="Mention">
    <w:name w:val="Mention"/>
    <w:basedOn w:val="DefaultParagraphFont"/>
    <w:uiPriority w:val="99"/>
    <w:unhideWhenUsed/>
    <w:rsid w:val="00642A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pril-2024-open-commission-meeting" TargetMode="External" /><Relationship Id="rId6" Type="http://schemas.openxmlformats.org/officeDocument/2006/relationships/hyperlink" Target="https://www.ntia.gov/sites/default/files/publications/ntia_title_ii_comment.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