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8850" w:type="dxa"/>
        <w:tblLook w:val="0000"/>
      </w:tblPr>
      <w:tblGrid>
        <w:gridCol w:w="8856"/>
      </w:tblGrid>
      <w:tr w14:paraId="5FAC3FAB" w14:textId="77777777" w:rsidTr="474C2C41">
        <w:tblPrEx>
          <w:tblW w:w="8850" w:type="dxa"/>
          <w:tblLook w:val="0000"/>
        </w:tblPrEx>
        <w:trPr>
          <w:trHeight w:val="2181"/>
        </w:trPr>
        <w:tc>
          <w:tcPr>
            <w:tcW w:w="8850" w:type="dxa"/>
          </w:tcPr>
          <w:p w:rsidR="00FF232D" w:rsidP="006A7D75" w14:paraId="3F34B7F6" w14:textId="77777777">
            <w:pPr>
              <w:jc w:val="center"/>
              <w:rPr>
                <w:b/>
              </w:rPr>
            </w:pPr>
            <w:r>
              <w:rPr>
                <w:b/>
                <w:i/>
                <w:noProof/>
                <w:sz w:val="28"/>
                <w:szCs w:val="28"/>
              </w:rPr>
              <w:drawing>
                <wp:inline distT="0" distB="0" distL="0" distR="0">
                  <wp:extent cx="5486400" cy="752475"/>
                  <wp:effectExtent l="0" t="0" r="0" b="9525"/>
                  <wp:docPr id="1" name="Picture 1" descr="FCC - Media Advisory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Media Advisory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486400" cy="752475"/>
                          </a:xfrm>
                          <a:prstGeom prst="rect">
                            <a:avLst/>
                          </a:prstGeom>
                          <a:noFill/>
                          <a:ln>
                            <a:noFill/>
                          </a:ln>
                        </pic:spPr>
                      </pic:pic>
                    </a:graphicData>
                  </a:graphic>
                </wp:inline>
              </w:drawing>
            </w:r>
          </w:p>
          <w:p w:rsidR="00426518" w:rsidRPr="004A729A" w:rsidP="00B57131" w14:paraId="648221A5" w14:textId="77777777">
            <w:pPr>
              <w:rPr>
                <w:b/>
                <w:bCs/>
                <w:sz w:val="12"/>
                <w:szCs w:val="12"/>
              </w:rPr>
            </w:pPr>
          </w:p>
          <w:p w:rsidR="007A44F8" w:rsidRPr="008A3940" w:rsidP="00BB4E29" w14:paraId="6F51A981" w14:textId="77777777">
            <w:pPr>
              <w:rPr>
                <w:b/>
                <w:bCs/>
                <w:sz w:val="22"/>
                <w:szCs w:val="22"/>
              </w:rPr>
            </w:pPr>
            <w:r w:rsidRPr="008A3940">
              <w:rPr>
                <w:b/>
                <w:bCs/>
                <w:sz w:val="22"/>
                <w:szCs w:val="22"/>
              </w:rPr>
              <w:t xml:space="preserve">Media Contact: </w:t>
            </w:r>
          </w:p>
          <w:p w:rsidR="00FF232D" w:rsidRPr="008A3940" w:rsidP="00BB4E29" w14:paraId="2AE0AFA7" w14:textId="77777777">
            <w:pPr>
              <w:rPr>
                <w:bCs/>
                <w:sz w:val="22"/>
                <w:szCs w:val="22"/>
              </w:rPr>
            </w:pPr>
            <w:r>
              <w:rPr>
                <w:bCs/>
                <w:sz w:val="22"/>
                <w:szCs w:val="22"/>
              </w:rPr>
              <w:t>MediaRelations@fcc.gov</w:t>
            </w:r>
          </w:p>
          <w:p w:rsidR="007A44F8" w:rsidRPr="008A3940" w:rsidP="00BB4E29" w14:paraId="08BF61D4" w14:textId="77777777">
            <w:pPr>
              <w:rPr>
                <w:bCs/>
                <w:sz w:val="22"/>
                <w:szCs w:val="22"/>
              </w:rPr>
            </w:pPr>
          </w:p>
          <w:p w:rsidR="007A44F8" w:rsidRPr="00A2631C" w:rsidP="00D874BF" w14:paraId="55F41D49" w14:textId="77CAF00A">
            <w:pPr>
              <w:rPr>
                <w:b/>
                <w:sz w:val="26"/>
                <w:szCs w:val="26"/>
              </w:rPr>
            </w:pPr>
            <w:r w:rsidRPr="00D874BF">
              <w:rPr>
                <w:b/>
                <w:sz w:val="22"/>
                <w:szCs w:val="22"/>
              </w:rPr>
              <w:t xml:space="preserve">For </w:t>
            </w:r>
            <w:r w:rsidRPr="00D874BF" w:rsidR="00D874BF">
              <w:rPr>
                <w:b/>
                <w:sz w:val="22"/>
                <w:szCs w:val="22"/>
              </w:rPr>
              <w:t>Immediate Release</w:t>
            </w:r>
          </w:p>
          <w:p w:rsidR="00A2631C" w:rsidRPr="004A729A" w:rsidP="00A2631C" w14:paraId="11145EC0" w14:textId="77777777">
            <w:pPr>
              <w:jc w:val="center"/>
              <w:rPr>
                <w:b/>
                <w:bCs/>
                <w:sz w:val="22"/>
                <w:szCs w:val="22"/>
              </w:rPr>
            </w:pPr>
          </w:p>
          <w:p w:rsidR="000E049E" w:rsidP="5D2ACEBE" w14:paraId="5583AE6F" w14:textId="18A6A659">
            <w:pPr>
              <w:tabs>
                <w:tab w:val="left" w:pos="8625"/>
              </w:tabs>
              <w:spacing w:after="120"/>
              <w:jc w:val="center"/>
              <w:rPr>
                <w:b/>
                <w:bCs/>
                <w:sz w:val="26"/>
                <w:szCs w:val="26"/>
              </w:rPr>
            </w:pPr>
            <w:r w:rsidRPr="474C2C41">
              <w:rPr>
                <w:b/>
                <w:bCs/>
                <w:sz w:val="26"/>
                <w:szCs w:val="26"/>
              </w:rPr>
              <w:t xml:space="preserve">FCC HOSTS </w:t>
            </w:r>
            <w:r w:rsidRPr="474C2C41" w:rsidR="0026028E">
              <w:rPr>
                <w:b/>
                <w:bCs/>
                <w:sz w:val="26"/>
                <w:szCs w:val="26"/>
              </w:rPr>
              <w:t xml:space="preserve">SPACE BUREAU </w:t>
            </w:r>
            <w:r w:rsidRPr="474C2C41" w:rsidR="000E4924">
              <w:rPr>
                <w:b/>
                <w:bCs/>
                <w:sz w:val="26"/>
                <w:szCs w:val="26"/>
              </w:rPr>
              <w:t xml:space="preserve">TRANSPARENCY </w:t>
            </w:r>
            <w:r w:rsidRPr="474C2C41" w:rsidR="0026028E">
              <w:rPr>
                <w:b/>
                <w:bCs/>
                <w:sz w:val="26"/>
                <w:szCs w:val="26"/>
              </w:rPr>
              <w:t xml:space="preserve">EVENT </w:t>
            </w:r>
            <w:r w:rsidRPr="474C2C41" w:rsidR="000E4924">
              <w:rPr>
                <w:b/>
                <w:bCs/>
                <w:sz w:val="26"/>
                <w:szCs w:val="26"/>
              </w:rPr>
              <w:t>ON</w:t>
            </w:r>
            <w:r w:rsidRPr="474C2C41" w:rsidR="0026028E">
              <w:rPr>
                <w:b/>
                <w:bCs/>
                <w:sz w:val="26"/>
                <w:szCs w:val="26"/>
              </w:rPr>
              <w:t xml:space="preserve"> INTERAGENCY REVIEW OF SATELLITE</w:t>
            </w:r>
            <w:r w:rsidRPr="474C2C41" w:rsidR="1CE1492B">
              <w:rPr>
                <w:b/>
                <w:bCs/>
                <w:sz w:val="26"/>
                <w:szCs w:val="26"/>
              </w:rPr>
              <w:t>S</w:t>
            </w:r>
            <w:r w:rsidRPr="474C2C41" w:rsidR="0026028E">
              <w:rPr>
                <w:b/>
                <w:bCs/>
                <w:sz w:val="26"/>
                <w:szCs w:val="26"/>
              </w:rPr>
              <w:t xml:space="preserve"> </w:t>
            </w:r>
            <w:r w:rsidRPr="474C2C41" w:rsidR="4FC86E94">
              <w:rPr>
                <w:b/>
                <w:bCs/>
                <w:sz w:val="26"/>
                <w:szCs w:val="26"/>
              </w:rPr>
              <w:t xml:space="preserve">PRIOR TO </w:t>
            </w:r>
            <w:r w:rsidRPr="474C2C41" w:rsidR="0026028E">
              <w:rPr>
                <w:b/>
                <w:bCs/>
                <w:sz w:val="26"/>
                <w:szCs w:val="26"/>
              </w:rPr>
              <w:t xml:space="preserve">LAUNCH </w:t>
            </w:r>
          </w:p>
          <w:p w:rsidR="00CC5E08" w:rsidRPr="00F20D79" w:rsidP="00040127" w14:paraId="37C7CB7D" w14:textId="30573B71">
            <w:pPr>
              <w:tabs>
                <w:tab w:val="left" w:pos="8625"/>
              </w:tabs>
              <w:jc w:val="center"/>
              <w:rPr>
                <w:i/>
                <w:sz w:val="22"/>
                <w:szCs w:val="22"/>
              </w:rPr>
            </w:pPr>
            <w:r w:rsidRPr="00F20D79">
              <w:rPr>
                <w:b/>
                <w:bCs/>
                <w:i/>
                <w:sz w:val="22"/>
                <w:szCs w:val="22"/>
              </w:rPr>
              <w:t>‘</w:t>
            </w:r>
            <w:r w:rsidRPr="00F20D79" w:rsidR="000E4924">
              <w:rPr>
                <w:b/>
                <w:bCs/>
                <w:i/>
                <w:sz w:val="22"/>
                <w:szCs w:val="22"/>
              </w:rPr>
              <w:t xml:space="preserve">Don’t Get Grounded: Understanding the Interagency Review of Satellites Prior to Launch’ </w:t>
            </w:r>
          </w:p>
          <w:p w:rsidR="00F61155" w:rsidRPr="006B0A70" w:rsidP="00BB4E29" w14:paraId="06D65B39"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9A5A06" w:rsidP="5D2ACEBE" w14:paraId="5A5038B5" w14:textId="34232D2E">
            <w:pPr>
              <w:rPr>
                <w:sz w:val="22"/>
                <w:szCs w:val="22"/>
              </w:rPr>
            </w:pPr>
            <w:r w:rsidRPr="474C2C41">
              <w:rPr>
                <w:sz w:val="22"/>
                <w:szCs w:val="22"/>
              </w:rPr>
              <w:t xml:space="preserve">WASHINGTON, </w:t>
            </w:r>
            <w:r w:rsidRPr="474C2C41" w:rsidR="6331194C">
              <w:rPr>
                <w:sz w:val="22"/>
                <w:szCs w:val="22"/>
              </w:rPr>
              <w:t>May</w:t>
            </w:r>
            <w:r w:rsidR="009058AA">
              <w:rPr>
                <w:sz w:val="22"/>
                <w:szCs w:val="22"/>
              </w:rPr>
              <w:t xml:space="preserve"> 7</w:t>
            </w:r>
            <w:r w:rsidRPr="474C2C41" w:rsidR="7247C62A">
              <w:rPr>
                <w:sz w:val="22"/>
                <w:szCs w:val="22"/>
              </w:rPr>
              <w:t>, 20</w:t>
            </w:r>
            <w:r w:rsidRPr="474C2C41" w:rsidR="583A9378">
              <w:rPr>
                <w:sz w:val="22"/>
                <w:szCs w:val="22"/>
              </w:rPr>
              <w:t>2</w:t>
            </w:r>
            <w:r w:rsidRPr="474C2C41" w:rsidR="687427F2">
              <w:rPr>
                <w:sz w:val="22"/>
                <w:szCs w:val="22"/>
              </w:rPr>
              <w:t>4</w:t>
            </w:r>
            <w:r w:rsidRPr="474C2C41" w:rsidR="718C4AC9">
              <w:rPr>
                <w:sz w:val="22"/>
                <w:szCs w:val="22"/>
              </w:rPr>
              <w:t>—</w:t>
            </w:r>
            <w:r w:rsidRPr="474C2C41" w:rsidR="6331194C">
              <w:rPr>
                <w:sz w:val="22"/>
                <w:szCs w:val="22"/>
              </w:rPr>
              <w:t>The F</w:t>
            </w:r>
            <w:r w:rsidRPr="474C2C41" w:rsidR="0BA31262">
              <w:rPr>
                <w:sz w:val="22"/>
                <w:szCs w:val="22"/>
              </w:rPr>
              <w:t>CC</w:t>
            </w:r>
            <w:r w:rsidRPr="474C2C41" w:rsidR="6331194C">
              <w:rPr>
                <w:sz w:val="22"/>
                <w:szCs w:val="22"/>
              </w:rPr>
              <w:t xml:space="preserve"> Space Bureau </w:t>
            </w:r>
            <w:r w:rsidRPr="474C2C41" w:rsidR="42CC34DE">
              <w:rPr>
                <w:sz w:val="22"/>
                <w:szCs w:val="22"/>
              </w:rPr>
              <w:t xml:space="preserve">will </w:t>
            </w:r>
            <w:r w:rsidRPr="474C2C41" w:rsidR="20A42326">
              <w:rPr>
                <w:sz w:val="22"/>
                <w:szCs w:val="22"/>
              </w:rPr>
              <w:t xml:space="preserve">convene </w:t>
            </w:r>
            <w:r w:rsidRPr="474C2C41" w:rsidR="52EE6B0D">
              <w:rPr>
                <w:sz w:val="22"/>
                <w:szCs w:val="22"/>
              </w:rPr>
              <w:t xml:space="preserve">a discussion of the roles different federal agencies play </w:t>
            </w:r>
            <w:r w:rsidRPr="474C2C41" w:rsidR="1420FD19">
              <w:rPr>
                <w:sz w:val="22"/>
                <w:szCs w:val="22"/>
              </w:rPr>
              <w:t>in the review of satellite</w:t>
            </w:r>
            <w:r w:rsidRPr="474C2C41" w:rsidR="59C598E7">
              <w:rPr>
                <w:sz w:val="22"/>
                <w:szCs w:val="22"/>
              </w:rPr>
              <w:t>s</w:t>
            </w:r>
            <w:r w:rsidRPr="474C2C41" w:rsidR="1420FD19">
              <w:rPr>
                <w:sz w:val="22"/>
                <w:szCs w:val="22"/>
              </w:rPr>
              <w:t xml:space="preserve"> before </w:t>
            </w:r>
            <w:r w:rsidRPr="474C2C41" w:rsidR="6F998E1E">
              <w:rPr>
                <w:sz w:val="22"/>
                <w:szCs w:val="22"/>
              </w:rPr>
              <w:t xml:space="preserve">commercial </w:t>
            </w:r>
            <w:r w:rsidRPr="474C2C41" w:rsidR="6D1553C1">
              <w:rPr>
                <w:sz w:val="22"/>
                <w:szCs w:val="22"/>
              </w:rPr>
              <w:t xml:space="preserve">launches </w:t>
            </w:r>
            <w:r w:rsidRPr="474C2C41" w:rsidR="1420FD19">
              <w:rPr>
                <w:sz w:val="22"/>
                <w:szCs w:val="22"/>
              </w:rPr>
              <w:t xml:space="preserve">take place. </w:t>
            </w:r>
            <w:r w:rsidRPr="474C2C41" w:rsidR="3328103D">
              <w:rPr>
                <w:sz w:val="22"/>
                <w:szCs w:val="22"/>
              </w:rPr>
              <w:t xml:space="preserve"> </w:t>
            </w:r>
            <w:r w:rsidR="00080616">
              <w:rPr>
                <w:sz w:val="22"/>
                <w:szCs w:val="22"/>
              </w:rPr>
              <w:t xml:space="preserve"> </w:t>
            </w:r>
            <w:r w:rsidRPr="474C2C41" w:rsidR="3328103D">
              <w:rPr>
                <w:sz w:val="22"/>
                <w:szCs w:val="22"/>
              </w:rPr>
              <w:t xml:space="preserve">FCC officials will be joined by partners from the </w:t>
            </w:r>
            <w:r w:rsidRPr="474C2C41" w:rsidR="3EA7D81B">
              <w:rPr>
                <w:sz w:val="22"/>
                <w:szCs w:val="22"/>
              </w:rPr>
              <w:t>Federal Aviation Administration (</w:t>
            </w:r>
            <w:r w:rsidRPr="474C2C41" w:rsidR="3328103D">
              <w:rPr>
                <w:sz w:val="22"/>
                <w:szCs w:val="22"/>
              </w:rPr>
              <w:t>FAA</w:t>
            </w:r>
            <w:r w:rsidRPr="474C2C41" w:rsidR="3480CDAF">
              <w:rPr>
                <w:sz w:val="22"/>
                <w:szCs w:val="22"/>
              </w:rPr>
              <w:t>)</w:t>
            </w:r>
            <w:r w:rsidRPr="474C2C41" w:rsidR="3328103D">
              <w:rPr>
                <w:sz w:val="22"/>
                <w:szCs w:val="22"/>
              </w:rPr>
              <w:t xml:space="preserve">, State Department, </w:t>
            </w:r>
            <w:r w:rsidRPr="474C2C41" w:rsidR="0DC93BFB">
              <w:rPr>
                <w:sz w:val="22"/>
                <w:szCs w:val="22"/>
              </w:rPr>
              <w:t>and</w:t>
            </w:r>
            <w:r w:rsidRPr="474C2C41" w:rsidR="538E622D">
              <w:rPr>
                <w:sz w:val="22"/>
                <w:szCs w:val="22"/>
              </w:rPr>
              <w:t xml:space="preserve"> the</w:t>
            </w:r>
            <w:r w:rsidRPr="474C2C41" w:rsidR="0DC93BFB">
              <w:rPr>
                <w:sz w:val="22"/>
                <w:szCs w:val="22"/>
              </w:rPr>
              <w:t xml:space="preserve"> </w:t>
            </w:r>
            <w:r w:rsidRPr="474C2C41" w:rsidR="0F358C8D">
              <w:rPr>
                <w:sz w:val="22"/>
                <w:szCs w:val="22"/>
              </w:rPr>
              <w:t>National Oceanic and Atmospheric Administration (</w:t>
            </w:r>
            <w:r w:rsidRPr="474C2C41" w:rsidR="0DC93BFB">
              <w:rPr>
                <w:sz w:val="22"/>
                <w:szCs w:val="22"/>
              </w:rPr>
              <w:t>NOAA</w:t>
            </w:r>
            <w:r w:rsidRPr="474C2C41" w:rsidR="7602E304">
              <w:rPr>
                <w:sz w:val="22"/>
                <w:szCs w:val="22"/>
              </w:rPr>
              <w:t>)</w:t>
            </w:r>
            <w:r w:rsidRPr="474C2C41" w:rsidR="0DC93BFB">
              <w:rPr>
                <w:sz w:val="22"/>
                <w:szCs w:val="22"/>
              </w:rPr>
              <w:t>.</w:t>
            </w:r>
            <w:r w:rsidRPr="474C2C41" w:rsidR="594C9CF8">
              <w:rPr>
                <w:sz w:val="22"/>
                <w:szCs w:val="22"/>
              </w:rPr>
              <w:t xml:space="preserve"> </w:t>
            </w:r>
            <w:r w:rsidRPr="474C2C41" w:rsidR="1420FD19">
              <w:rPr>
                <w:sz w:val="22"/>
                <w:szCs w:val="22"/>
              </w:rPr>
              <w:t xml:space="preserve"> </w:t>
            </w:r>
            <w:r w:rsidRPr="474C2C41" w:rsidR="62D9CD52">
              <w:rPr>
                <w:sz w:val="22"/>
                <w:szCs w:val="22"/>
              </w:rPr>
              <w:t>Thursday’s</w:t>
            </w:r>
            <w:r w:rsidRPr="474C2C41" w:rsidR="1420FD19">
              <w:rPr>
                <w:sz w:val="22"/>
                <w:szCs w:val="22"/>
              </w:rPr>
              <w:t xml:space="preserve"> Space Bureau</w:t>
            </w:r>
            <w:r w:rsidRPr="474C2C41" w:rsidR="62D9CD52">
              <w:rPr>
                <w:sz w:val="22"/>
                <w:szCs w:val="22"/>
              </w:rPr>
              <w:t xml:space="preserve"> event is the latest in its</w:t>
            </w:r>
            <w:r w:rsidRPr="474C2C41" w:rsidR="00A41931">
              <w:rPr>
                <w:sz w:val="22"/>
                <w:szCs w:val="22"/>
              </w:rPr>
              <w:t xml:space="preserve"> </w:t>
            </w:r>
            <w:hyperlink r:id="rId5">
              <w:r w:rsidRPr="474C2C41" w:rsidR="00A41931">
                <w:rPr>
                  <w:rStyle w:val="Hyperlink"/>
                  <w:sz w:val="22"/>
                  <w:szCs w:val="22"/>
                </w:rPr>
                <w:t>Transparency Initiative</w:t>
              </w:r>
            </w:hyperlink>
            <w:r w:rsidRPr="474C2C41" w:rsidR="62D9CD52">
              <w:rPr>
                <w:sz w:val="22"/>
                <w:szCs w:val="22"/>
              </w:rPr>
              <w:t>.</w:t>
            </w:r>
            <w:r w:rsidRPr="474C2C41" w:rsidR="3328103D">
              <w:rPr>
                <w:sz w:val="22"/>
                <w:szCs w:val="22"/>
              </w:rPr>
              <w:t xml:space="preserve">  </w:t>
            </w:r>
          </w:p>
          <w:p w:rsidR="00FC5522" w:rsidP="00171043" w14:paraId="476FD249" w14:textId="77777777">
            <w:pPr>
              <w:rPr>
                <w:sz w:val="22"/>
                <w:szCs w:val="22"/>
              </w:rPr>
            </w:pPr>
          </w:p>
          <w:p w:rsidR="00171043" w:rsidRPr="00171043" w:rsidP="005607D1" w14:paraId="64C4DD08" w14:textId="1099E481">
            <w:pPr>
              <w:rPr>
                <w:sz w:val="22"/>
                <w:szCs w:val="22"/>
              </w:rPr>
            </w:pPr>
            <w:r w:rsidRPr="474C2C41">
              <w:rPr>
                <w:sz w:val="22"/>
                <w:szCs w:val="22"/>
              </w:rPr>
              <w:t xml:space="preserve">Prior to a launch, U.S. government agencies review information regarding satellites and other “payloads” onboard the launch vehicle, including assessing whether the satellites have all necessary licensing and approvals, such as an FCC license.  The event will feature speakers from across the U.S. government to discuss the respective roles of agencies during this process, describe challenges for both government and industry, and identify ways to alleviate burdens throughout the process so satellite operators can prepare for successful and timely reviews. </w:t>
            </w:r>
          </w:p>
          <w:p w:rsidR="00A2631C" w:rsidRPr="005607D1" w:rsidP="00A2631C" w14:paraId="01A31445" w14:textId="77777777">
            <w:pPr>
              <w:rPr>
                <w:sz w:val="22"/>
                <w:szCs w:val="22"/>
              </w:rPr>
            </w:pPr>
          </w:p>
          <w:p w:rsidR="006A7B61" w:rsidRPr="005607D1" w:rsidP="006A7B61" w14:paraId="684D428D" w14:textId="77777777">
            <w:pPr>
              <w:rPr>
                <w:sz w:val="22"/>
                <w:szCs w:val="22"/>
              </w:rPr>
            </w:pPr>
            <w:r w:rsidRPr="005607D1">
              <w:rPr>
                <w:sz w:val="22"/>
                <w:szCs w:val="22"/>
              </w:rPr>
              <w:t>This event is free and open to the public.  Members of the media are welcome to attend.</w:t>
            </w:r>
          </w:p>
          <w:p w:rsidR="006A7B61" w:rsidRPr="005607D1" w:rsidP="006A7B61" w14:paraId="76FF10DC" w14:textId="77777777">
            <w:pPr>
              <w:rPr>
                <w:sz w:val="22"/>
                <w:szCs w:val="22"/>
              </w:rPr>
            </w:pPr>
          </w:p>
          <w:p w:rsidR="005607D1" w:rsidRPr="005607D1" w:rsidP="00A41931" w14:paraId="1283FA49" w14:textId="2AD8AFD8">
            <w:pPr>
              <w:ind w:left="2140" w:hanging="1440"/>
              <w:rPr>
                <w:sz w:val="22"/>
                <w:szCs w:val="22"/>
              </w:rPr>
            </w:pPr>
            <w:r w:rsidRPr="5D2ACEBE">
              <w:rPr>
                <w:b/>
                <w:bCs/>
                <w:sz w:val="22"/>
                <w:szCs w:val="22"/>
              </w:rPr>
              <w:t>WH</w:t>
            </w:r>
            <w:r w:rsidRPr="5D2ACEBE">
              <w:rPr>
                <w:b/>
                <w:bCs/>
                <w:sz w:val="22"/>
                <w:szCs w:val="22"/>
              </w:rPr>
              <w:t>O</w:t>
            </w:r>
            <w:r w:rsidRPr="5D2ACEBE">
              <w:rPr>
                <w:b/>
                <w:bCs/>
                <w:sz w:val="22"/>
                <w:szCs w:val="22"/>
              </w:rPr>
              <w:t>:</w:t>
            </w:r>
            <w:r>
              <w:tab/>
            </w:r>
          </w:p>
          <w:p w:rsidR="00F967D4" w:rsidP="003F72CC" w14:paraId="5DC31789" w14:textId="206ACC92">
            <w:pPr>
              <w:pStyle w:val="ListParagraph"/>
              <w:numPr>
                <w:ilvl w:val="0"/>
                <w:numId w:val="2"/>
              </w:numPr>
              <w:rPr>
                <w:sz w:val="22"/>
                <w:szCs w:val="22"/>
              </w:rPr>
            </w:pPr>
            <w:r w:rsidRPr="5D2ACEBE">
              <w:rPr>
                <w:sz w:val="22"/>
                <w:szCs w:val="22"/>
              </w:rPr>
              <w:t>Sabrina Jawed, Manager, Commercial Space Law Team, Federal Aviation Administration</w:t>
            </w:r>
          </w:p>
          <w:p w:rsidR="005607D1" w:rsidRPr="003F72CC" w:rsidP="003F72CC" w14:paraId="3504B995" w14:textId="55DEC1F1">
            <w:pPr>
              <w:pStyle w:val="ListParagraph"/>
              <w:numPr>
                <w:ilvl w:val="0"/>
                <w:numId w:val="2"/>
              </w:numPr>
              <w:rPr>
                <w:sz w:val="22"/>
                <w:szCs w:val="22"/>
              </w:rPr>
            </w:pPr>
            <w:r w:rsidRPr="003F72CC">
              <w:rPr>
                <w:sz w:val="22"/>
                <w:szCs w:val="22"/>
              </w:rPr>
              <w:t xml:space="preserve">Stacey </w:t>
            </w:r>
            <w:r w:rsidRPr="003F72CC" w:rsidR="1EAC54AA">
              <w:rPr>
                <w:sz w:val="22"/>
                <w:szCs w:val="22"/>
              </w:rPr>
              <w:t xml:space="preserve">M. </w:t>
            </w:r>
            <w:r w:rsidRPr="003F72CC">
              <w:rPr>
                <w:sz w:val="22"/>
                <w:szCs w:val="22"/>
              </w:rPr>
              <w:t xml:space="preserve">Zee, </w:t>
            </w:r>
            <w:r w:rsidRPr="003F72CC" w:rsidR="138EB768">
              <w:rPr>
                <w:sz w:val="22"/>
                <w:szCs w:val="22"/>
              </w:rPr>
              <w:t>Manager, Operations Support Branch</w:t>
            </w:r>
            <w:r w:rsidRPr="003F72CC">
              <w:rPr>
                <w:sz w:val="22"/>
                <w:szCs w:val="22"/>
              </w:rPr>
              <w:t xml:space="preserve">, Federal Aviation Administration </w:t>
            </w:r>
          </w:p>
          <w:p w:rsidR="005607D1" w:rsidRPr="003F72CC" w:rsidP="003F72CC" w14:paraId="6C2589C6" w14:textId="7CBDDD1D">
            <w:pPr>
              <w:pStyle w:val="ListParagraph"/>
              <w:numPr>
                <w:ilvl w:val="0"/>
                <w:numId w:val="2"/>
              </w:numPr>
              <w:rPr>
                <w:sz w:val="22"/>
                <w:szCs w:val="22"/>
              </w:rPr>
            </w:pPr>
            <w:r w:rsidRPr="474C2C41">
              <w:rPr>
                <w:sz w:val="22"/>
                <w:szCs w:val="22"/>
              </w:rPr>
              <w:t xml:space="preserve">Ryan Guglietta, </w:t>
            </w:r>
            <w:r w:rsidRPr="474C2C41" w:rsidR="7E79DA83">
              <w:rPr>
                <w:sz w:val="22"/>
                <w:szCs w:val="22"/>
              </w:rPr>
              <w:t xml:space="preserve">Lead Foreign </w:t>
            </w:r>
            <w:r w:rsidRPr="474C2C41" w:rsidR="07F58DA3">
              <w:rPr>
                <w:sz w:val="22"/>
                <w:szCs w:val="22"/>
              </w:rPr>
              <w:t xml:space="preserve">Affairs </w:t>
            </w:r>
            <w:r w:rsidRPr="474C2C41" w:rsidR="7E79DA83">
              <w:rPr>
                <w:sz w:val="22"/>
                <w:szCs w:val="22"/>
              </w:rPr>
              <w:t xml:space="preserve">Officer, </w:t>
            </w:r>
            <w:r w:rsidRPr="474C2C41" w:rsidR="10B3BFE8">
              <w:rPr>
                <w:sz w:val="22"/>
                <w:szCs w:val="22"/>
              </w:rPr>
              <w:t xml:space="preserve">Office </w:t>
            </w:r>
            <w:r w:rsidRPr="474C2C41" w:rsidR="7D4528FA">
              <w:rPr>
                <w:sz w:val="22"/>
                <w:szCs w:val="22"/>
              </w:rPr>
              <w:t xml:space="preserve">of </w:t>
            </w:r>
            <w:r w:rsidRPr="474C2C41" w:rsidR="10B3BFE8">
              <w:rPr>
                <w:sz w:val="22"/>
                <w:szCs w:val="22"/>
              </w:rPr>
              <w:t xml:space="preserve">Space </w:t>
            </w:r>
            <w:r w:rsidRPr="474C2C41" w:rsidR="6B7EE7C4">
              <w:rPr>
                <w:sz w:val="22"/>
                <w:szCs w:val="22"/>
              </w:rPr>
              <w:t>Affairs</w:t>
            </w:r>
            <w:r w:rsidRPr="474C2C41" w:rsidR="10B3BFE8">
              <w:rPr>
                <w:sz w:val="22"/>
                <w:szCs w:val="22"/>
              </w:rPr>
              <w:t xml:space="preserve">, </w:t>
            </w:r>
            <w:r w:rsidRPr="474C2C41">
              <w:rPr>
                <w:sz w:val="22"/>
                <w:szCs w:val="22"/>
              </w:rPr>
              <w:t>State Department</w:t>
            </w:r>
          </w:p>
          <w:p w:rsidR="005607D1" w:rsidRPr="003F72CC" w:rsidP="003F72CC" w14:paraId="7723672A" w14:textId="4ED21575">
            <w:pPr>
              <w:pStyle w:val="ListParagraph"/>
              <w:numPr>
                <w:ilvl w:val="0"/>
                <w:numId w:val="2"/>
              </w:numPr>
              <w:rPr>
                <w:sz w:val="22"/>
                <w:szCs w:val="22"/>
              </w:rPr>
            </w:pPr>
            <w:r w:rsidRPr="003F72CC">
              <w:rPr>
                <w:sz w:val="22"/>
                <w:szCs w:val="22"/>
              </w:rPr>
              <w:t xml:space="preserve">Glenn Tallia, </w:t>
            </w:r>
            <w:r w:rsidRPr="003F72CC" w:rsidR="65060D3B">
              <w:rPr>
                <w:sz w:val="22"/>
                <w:szCs w:val="22"/>
              </w:rPr>
              <w:t xml:space="preserve">Chief, Weather, Satellites, &amp; Research Section, Office of General Counsel, </w:t>
            </w:r>
            <w:r w:rsidRPr="003F72CC" w:rsidR="2F59D4CF">
              <w:rPr>
                <w:sz w:val="22"/>
                <w:szCs w:val="22"/>
              </w:rPr>
              <w:t>National Oceanic and Atmospheric Administration</w:t>
            </w:r>
          </w:p>
          <w:p w:rsidR="005607D1" w:rsidRPr="003F72CC" w:rsidP="003F72CC" w14:paraId="2439A860" w14:textId="332A0361">
            <w:pPr>
              <w:pStyle w:val="ListParagraph"/>
              <w:numPr>
                <w:ilvl w:val="0"/>
                <w:numId w:val="2"/>
              </w:numPr>
              <w:rPr>
                <w:sz w:val="22"/>
                <w:szCs w:val="22"/>
              </w:rPr>
            </w:pPr>
            <w:r w:rsidRPr="003F72CC">
              <w:rPr>
                <w:sz w:val="22"/>
                <w:szCs w:val="22"/>
              </w:rPr>
              <w:t xml:space="preserve">Karl Kensinger, Special </w:t>
            </w:r>
            <w:r w:rsidRPr="003F72CC" w:rsidR="00F96889">
              <w:rPr>
                <w:sz w:val="22"/>
                <w:szCs w:val="22"/>
              </w:rPr>
              <w:t>Coun</w:t>
            </w:r>
            <w:r w:rsidRPr="003F72CC" w:rsidR="007F6FB7">
              <w:rPr>
                <w:sz w:val="22"/>
                <w:szCs w:val="22"/>
              </w:rPr>
              <w:t>sel</w:t>
            </w:r>
            <w:r w:rsidRPr="003F72CC">
              <w:rPr>
                <w:sz w:val="22"/>
                <w:szCs w:val="22"/>
              </w:rPr>
              <w:t xml:space="preserve">, </w:t>
            </w:r>
            <w:r w:rsidRPr="003F72CC" w:rsidR="007C2C77">
              <w:rPr>
                <w:sz w:val="22"/>
                <w:szCs w:val="22"/>
              </w:rPr>
              <w:t xml:space="preserve">Space </w:t>
            </w:r>
            <w:r w:rsidRPr="003F72CC">
              <w:rPr>
                <w:sz w:val="22"/>
                <w:szCs w:val="22"/>
              </w:rPr>
              <w:t>Bureau, Federal Communications Commission</w:t>
            </w:r>
          </w:p>
          <w:p w:rsidR="79926142" w:rsidRPr="003F72CC" w:rsidP="003F72CC" w14:paraId="2C356CE8" w14:textId="533BEA7A">
            <w:pPr>
              <w:pStyle w:val="ListParagraph"/>
              <w:numPr>
                <w:ilvl w:val="0"/>
                <w:numId w:val="2"/>
              </w:numPr>
              <w:rPr>
                <w:sz w:val="22"/>
                <w:szCs w:val="22"/>
              </w:rPr>
            </w:pPr>
            <w:r w:rsidRPr="003F72CC">
              <w:rPr>
                <w:sz w:val="22"/>
                <w:szCs w:val="22"/>
              </w:rPr>
              <w:t>Merissa Velez, Chief, Satellite Programs and Policy Division, Space Bureau, Federal Communications Commission</w:t>
            </w:r>
          </w:p>
          <w:p w:rsidR="009627ED" w:rsidRPr="005607D1" w:rsidP="006A7B61" w14:paraId="756778D7" w14:textId="77777777">
            <w:pPr>
              <w:ind w:left="705"/>
              <w:rPr>
                <w:b/>
                <w:sz w:val="22"/>
                <w:szCs w:val="22"/>
              </w:rPr>
            </w:pPr>
          </w:p>
          <w:p w:rsidR="006A7B61" w:rsidRPr="005607D1" w:rsidP="006A7B61" w14:paraId="77A3083B" w14:textId="27E98E5D">
            <w:pPr>
              <w:ind w:left="705"/>
              <w:rPr>
                <w:sz w:val="22"/>
                <w:szCs w:val="22"/>
              </w:rPr>
            </w:pPr>
            <w:r w:rsidRPr="005607D1">
              <w:rPr>
                <w:b/>
                <w:sz w:val="22"/>
                <w:szCs w:val="22"/>
              </w:rPr>
              <w:t>WHAT:</w:t>
            </w:r>
            <w:r w:rsidRPr="005607D1">
              <w:rPr>
                <w:sz w:val="22"/>
                <w:szCs w:val="22"/>
              </w:rPr>
              <w:tab/>
            </w:r>
            <w:r w:rsidRPr="005607D1" w:rsidR="009627ED">
              <w:rPr>
                <w:sz w:val="22"/>
                <w:szCs w:val="22"/>
              </w:rPr>
              <w:t>FCC Space Bureau Transparency Event:</w:t>
            </w:r>
          </w:p>
          <w:p w:rsidR="009627ED" w:rsidRPr="005607D1" w:rsidP="009627ED" w14:paraId="1FC4BEA6" w14:textId="7484B5DD">
            <w:pPr>
              <w:ind w:left="2140"/>
              <w:rPr>
                <w:sz w:val="22"/>
                <w:szCs w:val="22"/>
              </w:rPr>
            </w:pPr>
            <w:r w:rsidRPr="005607D1">
              <w:rPr>
                <w:sz w:val="22"/>
                <w:szCs w:val="22"/>
              </w:rPr>
              <w:t>‘Don’t Get Grounded: Understanding the Interagency Review of Satellites Prior to Launch’</w:t>
            </w:r>
          </w:p>
          <w:p w:rsidR="006A7B61" w:rsidRPr="009627ED" w:rsidP="006A7B61" w14:paraId="447FC927" w14:textId="77777777">
            <w:pPr>
              <w:ind w:left="705"/>
              <w:rPr>
                <w:sz w:val="22"/>
                <w:szCs w:val="22"/>
              </w:rPr>
            </w:pPr>
          </w:p>
          <w:p w:rsidR="006A7B61" w:rsidRPr="009627ED" w:rsidP="006A7B61" w14:paraId="7554B19C" w14:textId="68449470">
            <w:pPr>
              <w:ind w:left="705"/>
              <w:rPr>
                <w:sz w:val="22"/>
                <w:szCs w:val="22"/>
              </w:rPr>
            </w:pPr>
            <w:r w:rsidRPr="009627ED">
              <w:rPr>
                <w:b/>
                <w:sz w:val="22"/>
                <w:szCs w:val="22"/>
              </w:rPr>
              <w:t>WHEN:</w:t>
            </w:r>
            <w:r w:rsidRPr="009627ED">
              <w:rPr>
                <w:sz w:val="22"/>
                <w:szCs w:val="22"/>
              </w:rPr>
              <w:t xml:space="preserve"> </w:t>
            </w:r>
            <w:r w:rsidRPr="009627ED">
              <w:rPr>
                <w:sz w:val="22"/>
                <w:szCs w:val="22"/>
              </w:rPr>
              <w:tab/>
            </w:r>
            <w:r w:rsidRPr="009627ED" w:rsidR="001260FF">
              <w:rPr>
                <w:sz w:val="22"/>
                <w:szCs w:val="22"/>
              </w:rPr>
              <w:t>Thursday, May 9</w:t>
            </w:r>
            <w:r w:rsidRPr="009627ED">
              <w:rPr>
                <w:sz w:val="22"/>
                <w:szCs w:val="22"/>
              </w:rPr>
              <w:t>, 20</w:t>
            </w:r>
            <w:r w:rsidRPr="009627ED" w:rsidR="00C770E3">
              <w:rPr>
                <w:sz w:val="22"/>
                <w:szCs w:val="22"/>
              </w:rPr>
              <w:t>2</w:t>
            </w:r>
            <w:r w:rsidRPr="009627ED" w:rsidR="00562134">
              <w:rPr>
                <w:sz w:val="22"/>
                <w:szCs w:val="22"/>
              </w:rPr>
              <w:t>4</w:t>
            </w:r>
          </w:p>
          <w:p w:rsidR="006A7B61" w:rsidRPr="009627ED" w:rsidP="009627ED" w14:paraId="1124EF78" w14:textId="438BF5B2">
            <w:pPr>
              <w:ind w:left="2145"/>
              <w:rPr>
                <w:sz w:val="22"/>
                <w:szCs w:val="22"/>
              </w:rPr>
            </w:pPr>
            <w:r w:rsidRPr="009627ED">
              <w:rPr>
                <w:sz w:val="22"/>
                <w:szCs w:val="22"/>
              </w:rPr>
              <w:t>10:30 a.m. to 12:00</w:t>
            </w:r>
            <w:r w:rsidRPr="009627ED">
              <w:rPr>
                <w:sz w:val="22"/>
                <w:szCs w:val="22"/>
              </w:rPr>
              <w:t xml:space="preserve"> p.m. </w:t>
            </w:r>
            <w:r w:rsidRPr="009627ED">
              <w:rPr>
                <w:sz w:val="22"/>
                <w:szCs w:val="22"/>
              </w:rPr>
              <w:t>ET</w:t>
            </w:r>
          </w:p>
          <w:p w:rsidR="006A7B61" w:rsidRPr="009627ED" w:rsidP="006A7B61" w14:paraId="51038FC8" w14:textId="77777777">
            <w:pPr>
              <w:ind w:left="705"/>
              <w:rPr>
                <w:sz w:val="22"/>
                <w:szCs w:val="22"/>
              </w:rPr>
            </w:pPr>
          </w:p>
          <w:p w:rsidR="006A7B61" w:rsidRPr="009627ED" w:rsidP="00FC5522" w14:paraId="11402B10" w14:textId="17E1AE34">
            <w:pPr>
              <w:ind w:left="705"/>
              <w:rPr>
                <w:sz w:val="22"/>
                <w:szCs w:val="22"/>
              </w:rPr>
            </w:pPr>
            <w:r w:rsidRPr="009627ED">
              <w:rPr>
                <w:b/>
                <w:sz w:val="22"/>
                <w:szCs w:val="22"/>
              </w:rPr>
              <w:t>WHERE:</w:t>
            </w:r>
            <w:r w:rsidRPr="009627ED">
              <w:rPr>
                <w:sz w:val="22"/>
                <w:szCs w:val="22"/>
              </w:rPr>
              <w:t xml:space="preserve"> </w:t>
            </w:r>
            <w:r w:rsidRPr="009627ED">
              <w:rPr>
                <w:sz w:val="22"/>
                <w:szCs w:val="22"/>
              </w:rPr>
              <w:tab/>
            </w:r>
            <w:r w:rsidRPr="009627ED" w:rsidR="00FC5522">
              <w:rPr>
                <w:sz w:val="22"/>
                <w:szCs w:val="22"/>
              </w:rPr>
              <w:t>Federal Communications Commission</w:t>
            </w:r>
          </w:p>
          <w:p w:rsidR="001260FF" w:rsidRPr="009627ED" w:rsidP="001260FF" w14:paraId="3C950843" w14:textId="736D5743">
            <w:pPr>
              <w:ind w:left="2140"/>
              <w:rPr>
                <w:bCs/>
                <w:sz w:val="22"/>
                <w:szCs w:val="22"/>
              </w:rPr>
            </w:pPr>
            <w:r w:rsidRPr="009627ED">
              <w:rPr>
                <w:bCs/>
                <w:sz w:val="22"/>
                <w:szCs w:val="22"/>
              </w:rPr>
              <w:t>45 L Street, NE</w:t>
            </w:r>
          </w:p>
          <w:p w:rsidR="00FC5522" w:rsidRPr="003E6BAC" w:rsidP="003E6BAC" w14:paraId="2E5AEFA1" w14:textId="3CE1BDD6">
            <w:pPr>
              <w:ind w:left="2140"/>
              <w:rPr>
                <w:bCs/>
                <w:sz w:val="22"/>
                <w:szCs w:val="22"/>
              </w:rPr>
            </w:pPr>
            <w:r w:rsidRPr="009627ED">
              <w:rPr>
                <w:bCs/>
                <w:sz w:val="22"/>
                <w:szCs w:val="22"/>
              </w:rPr>
              <w:t>Washington, DC  20554</w:t>
            </w:r>
          </w:p>
          <w:p w:rsidR="006A7B61" w:rsidRPr="009627ED" w:rsidP="006A7B61" w14:paraId="65C0B1EB" w14:textId="77777777">
            <w:pPr>
              <w:ind w:left="705"/>
              <w:rPr>
                <w:sz w:val="22"/>
                <w:szCs w:val="22"/>
              </w:rPr>
            </w:pPr>
          </w:p>
          <w:p w:rsidR="006A7B61" w:rsidRPr="006A7B61" w:rsidP="006A7B61" w14:paraId="2C766B8D" w14:textId="603DE169">
            <w:pPr>
              <w:ind w:left="705"/>
              <w:rPr>
                <w:b/>
                <w:sz w:val="22"/>
                <w:szCs w:val="22"/>
              </w:rPr>
            </w:pPr>
            <w:r w:rsidRPr="009627ED">
              <w:rPr>
                <w:b/>
                <w:sz w:val="22"/>
                <w:szCs w:val="22"/>
              </w:rPr>
              <w:t>LIVESTREAM:</w:t>
            </w:r>
            <w:r w:rsidR="00FC5522">
              <w:rPr>
                <w:b/>
                <w:sz w:val="22"/>
                <w:szCs w:val="22"/>
              </w:rPr>
              <w:t xml:space="preserve"> </w:t>
            </w:r>
            <w:hyperlink r:id="rId6" w:history="1">
              <w:r w:rsidRPr="00B72D3A" w:rsidR="00FC5522">
                <w:rPr>
                  <w:rStyle w:val="Hyperlink"/>
                  <w:b/>
                  <w:sz w:val="22"/>
                  <w:szCs w:val="22"/>
                </w:rPr>
                <w:t>www.fcc.gov/live</w:t>
              </w:r>
            </w:hyperlink>
            <w:r w:rsidR="00FC5522">
              <w:rPr>
                <w:b/>
                <w:sz w:val="22"/>
                <w:szCs w:val="22"/>
              </w:rPr>
              <w:t xml:space="preserve"> </w:t>
            </w:r>
          </w:p>
          <w:p w:rsidR="006A7B61" w:rsidRPr="000760AD" w:rsidP="00A2631C" w14:paraId="5608B845" w14:textId="77777777">
            <w:pPr>
              <w:rPr>
                <w:sz w:val="22"/>
                <w:szCs w:val="22"/>
              </w:rPr>
            </w:pPr>
          </w:p>
          <w:p w:rsidR="00607567" w:rsidP="00FC5522" w14:paraId="6F672062" w14:textId="32799CFF">
            <w:pPr>
              <w:rPr>
                <w:sz w:val="22"/>
                <w:szCs w:val="22"/>
              </w:rPr>
            </w:pPr>
            <w:r w:rsidRPr="00171043">
              <w:rPr>
                <w:sz w:val="22"/>
                <w:szCs w:val="22"/>
              </w:rPr>
              <w:t xml:space="preserve">Register for the event </w:t>
            </w:r>
            <w:hyperlink r:id="rId7" w:history="1">
              <w:r w:rsidRPr="00171043">
                <w:rPr>
                  <w:rStyle w:val="Hyperlink"/>
                  <w:sz w:val="22"/>
                  <w:szCs w:val="22"/>
                </w:rPr>
                <w:t>here</w:t>
              </w:r>
            </w:hyperlink>
            <w:r>
              <w:rPr>
                <w:sz w:val="22"/>
                <w:szCs w:val="22"/>
              </w:rPr>
              <w:t>.</w:t>
            </w:r>
          </w:p>
          <w:p w:rsidR="00607567" w:rsidRPr="00607567" w:rsidP="00607567" w14:paraId="2EEC3CE3" w14:textId="77777777">
            <w:pPr>
              <w:rPr>
                <w:sz w:val="22"/>
                <w:szCs w:val="22"/>
              </w:rPr>
            </w:pPr>
          </w:p>
          <w:p w:rsidR="00607567" w:rsidRPr="00171043" w:rsidP="00607567" w14:paraId="08A75C36" w14:textId="37E8ABCE">
            <w:pPr>
              <w:rPr>
                <w:sz w:val="22"/>
                <w:szCs w:val="22"/>
              </w:rPr>
            </w:pPr>
            <w:r w:rsidRPr="00607567">
              <w:rPr>
                <w:sz w:val="22"/>
                <w:szCs w:val="22"/>
              </w:rPr>
              <w:t>Note: Please leave time to go through FCC security.</w:t>
            </w:r>
          </w:p>
          <w:p w:rsidR="006A7B61" w:rsidRPr="002E165B" w:rsidP="002E165B" w14:paraId="789ECE25" w14:textId="77777777">
            <w:pPr>
              <w:rPr>
                <w:sz w:val="22"/>
                <w:szCs w:val="22"/>
              </w:rPr>
            </w:pPr>
          </w:p>
          <w:p w:rsidR="004F0F1F" w:rsidRPr="007475A1" w:rsidP="00850E26" w14:paraId="7F575C65" w14:textId="77777777">
            <w:pPr>
              <w:ind w:right="72"/>
              <w:jc w:val="center"/>
              <w:rPr>
                <w:sz w:val="22"/>
                <w:szCs w:val="22"/>
              </w:rPr>
            </w:pPr>
            <w:r w:rsidRPr="007475A1">
              <w:rPr>
                <w:sz w:val="22"/>
                <w:szCs w:val="22"/>
              </w:rPr>
              <w:t>###</w:t>
            </w:r>
          </w:p>
          <w:p w:rsidR="00CC5E08" w:rsidRPr="0080486B" w:rsidP="00850E26" w14:paraId="558091BD"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4063F406" w14:textId="77777777">
            <w:pPr>
              <w:ind w:right="72"/>
              <w:jc w:val="center"/>
              <w:rPr>
                <w:b/>
                <w:bCs/>
                <w:sz w:val="18"/>
                <w:szCs w:val="18"/>
              </w:rPr>
            </w:pPr>
          </w:p>
          <w:p w:rsidR="00EE0E90" w:rsidRPr="00EF729B" w:rsidP="00850E26" w14:paraId="55956764"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r w14:paraId="559BCD02" w14:textId="77777777" w:rsidTr="474C2C41">
        <w:tblPrEx>
          <w:tblW w:w="8850" w:type="dxa"/>
          <w:tblLook w:val="0000"/>
        </w:tblPrEx>
        <w:trPr>
          <w:trHeight w:val="2181"/>
        </w:trPr>
        <w:tc>
          <w:tcPr>
            <w:tcW w:w="8850" w:type="dxa"/>
          </w:tcPr>
          <w:p w:rsidR="00AB369A" w:rsidP="006A7D75" w14:paraId="5E3C97E3" w14:textId="77777777">
            <w:pPr>
              <w:jc w:val="center"/>
              <w:rPr>
                <w:b/>
                <w:i/>
                <w:noProof/>
                <w:sz w:val="28"/>
                <w:szCs w:val="28"/>
              </w:rPr>
            </w:pPr>
          </w:p>
        </w:tc>
      </w:tr>
    </w:tbl>
    <w:p w:rsidR="00D24C3D" w:rsidRPr="007528A5" w14:paraId="6E1362E1" w14:textId="77777777">
      <w:pPr>
        <w:rPr>
          <w:b/>
          <w:bCs/>
          <w:sz w:val="2"/>
          <w:szCs w:val="2"/>
        </w:rPr>
      </w:pPr>
    </w:p>
    <w:sectPr w:rsidSect="00F22E40">
      <w:pgSz w:w="12240" w:h="15840"/>
      <w:pgMar w:top="90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BFE7D4C"/>
    <w:multiLevelType w:val="hybridMultilevel"/>
    <w:tmpl w:val="DD209FD6"/>
    <w:lvl w:ilvl="0">
      <w:start w:val="0"/>
      <w:numFmt w:val="bullet"/>
      <w:lvlText w:val="-"/>
      <w:lvlJc w:val="left"/>
      <w:pPr>
        <w:ind w:left="2500" w:hanging="360"/>
      </w:pPr>
      <w:rPr>
        <w:rFonts w:ascii="Times New Roman" w:eastAsia="Times New Roman" w:hAnsi="Times New Roman" w:cs="Times New Roman" w:hint="default"/>
      </w:rPr>
    </w:lvl>
    <w:lvl w:ilvl="1" w:tentative="1">
      <w:start w:val="1"/>
      <w:numFmt w:val="bullet"/>
      <w:lvlText w:val="o"/>
      <w:lvlJc w:val="left"/>
      <w:pPr>
        <w:ind w:left="3220" w:hanging="360"/>
      </w:pPr>
      <w:rPr>
        <w:rFonts w:ascii="Courier New" w:hAnsi="Courier New" w:cs="Courier New" w:hint="default"/>
      </w:rPr>
    </w:lvl>
    <w:lvl w:ilvl="2" w:tentative="1">
      <w:start w:val="1"/>
      <w:numFmt w:val="bullet"/>
      <w:lvlText w:val=""/>
      <w:lvlJc w:val="left"/>
      <w:pPr>
        <w:ind w:left="3940" w:hanging="360"/>
      </w:pPr>
      <w:rPr>
        <w:rFonts w:ascii="Wingdings" w:hAnsi="Wingdings" w:hint="default"/>
      </w:rPr>
    </w:lvl>
    <w:lvl w:ilvl="3" w:tentative="1">
      <w:start w:val="1"/>
      <w:numFmt w:val="bullet"/>
      <w:lvlText w:val=""/>
      <w:lvlJc w:val="left"/>
      <w:pPr>
        <w:ind w:left="4660" w:hanging="360"/>
      </w:pPr>
      <w:rPr>
        <w:rFonts w:ascii="Symbol" w:hAnsi="Symbol" w:hint="default"/>
      </w:rPr>
    </w:lvl>
    <w:lvl w:ilvl="4" w:tentative="1">
      <w:start w:val="1"/>
      <w:numFmt w:val="bullet"/>
      <w:lvlText w:val="o"/>
      <w:lvlJc w:val="left"/>
      <w:pPr>
        <w:ind w:left="5380" w:hanging="360"/>
      </w:pPr>
      <w:rPr>
        <w:rFonts w:ascii="Courier New" w:hAnsi="Courier New" w:cs="Courier New" w:hint="default"/>
      </w:rPr>
    </w:lvl>
    <w:lvl w:ilvl="5" w:tentative="1">
      <w:start w:val="1"/>
      <w:numFmt w:val="bullet"/>
      <w:lvlText w:val=""/>
      <w:lvlJc w:val="left"/>
      <w:pPr>
        <w:ind w:left="6100" w:hanging="360"/>
      </w:pPr>
      <w:rPr>
        <w:rFonts w:ascii="Wingdings" w:hAnsi="Wingdings" w:hint="default"/>
      </w:rPr>
    </w:lvl>
    <w:lvl w:ilvl="6" w:tentative="1">
      <w:start w:val="1"/>
      <w:numFmt w:val="bullet"/>
      <w:lvlText w:val=""/>
      <w:lvlJc w:val="left"/>
      <w:pPr>
        <w:ind w:left="6820" w:hanging="360"/>
      </w:pPr>
      <w:rPr>
        <w:rFonts w:ascii="Symbol" w:hAnsi="Symbol" w:hint="default"/>
      </w:rPr>
    </w:lvl>
    <w:lvl w:ilvl="7" w:tentative="1">
      <w:start w:val="1"/>
      <w:numFmt w:val="bullet"/>
      <w:lvlText w:val="o"/>
      <w:lvlJc w:val="left"/>
      <w:pPr>
        <w:ind w:left="7540" w:hanging="360"/>
      </w:pPr>
      <w:rPr>
        <w:rFonts w:ascii="Courier New" w:hAnsi="Courier New" w:cs="Courier New" w:hint="default"/>
      </w:rPr>
    </w:lvl>
    <w:lvl w:ilvl="8" w:tentative="1">
      <w:start w:val="1"/>
      <w:numFmt w:val="bullet"/>
      <w:lvlText w:val=""/>
      <w:lvlJc w:val="left"/>
      <w:pPr>
        <w:ind w:left="8260" w:hanging="360"/>
      </w:pPr>
      <w:rPr>
        <w:rFonts w:ascii="Wingdings" w:hAnsi="Wingdings" w:hint="default"/>
      </w:rPr>
    </w:lvl>
  </w:abstractNum>
  <w:abstractNum w:abstractNumId="1">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8CD"/>
    <w:rsid w:val="0002500C"/>
    <w:rsid w:val="000311FC"/>
    <w:rsid w:val="00040127"/>
    <w:rsid w:val="00065E2D"/>
    <w:rsid w:val="000760AD"/>
    <w:rsid w:val="00077037"/>
    <w:rsid w:val="00080616"/>
    <w:rsid w:val="00081232"/>
    <w:rsid w:val="00091E65"/>
    <w:rsid w:val="00096D4A"/>
    <w:rsid w:val="000A38EA"/>
    <w:rsid w:val="000A4C4D"/>
    <w:rsid w:val="000C1E47"/>
    <w:rsid w:val="000C26F3"/>
    <w:rsid w:val="000C6EE7"/>
    <w:rsid w:val="000D58DB"/>
    <w:rsid w:val="000E049E"/>
    <w:rsid w:val="000E4924"/>
    <w:rsid w:val="0010799B"/>
    <w:rsid w:val="00116F26"/>
    <w:rsid w:val="00117DB2"/>
    <w:rsid w:val="00123ED2"/>
    <w:rsid w:val="00125BE0"/>
    <w:rsid w:val="001260FF"/>
    <w:rsid w:val="00142C13"/>
    <w:rsid w:val="00152776"/>
    <w:rsid w:val="00153222"/>
    <w:rsid w:val="001577D3"/>
    <w:rsid w:val="00171043"/>
    <w:rsid w:val="001733A6"/>
    <w:rsid w:val="001865A9"/>
    <w:rsid w:val="00187DB2"/>
    <w:rsid w:val="00190F33"/>
    <w:rsid w:val="001B20BB"/>
    <w:rsid w:val="001C4370"/>
    <w:rsid w:val="001D3779"/>
    <w:rsid w:val="001D591A"/>
    <w:rsid w:val="001F0469"/>
    <w:rsid w:val="001F086B"/>
    <w:rsid w:val="00203A98"/>
    <w:rsid w:val="00206EDD"/>
    <w:rsid w:val="0021247E"/>
    <w:rsid w:val="002146F6"/>
    <w:rsid w:val="00226C1E"/>
    <w:rsid w:val="00231C32"/>
    <w:rsid w:val="00240345"/>
    <w:rsid w:val="002421F0"/>
    <w:rsid w:val="00247274"/>
    <w:rsid w:val="0026028E"/>
    <w:rsid w:val="00266966"/>
    <w:rsid w:val="00285C36"/>
    <w:rsid w:val="00294C0C"/>
    <w:rsid w:val="002A0934"/>
    <w:rsid w:val="002B1013"/>
    <w:rsid w:val="002D03E5"/>
    <w:rsid w:val="002E165B"/>
    <w:rsid w:val="002E3F1D"/>
    <w:rsid w:val="002F31D0"/>
    <w:rsid w:val="00300359"/>
    <w:rsid w:val="0031773E"/>
    <w:rsid w:val="00323C17"/>
    <w:rsid w:val="00333871"/>
    <w:rsid w:val="00347716"/>
    <w:rsid w:val="003506E1"/>
    <w:rsid w:val="00350D0A"/>
    <w:rsid w:val="003727E3"/>
    <w:rsid w:val="00385A93"/>
    <w:rsid w:val="003910F1"/>
    <w:rsid w:val="003A048D"/>
    <w:rsid w:val="003E42FC"/>
    <w:rsid w:val="003E5991"/>
    <w:rsid w:val="003E6BAC"/>
    <w:rsid w:val="003F344A"/>
    <w:rsid w:val="003F72CC"/>
    <w:rsid w:val="00403FF0"/>
    <w:rsid w:val="0042046D"/>
    <w:rsid w:val="0042116E"/>
    <w:rsid w:val="00425AEF"/>
    <w:rsid w:val="00426518"/>
    <w:rsid w:val="00427B06"/>
    <w:rsid w:val="00441F59"/>
    <w:rsid w:val="00444E07"/>
    <w:rsid w:val="00444FA9"/>
    <w:rsid w:val="00473E9C"/>
    <w:rsid w:val="00480099"/>
    <w:rsid w:val="004941A2"/>
    <w:rsid w:val="00497858"/>
    <w:rsid w:val="004A729A"/>
    <w:rsid w:val="004B4FEA"/>
    <w:rsid w:val="004C0ADA"/>
    <w:rsid w:val="004C433E"/>
    <w:rsid w:val="004C4512"/>
    <w:rsid w:val="004C4F36"/>
    <w:rsid w:val="004D2804"/>
    <w:rsid w:val="004D3D85"/>
    <w:rsid w:val="004E2BD8"/>
    <w:rsid w:val="004F0F1F"/>
    <w:rsid w:val="004F5223"/>
    <w:rsid w:val="005022AA"/>
    <w:rsid w:val="00504845"/>
    <w:rsid w:val="0050757F"/>
    <w:rsid w:val="00516AD2"/>
    <w:rsid w:val="00516F27"/>
    <w:rsid w:val="005439EF"/>
    <w:rsid w:val="00543E9E"/>
    <w:rsid w:val="00545DAE"/>
    <w:rsid w:val="005607D1"/>
    <w:rsid w:val="00562134"/>
    <w:rsid w:val="005670D7"/>
    <w:rsid w:val="00571B83"/>
    <w:rsid w:val="00575A00"/>
    <w:rsid w:val="00586417"/>
    <w:rsid w:val="0058673C"/>
    <w:rsid w:val="005A7972"/>
    <w:rsid w:val="005B17E7"/>
    <w:rsid w:val="005B2643"/>
    <w:rsid w:val="005C61EC"/>
    <w:rsid w:val="005D17FD"/>
    <w:rsid w:val="005D2ECF"/>
    <w:rsid w:val="005F0D55"/>
    <w:rsid w:val="005F183E"/>
    <w:rsid w:val="00600DDA"/>
    <w:rsid w:val="00603A30"/>
    <w:rsid w:val="00604211"/>
    <w:rsid w:val="00607567"/>
    <w:rsid w:val="00613498"/>
    <w:rsid w:val="00617B94"/>
    <w:rsid w:val="00620BED"/>
    <w:rsid w:val="00634064"/>
    <w:rsid w:val="006415B4"/>
    <w:rsid w:val="00644E3D"/>
    <w:rsid w:val="00651B9E"/>
    <w:rsid w:val="00652019"/>
    <w:rsid w:val="00654DC9"/>
    <w:rsid w:val="00657EC9"/>
    <w:rsid w:val="00665633"/>
    <w:rsid w:val="00674C86"/>
    <w:rsid w:val="0068015E"/>
    <w:rsid w:val="006861AB"/>
    <w:rsid w:val="00686B89"/>
    <w:rsid w:val="0069420F"/>
    <w:rsid w:val="006A2FC5"/>
    <w:rsid w:val="006A611B"/>
    <w:rsid w:val="006A7B61"/>
    <w:rsid w:val="006A7D75"/>
    <w:rsid w:val="006B0A70"/>
    <w:rsid w:val="006B606A"/>
    <w:rsid w:val="006C33AF"/>
    <w:rsid w:val="006C4BF5"/>
    <w:rsid w:val="006D5D22"/>
    <w:rsid w:val="006E0324"/>
    <w:rsid w:val="006E4A76"/>
    <w:rsid w:val="006F1DBD"/>
    <w:rsid w:val="00700556"/>
    <w:rsid w:val="0070589A"/>
    <w:rsid w:val="007167DD"/>
    <w:rsid w:val="0072478B"/>
    <w:rsid w:val="0073414D"/>
    <w:rsid w:val="007475A1"/>
    <w:rsid w:val="0075235E"/>
    <w:rsid w:val="007528A5"/>
    <w:rsid w:val="007732CC"/>
    <w:rsid w:val="00774079"/>
    <w:rsid w:val="0077752B"/>
    <w:rsid w:val="00787EFB"/>
    <w:rsid w:val="00793D6F"/>
    <w:rsid w:val="00794090"/>
    <w:rsid w:val="007A1360"/>
    <w:rsid w:val="007A44F8"/>
    <w:rsid w:val="007C2C77"/>
    <w:rsid w:val="007D21BF"/>
    <w:rsid w:val="007F3C12"/>
    <w:rsid w:val="007F5205"/>
    <w:rsid w:val="007F6FB7"/>
    <w:rsid w:val="0080486B"/>
    <w:rsid w:val="008215E7"/>
    <w:rsid w:val="00827B82"/>
    <w:rsid w:val="00830FC6"/>
    <w:rsid w:val="00850E26"/>
    <w:rsid w:val="00865EAA"/>
    <w:rsid w:val="00866F06"/>
    <w:rsid w:val="00867892"/>
    <w:rsid w:val="008728F5"/>
    <w:rsid w:val="00874A05"/>
    <w:rsid w:val="008824C2"/>
    <w:rsid w:val="008960E4"/>
    <w:rsid w:val="008A3940"/>
    <w:rsid w:val="008B13C9"/>
    <w:rsid w:val="008C248C"/>
    <w:rsid w:val="008C5432"/>
    <w:rsid w:val="008C7BF1"/>
    <w:rsid w:val="008D00D6"/>
    <w:rsid w:val="008D4D00"/>
    <w:rsid w:val="008D4E5E"/>
    <w:rsid w:val="008D7ABD"/>
    <w:rsid w:val="008E33F4"/>
    <w:rsid w:val="008E5298"/>
    <w:rsid w:val="008E55A2"/>
    <w:rsid w:val="008F1609"/>
    <w:rsid w:val="008F78D8"/>
    <w:rsid w:val="009058AA"/>
    <w:rsid w:val="0093373C"/>
    <w:rsid w:val="009614F4"/>
    <w:rsid w:val="00961620"/>
    <w:rsid w:val="009627ED"/>
    <w:rsid w:val="00963605"/>
    <w:rsid w:val="009734B6"/>
    <w:rsid w:val="0098096F"/>
    <w:rsid w:val="0098437A"/>
    <w:rsid w:val="00986C92"/>
    <w:rsid w:val="00993C47"/>
    <w:rsid w:val="009972BC"/>
    <w:rsid w:val="009A5A06"/>
    <w:rsid w:val="009B4B16"/>
    <w:rsid w:val="009E54A1"/>
    <w:rsid w:val="009F4E25"/>
    <w:rsid w:val="009F5B1F"/>
    <w:rsid w:val="00A225A9"/>
    <w:rsid w:val="00A230A6"/>
    <w:rsid w:val="00A2631C"/>
    <w:rsid w:val="00A3308E"/>
    <w:rsid w:val="00A35DFD"/>
    <w:rsid w:val="00A41931"/>
    <w:rsid w:val="00A702DF"/>
    <w:rsid w:val="00A74356"/>
    <w:rsid w:val="00A775A3"/>
    <w:rsid w:val="00A81700"/>
    <w:rsid w:val="00A81B5B"/>
    <w:rsid w:val="00A82FAD"/>
    <w:rsid w:val="00A9673A"/>
    <w:rsid w:val="00A96EF2"/>
    <w:rsid w:val="00AA5C35"/>
    <w:rsid w:val="00AA5ED9"/>
    <w:rsid w:val="00AB369A"/>
    <w:rsid w:val="00AC0A38"/>
    <w:rsid w:val="00AC4E0E"/>
    <w:rsid w:val="00AC517B"/>
    <w:rsid w:val="00AD0D19"/>
    <w:rsid w:val="00AD4184"/>
    <w:rsid w:val="00AD4DBF"/>
    <w:rsid w:val="00AF0095"/>
    <w:rsid w:val="00AF051B"/>
    <w:rsid w:val="00AF1219"/>
    <w:rsid w:val="00B037A2"/>
    <w:rsid w:val="00B31870"/>
    <w:rsid w:val="00B320B8"/>
    <w:rsid w:val="00B35EE2"/>
    <w:rsid w:val="00B36DEF"/>
    <w:rsid w:val="00B57131"/>
    <w:rsid w:val="00B62F2C"/>
    <w:rsid w:val="00B727C9"/>
    <w:rsid w:val="00B72D3A"/>
    <w:rsid w:val="00B735C8"/>
    <w:rsid w:val="00B76A63"/>
    <w:rsid w:val="00BA5ED0"/>
    <w:rsid w:val="00BA6350"/>
    <w:rsid w:val="00BB4E29"/>
    <w:rsid w:val="00BB74C9"/>
    <w:rsid w:val="00BC3AB6"/>
    <w:rsid w:val="00BD19E8"/>
    <w:rsid w:val="00BD4273"/>
    <w:rsid w:val="00BD68CD"/>
    <w:rsid w:val="00C31ED8"/>
    <w:rsid w:val="00C34816"/>
    <w:rsid w:val="00C432E4"/>
    <w:rsid w:val="00C5035C"/>
    <w:rsid w:val="00C70C26"/>
    <w:rsid w:val="00C72001"/>
    <w:rsid w:val="00C770E3"/>
    <w:rsid w:val="00C772B7"/>
    <w:rsid w:val="00C80347"/>
    <w:rsid w:val="00CB24D2"/>
    <w:rsid w:val="00CB7C1A"/>
    <w:rsid w:val="00CC5E08"/>
    <w:rsid w:val="00CE14FD"/>
    <w:rsid w:val="00CF2A8D"/>
    <w:rsid w:val="00CF6860"/>
    <w:rsid w:val="00D02AC6"/>
    <w:rsid w:val="00D03F0C"/>
    <w:rsid w:val="00D04312"/>
    <w:rsid w:val="00D0605F"/>
    <w:rsid w:val="00D16A7F"/>
    <w:rsid w:val="00D16AD2"/>
    <w:rsid w:val="00D22596"/>
    <w:rsid w:val="00D22691"/>
    <w:rsid w:val="00D24C3D"/>
    <w:rsid w:val="00D46CB1"/>
    <w:rsid w:val="00D63047"/>
    <w:rsid w:val="00D723F0"/>
    <w:rsid w:val="00D8133F"/>
    <w:rsid w:val="00D861EE"/>
    <w:rsid w:val="00D874BF"/>
    <w:rsid w:val="00D95B05"/>
    <w:rsid w:val="00D97E2D"/>
    <w:rsid w:val="00DA103D"/>
    <w:rsid w:val="00DA45D3"/>
    <w:rsid w:val="00DA4772"/>
    <w:rsid w:val="00DA7AFD"/>
    <w:rsid w:val="00DA7B44"/>
    <w:rsid w:val="00DB2667"/>
    <w:rsid w:val="00DB67B7"/>
    <w:rsid w:val="00DC15A9"/>
    <w:rsid w:val="00DC40AA"/>
    <w:rsid w:val="00DD1750"/>
    <w:rsid w:val="00DF35A2"/>
    <w:rsid w:val="00E238CD"/>
    <w:rsid w:val="00E32CF9"/>
    <w:rsid w:val="00E349AA"/>
    <w:rsid w:val="00E41390"/>
    <w:rsid w:val="00E41CA0"/>
    <w:rsid w:val="00E4366B"/>
    <w:rsid w:val="00E505A2"/>
    <w:rsid w:val="00E50A4A"/>
    <w:rsid w:val="00E606DE"/>
    <w:rsid w:val="00E644FE"/>
    <w:rsid w:val="00E72733"/>
    <w:rsid w:val="00E742FA"/>
    <w:rsid w:val="00E76816"/>
    <w:rsid w:val="00E83DBF"/>
    <w:rsid w:val="00E87C13"/>
    <w:rsid w:val="00E94CD9"/>
    <w:rsid w:val="00EA1A76"/>
    <w:rsid w:val="00EA290B"/>
    <w:rsid w:val="00EE0E90"/>
    <w:rsid w:val="00EF3BCA"/>
    <w:rsid w:val="00EF729B"/>
    <w:rsid w:val="00F01B0D"/>
    <w:rsid w:val="00F01EF4"/>
    <w:rsid w:val="00F1238F"/>
    <w:rsid w:val="00F16485"/>
    <w:rsid w:val="00F20D79"/>
    <w:rsid w:val="00F228ED"/>
    <w:rsid w:val="00F22E40"/>
    <w:rsid w:val="00F265E0"/>
    <w:rsid w:val="00F26E31"/>
    <w:rsid w:val="00F27C6C"/>
    <w:rsid w:val="00F32F97"/>
    <w:rsid w:val="00F3302B"/>
    <w:rsid w:val="00F34A8D"/>
    <w:rsid w:val="00F3581E"/>
    <w:rsid w:val="00F50D25"/>
    <w:rsid w:val="00F5167A"/>
    <w:rsid w:val="00F535D8"/>
    <w:rsid w:val="00F60BDE"/>
    <w:rsid w:val="00F61155"/>
    <w:rsid w:val="00F708E3"/>
    <w:rsid w:val="00F76561"/>
    <w:rsid w:val="00F84736"/>
    <w:rsid w:val="00F967D4"/>
    <w:rsid w:val="00F96889"/>
    <w:rsid w:val="00FB1C76"/>
    <w:rsid w:val="00FC0473"/>
    <w:rsid w:val="00FC4489"/>
    <w:rsid w:val="00FC5522"/>
    <w:rsid w:val="00FC6C29"/>
    <w:rsid w:val="00FD58E0"/>
    <w:rsid w:val="00FD71AE"/>
    <w:rsid w:val="00FE0198"/>
    <w:rsid w:val="00FE3A7C"/>
    <w:rsid w:val="00FF1C0B"/>
    <w:rsid w:val="00FF232D"/>
    <w:rsid w:val="00FF7F9B"/>
    <w:rsid w:val="055087C5"/>
    <w:rsid w:val="0702889E"/>
    <w:rsid w:val="07F58DA3"/>
    <w:rsid w:val="0806BD62"/>
    <w:rsid w:val="0BA31262"/>
    <w:rsid w:val="0DC93BFB"/>
    <w:rsid w:val="0F358C8D"/>
    <w:rsid w:val="10B3BFE8"/>
    <w:rsid w:val="1375C2E1"/>
    <w:rsid w:val="138EB768"/>
    <w:rsid w:val="13CB85E6"/>
    <w:rsid w:val="1420FD19"/>
    <w:rsid w:val="157CF86C"/>
    <w:rsid w:val="1940424B"/>
    <w:rsid w:val="1AC1D8AE"/>
    <w:rsid w:val="1B67D35D"/>
    <w:rsid w:val="1C961B96"/>
    <w:rsid w:val="1CE1492B"/>
    <w:rsid w:val="1EAC54AA"/>
    <w:rsid w:val="20A42326"/>
    <w:rsid w:val="23FAC95F"/>
    <w:rsid w:val="24C761CF"/>
    <w:rsid w:val="26EA090A"/>
    <w:rsid w:val="29B8275F"/>
    <w:rsid w:val="2A6A0AE3"/>
    <w:rsid w:val="2BE0796E"/>
    <w:rsid w:val="2E956E98"/>
    <w:rsid w:val="2F59D4CF"/>
    <w:rsid w:val="30033CAC"/>
    <w:rsid w:val="3328103D"/>
    <w:rsid w:val="340A4AA3"/>
    <w:rsid w:val="3480CDAF"/>
    <w:rsid w:val="37ABB5ED"/>
    <w:rsid w:val="39263DBB"/>
    <w:rsid w:val="3E900A78"/>
    <w:rsid w:val="3EA7D81B"/>
    <w:rsid w:val="3F5F0275"/>
    <w:rsid w:val="40450C2F"/>
    <w:rsid w:val="42CC34DE"/>
    <w:rsid w:val="44BA52D9"/>
    <w:rsid w:val="463EE23C"/>
    <w:rsid w:val="474C2C41"/>
    <w:rsid w:val="4D14AAF4"/>
    <w:rsid w:val="4FC86E94"/>
    <w:rsid w:val="52EE6B0D"/>
    <w:rsid w:val="5383EC78"/>
    <w:rsid w:val="538E622D"/>
    <w:rsid w:val="55F03958"/>
    <w:rsid w:val="583A9378"/>
    <w:rsid w:val="58A20824"/>
    <w:rsid w:val="594C9CF8"/>
    <w:rsid w:val="59825267"/>
    <w:rsid w:val="59C598E7"/>
    <w:rsid w:val="59F32DFC"/>
    <w:rsid w:val="5AC5DB0C"/>
    <w:rsid w:val="5B8EFE5D"/>
    <w:rsid w:val="5C426E70"/>
    <w:rsid w:val="5D2ACEBE"/>
    <w:rsid w:val="61A93B05"/>
    <w:rsid w:val="62D9CD52"/>
    <w:rsid w:val="6331194C"/>
    <w:rsid w:val="65060D3B"/>
    <w:rsid w:val="652FA95B"/>
    <w:rsid w:val="67532B67"/>
    <w:rsid w:val="687427F2"/>
    <w:rsid w:val="6AB7EF14"/>
    <w:rsid w:val="6B7EE7C4"/>
    <w:rsid w:val="6D1553C1"/>
    <w:rsid w:val="6DBB55A8"/>
    <w:rsid w:val="6E1B8D1E"/>
    <w:rsid w:val="6F998E1E"/>
    <w:rsid w:val="718C4AC9"/>
    <w:rsid w:val="7247C62A"/>
    <w:rsid w:val="7471A645"/>
    <w:rsid w:val="748A861F"/>
    <w:rsid w:val="7602E304"/>
    <w:rsid w:val="76BD719A"/>
    <w:rsid w:val="79926142"/>
    <w:rsid w:val="7C33BBC3"/>
    <w:rsid w:val="7CAC4CD1"/>
    <w:rsid w:val="7D4528FA"/>
    <w:rsid w:val="7E79DA83"/>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ocId w14:val="35170EBC"/>
  <w15:docId w15:val="{EAAD2D0B-761B-4760-AD2C-6AC6BA553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A2631C"/>
    <w:rPr>
      <w:rFonts w:ascii="Segoe UI" w:hAnsi="Segoe UI" w:cs="Segoe UI"/>
      <w:sz w:val="18"/>
      <w:szCs w:val="18"/>
    </w:rPr>
  </w:style>
  <w:style w:type="character" w:customStyle="1" w:styleId="BalloonTextChar">
    <w:name w:val="Balloon Text Char"/>
    <w:basedOn w:val="DefaultParagraphFont"/>
    <w:link w:val="BalloonText"/>
    <w:semiHidden/>
    <w:rsid w:val="00A2631C"/>
    <w:rPr>
      <w:rFonts w:ascii="Segoe UI" w:hAnsi="Segoe UI" w:cs="Segoe UI"/>
      <w:sz w:val="18"/>
      <w:szCs w:val="18"/>
    </w:rPr>
  </w:style>
  <w:style w:type="paragraph" w:styleId="Revision">
    <w:name w:val="Revision"/>
    <w:hidden/>
    <w:uiPriority w:val="99"/>
    <w:semiHidden/>
    <w:rsid w:val="00F3302B"/>
    <w:rPr>
      <w:sz w:val="24"/>
      <w:szCs w:val="24"/>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style>
  <w:style w:type="character" w:styleId="CommentReference">
    <w:name w:val="annotation reference"/>
    <w:basedOn w:val="DefaultParagraphFont"/>
    <w:semiHidden/>
    <w:unhideWhenUsed/>
    <w:rPr>
      <w:sz w:val="16"/>
      <w:szCs w:val="16"/>
    </w:rPr>
  </w:style>
  <w:style w:type="paragraph" w:styleId="ListParagraph">
    <w:name w:val="List Paragraph"/>
    <w:basedOn w:val="Normal"/>
    <w:uiPriority w:val="34"/>
    <w:qFormat/>
    <w:rsid w:val="003F72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space/transparency-initiative" TargetMode="External" /><Relationship Id="rId6" Type="http://schemas.openxmlformats.org/officeDocument/2006/relationships/hyperlink" Target="http://www.fcc.gov/live" TargetMode="External" /><Relationship Id="rId7" Type="http://schemas.openxmlformats.org/officeDocument/2006/relationships/hyperlink" Target="https://www.fcc.gov/sb-event-registration" TargetMode="Externa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