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4.11.0 -->
  <w:body>
    <w:tbl>
      <w:tblPr>
        <w:tblW w:w="8730" w:type="dxa"/>
        <w:tblLook w:val="0000"/>
      </w:tblPr>
      <w:tblGrid>
        <w:gridCol w:w="8736"/>
      </w:tblGrid>
      <w:tr w14:paraId="4BD297AC" w14:textId="77777777" w:rsidTr="092D99E1">
        <w:tblPrEx>
          <w:tblW w:w="8730" w:type="dxa"/>
          <w:tblLook w:val="0000"/>
        </w:tblPrEx>
        <w:trPr>
          <w:trHeight w:val="5760"/>
        </w:trPr>
        <w:tc>
          <w:tcPr>
            <w:tcW w:w="8730" w:type="dxa"/>
          </w:tcPr>
          <w:p w:rsidR="008B74C3" w:rsidP="68B40A2B" w14:paraId="4B7589AA" w14:textId="77777777">
            <w:pPr>
              <w:jc w:val="center"/>
              <w:rPr>
                <w:b/>
                <w:bCs/>
              </w:rPr>
            </w:pPr>
            <w:r>
              <w:rPr>
                <w:noProof/>
              </w:rPr>
              <w:drawing>
                <wp:inline distT="0" distB="0" distL="0" distR="0">
                  <wp:extent cx="5405838" cy="794658"/>
                  <wp:effectExtent l="0" t="0" r="4445" b="5715"/>
                  <wp:docPr id="1" name="Picture 1" descr="News from the Federal Communication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5405838" cy="794658"/>
                          </a:xfrm>
                          <a:prstGeom prst="rect">
                            <a:avLst/>
                          </a:prstGeom>
                        </pic:spPr>
                      </pic:pic>
                    </a:graphicData>
                  </a:graphic>
                </wp:inline>
              </w:drawing>
            </w:r>
          </w:p>
          <w:p w:rsidR="00401F89" w:rsidP="68B40A2B" w14:paraId="772F2AE0" w14:textId="77777777">
            <w:pPr>
              <w:jc w:val="center"/>
              <w:rPr>
                <w:b/>
                <w:bCs/>
                <w:sz w:val="28"/>
                <w:szCs w:val="28"/>
              </w:rPr>
            </w:pPr>
          </w:p>
          <w:p w:rsidR="00223698" w:rsidP="00223698" w14:paraId="2EC07A68" w14:textId="56E41D9A">
            <w:pPr>
              <w:tabs>
                <w:tab w:val="left" w:pos="8625"/>
              </w:tabs>
              <w:spacing w:after="120"/>
              <w:jc w:val="center"/>
              <w:rPr>
                <w:b/>
                <w:bCs/>
                <w:sz w:val="28"/>
                <w:szCs w:val="28"/>
              </w:rPr>
            </w:pPr>
            <w:r>
              <w:rPr>
                <w:b/>
                <w:bCs/>
                <w:sz w:val="28"/>
                <w:szCs w:val="28"/>
              </w:rPr>
              <w:t xml:space="preserve">Delete, Delete, </w:t>
            </w:r>
            <w:r>
              <w:rPr>
                <w:b/>
                <w:bCs/>
                <w:sz w:val="28"/>
                <w:szCs w:val="28"/>
              </w:rPr>
              <w:t>Delete</w:t>
            </w:r>
            <w:r>
              <w:rPr>
                <w:b/>
                <w:bCs/>
                <w:sz w:val="28"/>
                <w:szCs w:val="28"/>
              </w:rPr>
              <w:t xml:space="preserve">: FCC </w:t>
            </w:r>
            <w:r w:rsidR="00213088">
              <w:rPr>
                <w:b/>
                <w:bCs/>
                <w:sz w:val="28"/>
                <w:szCs w:val="28"/>
              </w:rPr>
              <w:t>Approves</w:t>
            </w:r>
            <w:r>
              <w:rPr>
                <w:b/>
                <w:bCs/>
                <w:sz w:val="28"/>
                <w:szCs w:val="28"/>
              </w:rPr>
              <w:t xml:space="preserve"> Rules to Remove and Streamline Cable Rate Regulations</w:t>
            </w:r>
          </w:p>
          <w:p w:rsidR="00223698" w:rsidP="00223698" w14:paraId="2924BC74" w14:textId="7374A6D2">
            <w:pPr>
              <w:tabs>
                <w:tab w:val="left" w:pos="8625"/>
              </w:tabs>
              <w:jc w:val="center"/>
              <w:rPr>
                <w:i/>
                <w:iCs/>
              </w:rPr>
            </w:pPr>
            <w:r w:rsidRPr="4C801930">
              <w:rPr>
                <w:i/>
                <w:iCs/>
              </w:rPr>
              <w:t xml:space="preserve">Action </w:t>
            </w:r>
            <w:r w:rsidR="00213088">
              <w:rPr>
                <w:i/>
                <w:iCs/>
              </w:rPr>
              <w:t>Will</w:t>
            </w:r>
            <w:r w:rsidRPr="4C801930">
              <w:rPr>
                <w:i/>
                <w:iCs/>
              </w:rPr>
              <w:t xml:space="preserve"> Remove Approximately </w:t>
            </w:r>
            <w:r>
              <w:rPr>
                <w:i/>
                <w:iCs/>
              </w:rPr>
              <w:t>77</w:t>
            </w:r>
            <w:r w:rsidRPr="4C801930">
              <w:rPr>
                <w:i/>
                <w:iCs/>
              </w:rPr>
              <w:t xml:space="preserve"> Rules or Requirements That Have Been Rendered Obsolete in Today’s Media Environment </w:t>
            </w:r>
          </w:p>
          <w:p w:rsidR="00223698" w:rsidRPr="00C40BFD" w:rsidP="00223698" w14:paraId="015E6B5C" w14:textId="77777777">
            <w:pPr>
              <w:tabs>
                <w:tab w:val="left" w:pos="8625"/>
              </w:tabs>
              <w:jc w:val="center"/>
              <w:rPr>
                <w:i/>
                <w:iCs/>
              </w:rPr>
            </w:pPr>
          </w:p>
          <w:p w:rsidR="00223698" w:rsidP="00223698" w14:paraId="1E496B43" w14:textId="3C876F40">
            <w:pPr>
              <w:rPr>
                <w:sz w:val="22"/>
                <w:szCs w:val="22"/>
              </w:rPr>
            </w:pPr>
            <w:r w:rsidRPr="092D99E1">
              <w:rPr>
                <w:sz w:val="22"/>
                <w:szCs w:val="22"/>
              </w:rPr>
              <w:t xml:space="preserve">WASHINGTON, June 26, 2025—Today, the FCC adopted rules that will deliver on </w:t>
            </w:r>
            <w:r w:rsidRPr="092D99E1" w:rsidR="001A3694">
              <w:rPr>
                <w:sz w:val="22"/>
                <w:szCs w:val="22"/>
              </w:rPr>
              <w:t xml:space="preserve">the administration’s </w:t>
            </w:r>
            <w:r w:rsidRPr="092D99E1">
              <w:rPr>
                <w:sz w:val="22"/>
                <w:szCs w:val="22"/>
              </w:rPr>
              <w:t>call for agencies to unleash prosperity through deregulation, by removing from its cable rate regulations approximately 27 pages, 11,475 words, 77 rules or requirements, and 8 forms.  This action is one of the first steps in the FCC’s</w:t>
            </w:r>
            <w:r w:rsidRPr="092D99E1" w:rsidR="00B047D3">
              <w:rPr>
                <w:sz w:val="22"/>
                <w:szCs w:val="22"/>
              </w:rPr>
              <w:t xml:space="preserve"> </w:t>
            </w:r>
            <w:r w:rsidRPr="092D99E1">
              <w:rPr>
                <w:sz w:val="22"/>
                <w:szCs w:val="22"/>
              </w:rPr>
              <w:t xml:space="preserve">deregulation initiative, </w:t>
            </w:r>
            <w:r w:rsidR="00254FEA">
              <w:rPr>
                <w:sz w:val="22"/>
                <w:szCs w:val="22"/>
              </w:rPr>
              <w:t>“</w:t>
            </w:r>
            <w:hyperlink r:id="rId5">
              <w:r w:rsidRPr="092D99E1">
                <w:rPr>
                  <w:rStyle w:val="Hyperlink"/>
                  <w:sz w:val="22"/>
                  <w:szCs w:val="22"/>
                </w:rPr>
                <w:t>Delete, Delete, Delete</w:t>
              </w:r>
            </w:hyperlink>
            <w:r w:rsidRPr="092D99E1" w:rsidR="00B047D3">
              <w:rPr>
                <w:rStyle w:val="CommentReference"/>
              </w:rPr>
              <w:t>,</w:t>
            </w:r>
            <w:r w:rsidR="00254FEA">
              <w:rPr>
                <w:rStyle w:val="CommentReference"/>
                <w:sz w:val="24"/>
                <w:szCs w:val="24"/>
              </w:rPr>
              <w:t>”</w:t>
            </w:r>
            <w:r w:rsidRPr="092D99E1">
              <w:rPr>
                <w:sz w:val="22"/>
                <w:szCs w:val="22"/>
              </w:rPr>
              <w:t xml:space="preserve"> designed to </w:t>
            </w:r>
            <w:r w:rsidRPr="092D99E1" w:rsidR="00595B47">
              <w:rPr>
                <w:sz w:val="22"/>
                <w:szCs w:val="22"/>
              </w:rPr>
              <w:t xml:space="preserve">promote </w:t>
            </w:r>
            <w:r w:rsidRPr="092D99E1">
              <w:rPr>
                <w:sz w:val="22"/>
                <w:szCs w:val="22"/>
              </w:rPr>
              <w:t>dynamism in American telecommunications by facilitating network modernization, infrastructure development, and performance innovation.</w:t>
            </w:r>
          </w:p>
          <w:p w:rsidR="00223698" w:rsidRPr="00271580" w:rsidP="00223698" w14:paraId="01A49DB8" w14:textId="77777777">
            <w:pPr>
              <w:rPr>
                <w:sz w:val="22"/>
                <w:szCs w:val="22"/>
              </w:rPr>
            </w:pPr>
          </w:p>
          <w:p w:rsidR="00223698" w:rsidP="00223698" w14:paraId="2343598D" w14:textId="77DFA3C9">
            <w:pPr>
              <w:rPr>
                <w:sz w:val="22"/>
                <w:szCs w:val="22"/>
              </w:rPr>
            </w:pPr>
            <w:r w:rsidRPr="007C5A25">
              <w:rPr>
                <w:sz w:val="22"/>
                <w:szCs w:val="22"/>
              </w:rPr>
              <w:t xml:space="preserve">Many of the Commission’s rules governing cable rate regulation have been rendered obsolete or unworkable due to the sunset of cable programming service tier rate regulation and the passage of time. </w:t>
            </w:r>
            <w:r>
              <w:rPr>
                <w:sz w:val="22"/>
                <w:szCs w:val="22"/>
              </w:rPr>
              <w:t xml:space="preserve"> </w:t>
            </w:r>
            <w:r w:rsidRPr="001A737F" w:rsidR="001A737F">
              <w:rPr>
                <w:sz w:val="22"/>
                <w:szCs w:val="22"/>
              </w:rPr>
              <w:t>In 2018, the Commission adopted a Further Notice of Proposed Rulemaking to review and update its rate regulations to reduce the administrative burdens on the cable industry, franchising authorities, and the Commission.</w:t>
            </w:r>
            <w:r w:rsidR="006F3660">
              <w:rPr>
                <w:sz w:val="22"/>
                <w:szCs w:val="22"/>
              </w:rPr>
              <w:t xml:space="preserve">  </w:t>
            </w:r>
            <w:r w:rsidRPr="001A737F" w:rsidR="001A737F">
              <w:rPr>
                <w:sz w:val="22"/>
                <w:szCs w:val="22"/>
              </w:rPr>
              <w:t>T</w:t>
            </w:r>
            <w:r w:rsidR="001A737F">
              <w:rPr>
                <w:sz w:val="22"/>
                <w:szCs w:val="22"/>
              </w:rPr>
              <w:t>oday’s adopted</w:t>
            </w:r>
            <w:r w:rsidRPr="001A737F" w:rsidR="001A737F">
              <w:rPr>
                <w:sz w:val="22"/>
                <w:szCs w:val="22"/>
              </w:rPr>
              <w:t xml:space="preserve"> Report and Order implements these proposed changes, which will </w:t>
            </w:r>
            <w:r w:rsidR="00595B47">
              <w:rPr>
                <w:sz w:val="22"/>
                <w:szCs w:val="22"/>
              </w:rPr>
              <w:t>foster</w:t>
            </w:r>
            <w:r w:rsidRPr="001A737F" w:rsidR="001A737F">
              <w:rPr>
                <w:sz w:val="22"/>
                <w:szCs w:val="22"/>
              </w:rPr>
              <w:t xml:space="preserve"> flexibility and innovation in this highly competitive industry</w:t>
            </w:r>
            <w:r w:rsidR="001A737F">
              <w:rPr>
                <w:sz w:val="22"/>
                <w:szCs w:val="22"/>
              </w:rPr>
              <w:t>.  These rules will help</w:t>
            </w:r>
            <w:r w:rsidRPr="00271580">
              <w:rPr>
                <w:sz w:val="22"/>
                <w:szCs w:val="22"/>
              </w:rPr>
              <w:t xml:space="preserve"> to increase government efficiency by: </w:t>
            </w:r>
          </w:p>
          <w:p w:rsidR="00223698" w:rsidP="00223698" w14:paraId="69CF2CCF" w14:textId="77777777">
            <w:pPr>
              <w:rPr>
                <w:sz w:val="22"/>
                <w:szCs w:val="22"/>
              </w:rPr>
            </w:pPr>
          </w:p>
          <w:p w:rsidR="00223698" w:rsidRPr="005D2098" w:rsidP="00223698" w14:paraId="4BF6DFD5" w14:textId="32F3E385">
            <w:pPr>
              <w:numPr>
                <w:ilvl w:val="0"/>
                <w:numId w:val="2"/>
              </w:numPr>
              <w:rPr>
                <w:sz w:val="22"/>
                <w:szCs w:val="22"/>
              </w:rPr>
            </w:pPr>
            <w:r w:rsidRPr="005D2098">
              <w:rPr>
                <w:sz w:val="22"/>
                <w:szCs w:val="22"/>
              </w:rPr>
              <w:t>Elimina</w:t>
            </w:r>
            <w:r>
              <w:rPr>
                <w:sz w:val="22"/>
                <w:szCs w:val="22"/>
              </w:rPr>
              <w:t>ting</w:t>
            </w:r>
            <w:r w:rsidRPr="005D2098">
              <w:rPr>
                <w:sz w:val="22"/>
                <w:szCs w:val="22"/>
              </w:rPr>
              <w:t xml:space="preserve"> unnecessary forms and rules</w:t>
            </w:r>
            <w:r w:rsidR="009071DD">
              <w:rPr>
                <w:sz w:val="22"/>
                <w:szCs w:val="22"/>
              </w:rPr>
              <w:t>,</w:t>
            </w:r>
          </w:p>
          <w:p w:rsidR="00223698" w:rsidRPr="005D2098" w:rsidP="00223698" w14:paraId="58F5D807" w14:textId="553606BF">
            <w:pPr>
              <w:numPr>
                <w:ilvl w:val="0"/>
                <w:numId w:val="2"/>
              </w:numPr>
              <w:rPr>
                <w:sz w:val="22"/>
                <w:szCs w:val="22"/>
              </w:rPr>
            </w:pPr>
            <w:r w:rsidRPr="005D2098">
              <w:rPr>
                <w:sz w:val="22"/>
                <w:szCs w:val="22"/>
              </w:rPr>
              <w:t>Reduc</w:t>
            </w:r>
            <w:r>
              <w:rPr>
                <w:sz w:val="22"/>
                <w:szCs w:val="22"/>
              </w:rPr>
              <w:t>ing</w:t>
            </w:r>
            <w:r w:rsidRPr="005D2098">
              <w:rPr>
                <w:sz w:val="22"/>
                <w:szCs w:val="22"/>
              </w:rPr>
              <w:t xml:space="preserve"> unnecessary burdens on cable operators by deregulating cable equipment not used exclusively to receive the </w:t>
            </w:r>
            <w:r>
              <w:rPr>
                <w:sz w:val="22"/>
                <w:szCs w:val="22"/>
              </w:rPr>
              <w:t>basic service tier</w:t>
            </w:r>
            <w:r w:rsidR="009071DD">
              <w:rPr>
                <w:sz w:val="22"/>
                <w:szCs w:val="22"/>
              </w:rPr>
              <w:t>,</w:t>
            </w:r>
          </w:p>
          <w:p w:rsidR="00223698" w:rsidRPr="005D2098" w:rsidP="00223698" w14:paraId="6A6D62BA" w14:textId="19F50837">
            <w:pPr>
              <w:numPr>
                <w:ilvl w:val="0"/>
                <w:numId w:val="2"/>
              </w:numPr>
              <w:rPr>
                <w:sz w:val="22"/>
                <w:szCs w:val="22"/>
              </w:rPr>
            </w:pPr>
            <w:r w:rsidRPr="005D2098">
              <w:rPr>
                <w:sz w:val="22"/>
                <w:szCs w:val="22"/>
              </w:rPr>
              <w:t>Empower</w:t>
            </w:r>
            <w:r>
              <w:rPr>
                <w:sz w:val="22"/>
                <w:szCs w:val="22"/>
              </w:rPr>
              <w:t>ing</w:t>
            </w:r>
            <w:r w:rsidRPr="005D2098">
              <w:rPr>
                <w:sz w:val="22"/>
                <w:szCs w:val="22"/>
              </w:rPr>
              <w:t xml:space="preserve"> small businesses by exempting them from rate regulation</w:t>
            </w:r>
            <w:r w:rsidR="009071DD">
              <w:rPr>
                <w:sz w:val="22"/>
                <w:szCs w:val="22"/>
              </w:rPr>
              <w:t>,</w:t>
            </w:r>
          </w:p>
          <w:p w:rsidR="00223698" w:rsidRPr="005D2098" w:rsidP="00223698" w14:paraId="01715FC7" w14:textId="0D8F0A09">
            <w:pPr>
              <w:numPr>
                <w:ilvl w:val="0"/>
                <w:numId w:val="2"/>
              </w:numPr>
              <w:rPr>
                <w:sz w:val="22"/>
                <w:szCs w:val="22"/>
              </w:rPr>
            </w:pPr>
            <w:r w:rsidRPr="005D2098">
              <w:rPr>
                <w:sz w:val="22"/>
                <w:szCs w:val="22"/>
              </w:rPr>
              <w:t>Declin</w:t>
            </w:r>
            <w:r>
              <w:rPr>
                <w:sz w:val="22"/>
                <w:szCs w:val="22"/>
              </w:rPr>
              <w:t>ing</w:t>
            </w:r>
            <w:r w:rsidRPr="005D2098">
              <w:rPr>
                <w:sz w:val="22"/>
                <w:szCs w:val="22"/>
              </w:rPr>
              <w:t xml:space="preserve"> to extend rate regulation to commercial establishments</w:t>
            </w:r>
            <w:r w:rsidR="009071DD">
              <w:rPr>
                <w:sz w:val="22"/>
                <w:szCs w:val="22"/>
              </w:rPr>
              <w:t>, and</w:t>
            </w:r>
          </w:p>
          <w:p w:rsidR="00223698" w:rsidRPr="00055214" w:rsidP="00223698" w14:paraId="7573FF7A" w14:textId="5ACDFCF9">
            <w:pPr>
              <w:numPr>
                <w:ilvl w:val="0"/>
                <w:numId w:val="2"/>
              </w:numPr>
              <w:rPr>
                <w:sz w:val="22"/>
                <w:szCs w:val="22"/>
              </w:rPr>
            </w:pPr>
            <w:r w:rsidRPr="005D2098">
              <w:rPr>
                <w:sz w:val="22"/>
                <w:szCs w:val="22"/>
              </w:rPr>
              <w:t>Moderniz</w:t>
            </w:r>
            <w:r>
              <w:rPr>
                <w:sz w:val="22"/>
                <w:szCs w:val="22"/>
              </w:rPr>
              <w:t>ing</w:t>
            </w:r>
            <w:r w:rsidRPr="005D2098">
              <w:rPr>
                <w:sz w:val="22"/>
                <w:szCs w:val="22"/>
              </w:rPr>
              <w:t xml:space="preserve"> rules to account for the sunset of </w:t>
            </w:r>
            <w:r w:rsidRPr="007C5A25">
              <w:rPr>
                <w:sz w:val="22"/>
                <w:szCs w:val="22"/>
              </w:rPr>
              <w:t xml:space="preserve">cable programming service tier rate </w:t>
            </w:r>
            <w:r w:rsidRPr="005D2098">
              <w:rPr>
                <w:sz w:val="22"/>
                <w:szCs w:val="22"/>
              </w:rPr>
              <w:t xml:space="preserve">regulation in determining </w:t>
            </w:r>
            <w:r>
              <w:rPr>
                <w:sz w:val="22"/>
                <w:szCs w:val="22"/>
              </w:rPr>
              <w:t>basic service tier</w:t>
            </w:r>
            <w:r w:rsidRPr="005D2098">
              <w:rPr>
                <w:sz w:val="22"/>
                <w:szCs w:val="22"/>
              </w:rPr>
              <w:t xml:space="preserve"> rates and to simplify and streamline the remaining regulations</w:t>
            </w:r>
            <w:r w:rsidR="009071DD">
              <w:rPr>
                <w:sz w:val="22"/>
                <w:szCs w:val="22"/>
              </w:rPr>
              <w:t>.</w:t>
            </w:r>
          </w:p>
          <w:p w:rsidR="00223698" w:rsidP="00223698" w14:paraId="7E1CCF46" w14:textId="712A5A66">
            <w:pPr>
              <w:rPr>
                <w:sz w:val="22"/>
                <w:szCs w:val="22"/>
              </w:rPr>
            </w:pPr>
          </w:p>
          <w:p w:rsidR="00DE532A" w:rsidRPr="00DE532A" w:rsidP="00DE532A" w14:paraId="183CE8B7" w14:textId="488B5F53">
            <w:pPr>
              <w:rPr>
                <w:sz w:val="22"/>
                <w:szCs w:val="22"/>
              </w:rPr>
            </w:pPr>
            <w:r w:rsidRPr="00DE532A">
              <w:rPr>
                <w:sz w:val="22"/>
                <w:szCs w:val="22"/>
              </w:rPr>
              <w:t xml:space="preserve">Action by the Commission June 26, </w:t>
            </w:r>
            <w:r w:rsidRPr="00DE532A">
              <w:rPr>
                <w:sz w:val="22"/>
                <w:szCs w:val="22"/>
              </w:rPr>
              <w:t>2025</w:t>
            </w:r>
            <w:r w:rsidRPr="00DE532A">
              <w:rPr>
                <w:sz w:val="22"/>
                <w:szCs w:val="22"/>
              </w:rPr>
              <w:t xml:space="preserve"> by Report and Order (FCC 25-33).  Chairman Carr, Commissioners Gomez and Trusty approving.  Chairman Carr</w:t>
            </w:r>
            <w:r>
              <w:rPr>
                <w:sz w:val="22"/>
                <w:szCs w:val="22"/>
              </w:rPr>
              <w:t xml:space="preserve"> and </w:t>
            </w:r>
            <w:r w:rsidRPr="00DE532A">
              <w:rPr>
                <w:sz w:val="22"/>
                <w:szCs w:val="22"/>
              </w:rPr>
              <w:t>Commissioner</w:t>
            </w:r>
            <w:r>
              <w:rPr>
                <w:sz w:val="22"/>
                <w:szCs w:val="22"/>
              </w:rPr>
              <w:t xml:space="preserve"> </w:t>
            </w:r>
            <w:r w:rsidRPr="00DE532A">
              <w:rPr>
                <w:sz w:val="22"/>
                <w:szCs w:val="22"/>
              </w:rPr>
              <w:t>Trusty issuing separate statements.</w:t>
            </w:r>
          </w:p>
          <w:p w:rsidR="00DE532A" w:rsidRPr="00DE532A" w:rsidP="00DE532A" w14:paraId="73B8652E" w14:textId="77777777">
            <w:pPr>
              <w:rPr>
                <w:sz w:val="22"/>
                <w:szCs w:val="22"/>
              </w:rPr>
            </w:pPr>
          </w:p>
          <w:p w:rsidR="00DE532A" w:rsidP="00DE532A" w14:paraId="6742BA35" w14:textId="040E9877">
            <w:pPr>
              <w:rPr>
                <w:sz w:val="22"/>
                <w:szCs w:val="22"/>
              </w:rPr>
            </w:pPr>
            <w:r w:rsidRPr="00DE532A">
              <w:rPr>
                <w:sz w:val="22"/>
                <w:szCs w:val="22"/>
              </w:rPr>
              <w:t>MB Docket No. 02-144; MM Docket Nos. 92-266, 93-215; CS Docket No. 94-28</w:t>
            </w:r>
          </w:p>
          <w:p w:rsidR="00DE532A" w:rsidRPr="005C5106" w:rsidP="00DE532A" w14:paraId="49A3B5FC" w14:textId="77777777">
            <w:pPr>
              <w:rPr>
                <w:sz w:val="22"/>
                <w:szCs w:val="22"/>
              </w:rPr>
            </w:pPr>
          </w:p>
          <w:p w:rsidR="00223698" w:rsidRPr="005C5106" w:rsidP="00223698" w14:paraId="3248A1A6" w14:textId="77777777">
            <w:pPr>
              <w:ind w:right="72"/>
              <w:jc w:val="center"/>
              <w:rPr>
                <w:sz w:val="22"/>
                <w:szCs w:val="22"/>
              </w:rPr>
            </w:pPr>
            <w:r w:rsidRPr="005C5106">
              <w:rPr>
                <w:sz w:val="22"/>
                <w:szCs w:val="22"/>
              </w:rPr>
              <w:t>###</w:t>
            </w:r>
          </w:p>
          <w:p w:rsidR="00223698" w:rsidRPr="00E539C9" w:rsidP="00223698" w14:paraId="276E2277" w14:textId="77777777">
            <w:pPr>
              <w:ind w:right="72"/>
              <w:jc w:val="center"/>
              <w:rPr>
                <w:b/>
                <w:bCs/>
                <w:sz w:val="22"/>
                <w:szCs w:val="22"/>
              </w:rPr>
            </w:pPr>
            <w:r w:rsidRPr="005C5106">
              <w:rPr>
                <w:b/>
                <w:bCs/>
                <w:sz w:val="22"/>
                <w:szCs w:val="22"/>
              </w:rPr>
              <w:br/>
            </w:r>
            <w:r w:rsidRPr="00E539C9">
              <w:rPr>
                <w:b/>
                <w:bCs/>
                <w:sz w:val="22"/>
                <w:szCs w:val="22"/>
              </w:rPr>
              <w:t>Media Contact: MediaRelations@fcc.gov / (202) 418-0500</w:t>
            </w:r>
          </w:p>
          <w:p w:rsidR="00223698" w:rsidRPr="005C5106" w:rsidP="00223698" w14:paraId="472CFBCF" w14:textId="77777777">
            <w:pPr>
              <w:ind w:right="72"/>
              <w:jc w:val="center"/>
              <w:rPr>
                <w:b/>
                <w:bCs/>
                <w:sz w:val="22"/>
                <w:szCs w:val="22"/>
              </w:rPr>
            </w:pPr>
            <w:r w:rsidRPr="4C801930">
              <w:rPr>
                <w:b/>
                <w:bCs/>
                <w:sz w:val="22"/>
                <w:szCs w:val="22"/>
              </w:rPr>
              <w:t>@FCC</w:t>
            </w:r>
            <w:r w:rsidRPr="4C801930">
              <w:rPr>
                <w:b/>
                <w:bCs/>
                <w:sz w:val="22"/>
                <w:szCs w:val="22"/>
              </w:rPr>
              <w:t xml:space="preserve"> / www.fcc.gov</w:t>
            </w:r>
          </w:p>
          <w:p w:rsidR="006D748C" w:rsidRPr="002E165B" w:rsidP="006D748C" w14:paraId="2CA96D3B" w14:textId="77777777">
            <w:pPr>
              <w:rPr>
                <w:sz w:val="22"/>
                <w:szCs w:val="22"/>
              </w:rPr>
            </w:pPr>
          </w:p>
          <w:p w:rsidR="00FF105E" w:rsidRPr="00104B0D" w:rsidP="00104B0D" w14:paraId="310299CA" w14:textId="77777777">
            <w:pPr>
              <w:ind w:right="72"/>
              <w:jc w:val="center"/>
              <w:rPr>
                <w:b/>
                <w:bCs/>
                <w:i/>
                <w:sz w:val="22"/>
                <w:szCs w:val="22"/>
              </w:rPr>
            </w:pPr>
            <w:bookmarkStart w:id="0" w:name="_Hlk198113214"/>
            <w:r w:rsidRPr="00EF729B">
              <w:rPr>
                <w:bCs/>
                <w:i/>
                <w:sz w:val="16"/>
                <w:szCs w:val="16"/>
              </w:rPr>
              <w:t>This is an unofficial announcement of Commission action.  Release of the full text of a Commission order constitutes official action.  See MCI v. FCC, 515 F.2d 385 (D.C. Cir. 1974).</w:t>
            </w:r>
            <w:bookmarkEnd w:id="0"/>
          </w:p>
        </w:tc>
      </w:tr>
    </w:tbl>
    <w:p w:rsidR="00D24C3D" w:rsidRPr="007528A5" w14:paraId="691191A6" w14:textId="77777777">
      <w:pPr>
        <w:rPr>
          <w:b/>
          <w:bCs/>
          <w:sz w:val="2"/>
          <w:szCs w:val="2"/>
        </w:rPr>
      </w:pPr>
    </w:p>
    <w:sectPr w:rsidSect="00FF105E">
      <w:pgSz w:w="12240" w:h="15840"/>
      <w:pgMar w:top="135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6CA2525"/>
    <w:multiLevelType w:val="hybridMultilevel"/>
    <w:tmpl w:val="09569F20"/>
    <w:lvl w:ilvl="0">
      <w:start w:val="1"/>
      <w:numFmt w:val="bullet"/>
      <w:lvlText w:val=""/>
      <w:lvlJc w:val="left"/>
      <w:pPr>
        <w:tabs>
          <w:tab w:val="num" w:pos="1152"/>
        </w:tabs>
        <w:ind w:left="1152" w:hanging="360"/>
      </w:pPr>
      <w:rPr>
        <w:rFonts w:ascii="Symbol" w:hAnsi="Symbol" w:hint="default"/>
      </w:rPr>
    </w:lvl>
    <w:lvl w:ilvl="1" w:tentative="1">
      <w:start w:val="1"/>
      <w:numFmt w:val="bullet"/>
      <w:lvlText w:val="o"/>
      <w:lvlJc w:val="left"/>
      <w:pPr>
        <w:tabs>
          <w:tab w:val="num" w:pos="1872"/>
        </w:tabs>
        <w:ind w:left="1872" w:hanging="360"/>
      </w:pPr>
      <w:rPr>
        <w:rFonts w:ascii="Courier New" w:hAnsi="Courier New" w:cs="Courier New" w:hint="default"/>
      </w:rPr>
    </w:lvl>
    <w:lvl w:ilvl="2" w:tentative="1">
      <w:start w:val="1"/>
      <w:numFmt w:val="bullet"/>
      <w:lvlText w:val=""/>
      <w:lvlJc w:val="left"/>
      <w:pPr>
        <w:tabs>
          <w:tab w:val="num" w:pos="2592"/>
        </w:tabs>
        <w:ind w:left="2592" w:hanging="360"/>
      </w:pPr>
      <w:rPr>
        <w:rFonts w:ascii="Wingdings" w:hAnsi="Wingdings" w:hint="default"/>
      </w:rPr>
    </w:lvl>
    <w:lvl w:ilvl="3" w:tentative="1">
      <w:start w:val="1"/>
      <w:numFmt w:val="bullet"/>
      <w:lvlText w:val=""/>
      <w:lvlJc w:val="left"/>
      <w:pPr>
        <w:tabs>
          <w:tab w:val="num" w:pos="3312"/>
        </w:tabs>
        <w:ind w:left="3312" w:hanging="360"/>
      </w:pPr>
      <w:rPr>
        <w:rFonts w:ascii="Symbol" w:hAnsi="Symbol" w:hint="default"/>
      </w:rPr>
    </w:lvl>
    <w:lvl w:ilvl="4" w:tentative="1">
      <w:start w:val="1"/>
      <w:numFmt w:val="bullet"/>
      <w:lvlText w:val="o"/>
      <w:lvlJc w:val="left"/>
      <w:pPr>
        <w:tabs>
          <w:tab w:val="num" w:pos="4032"/>
        </w:tabs>
        <w:ind w:left="4032" w:hanging="360"/>
      </w:pPr>
      <w:rPr>
        <w:rFonts w:ascii="Courier New" w:hAnsi="Courier New" w:cs="Courier New" w:hint="default"/>
      </w:rPr>
    </w:lvl>
    <w:lvl w:ilvl="5" w:tentative="1">
      <w:start w:val="1"/>
      <w:numFmt w:val="bullet"/>
      <w:lvlText w:val=""/>
      <w:lvlJc w:val="left"/>
      <w:pPr>
        <w:tabs>
          <w:tab w:val="num" w:pos="4752"/>
        </w:tabs>
        <w:ind w:left="4752" w:hanging="360"/>
      </w:pPr>
      <w:rPr>
        <w:rFonts w:ascii="Wingdings" w:hAnsi="Wingdings" w:hint="default"/>
      </w:rPr>
    </w:lvl>
    <w:lvl w:ilvl="6" w:tentative="1">
      <w:start w:val="1"/>
      <w:numFmt w:val="bullet"/>
      <w:lvlText w:val=""/>
      <w:lvlJc w:val="left"/>
      <w:pPr>
        <w:tabs>
          <w:tab w:val="num" w:pos="5472"/>
        </w:tabs>
        <w:ind w:left="5472" w:hanging="360"/>
      </w:pPr>
      <w:rPr>
        <w:rFonts w:ascii="Symbol" w:hAnsi="Symbol" w:hint="default"/>
      </w:rPr>
    </w:lvl>
    <w:lvl w:ilvl="7" w:tentative="1">
      <w:start w:val="1"/>
      <w:numFmt w:val="bullet"/>
      <w:lvlText w:val="o"/>
      <w:lvlJc w:val="left"/>
      <w:pPr>
        <w:tabs>
          <w:tab w:val="num" w:pos="6192"/>
        </w:tabs>
        <w:ind w:left="6192" w:hanging="360"/>
      </w:pPr>
      <w:rPr>
        <w:rFonts w:ascii="Courier New" w:hAnsi="Courier New" w:cs="Courier New" w:hint="default"/>
      </w:rPr>
    </w:lvl>
    <w:lvl w:ilvl="8" w:tentative="1">
      <w:start w:val="1"/>
      <w:numFmt w:val="bullet"/>
      <w:lvlText w:val=""/>
      <w:lvlJc w:val="left"/>
      <w:pPr>
        <w:tabs>
          <w:tab w:val="num" w:pos="6912"/>
        </w:tabs>
        <w:ind w:left="6912" w:hanging="360"/>
      </w:pPr>
      <w:rPr>
        <w:rFonts w:ascii="Wingdings" w:hAnsi="Wingdings" w:hint="default"/>
      </w:rPr>
    </w:lvl>
  </w:abstractNum>
  <w:abstractNum w:abstractNumId="1">
    <w:nsid w:val="6B0F611C"/>
    <w:multiLevelType w:val="hybridMultilevel"/>
    <w:tmpl w:val="638ED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07119027">
    <w:abstractNumId w:val="0"/>
  </w:num>
  <w:num w:numId="2" w16cid:durableId="1070613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18E"/>
    <w:rsid w:val="00012186"/>
    <w:rsid w:val="0002500C"/>
    <w:rsid w:val="000311FC"/>
    <w:rsid w:val="00040127"/>
    <w:rsid w:val="00055214"/>
    <w:rsid w:val="00065E2D"/>
    <w:rsid w:val="00081232"/>
    <w:rsid w:val="00091E65"/>
    <w:rsid w:val="00096D4A"/>
    <w:rsid w:val="000A38EA"/>
    <w:rsid w:val="000B3C0A"/>
    <w:rsid w:val="000C1E47"/>
    <w:rsid w:val="000C26F3"/>
    <w:rsid w:val="000D4846"/>
    <w:rsid w:val="000E049E"/>
    <w:rsid w:val="000F17BE"/>
    <w:rsid w:val="00104B0D"/>
    <w:rsid w:val="0010799B"/>
    <w:rsid w:val="00117B29"/>
    <w:rsid w:val="00117DB2"/>
    <w:rsid w:val="00123ED2"/>
    <w:rsid w:val="00125BE0"/>
    <w:rsid w:val="00134A4A"/>
    <w:rsid w:val="00136B6E"/>
    <w:rsid w:val="00142C13"/>
    <w:rsid w:val="0014765E"/>
    <w:rsid w:val="00152776"/>
    <w:rsid w:val="00153222"/>
    <w:rsid w:val="001577D3"/>
    <w:rsid w:val="00167742"/>
    <w:rsid w:val="001733A6"/>
    <w:rsid w:val="001865A9"/>
    <w:rsid w:val="00187DB2"/>
    <w:rsid w:val="00194E1E"/>
    <w:rsid w:val="001A3694"/>
    <w:rsid w:val="001A737F"/>
    <w:rsid w:val="001B030B"/>
    <w:rsid w:val="001B20BB"/>
    <w:rsid w:val="001C4370"/>
    <w:rsid w:val="001D3779"/>
    <w:rsid w:val="001F0469"/>
    <w:rsid w:val="00203A98"/>
    <w:rsid w:val="00206EDD"/>
    <w:rsid w:val="0021247E"/>
    <w:rsid w:val="00213088"/>
    <w:rsid w:val="002146F6"/>
    <w:rsid w:val="00223698"/>
    <w:rsid w:val="00231C32"/>
    <w:rsid w:val="00240345"/>
    <w:rsid w:val="002421F0"/>
    <w:rsid w:val="002451BA"/>
    <w:rsid w:val="00247274"/>
    <w:rsid w:val="00254FEA"/>
    <w:rsid w:val="00266966"/>
    <w:rsid w:val="00271580"/>
    <w:rsid w:val="00285C36"/>
    <w:rsid w:val="00286596"/>
    <w:rsid w:val="00294C0C"/>
    <w:rsid w:val="002A0934"/>
    <w:rsid w:val="002B1013"/>
    <w:rsid w:val="002C0B0D"/>
    <w:rsid w:val="002D03E5"/>
    <w:rsid w:val="002E165B"/>
    <w:rsid w:val="002E3F1D"/>
    <w:rsid w:val="002F31D0"/>
    <w:rsid w:val="00300359"/>
    <w:rsid w:val="0031773E"/>
    <w:rsid w:val="00333871"/>
    <w:rsid w:val="00347716"/>
    <w:rsid w:val="003506E1"/>
    <w:rsid w:val="003727E3"/>
    <w:rsid w:val="0037558A"/>
    <w:rsid w:val="00385A93"/>
    <w:rsid w:val="003910F1"/>
    <w:rsid w:val="003B4268"/>
    <w:rsid w:val="003D7499"/>
    <w:rsid w:val="003E42FC"/>
    <w:rsid w:val="003E5991"/>
    <w:rsid w:val="003F2135"/>
    <w:rsid w:val="003F344A"/>
    <w:rsid w:val="004009FF"/>
    <w:rsid w:val="00401F89"/>
    <w:rsid w:val="00403FF0"/>
    <w:rsid w:val="00417FCC"/>
    <w:rsid w:val="0042046D"/>
    <w:rsid w:val="0042116E"/>
    <w:rsid w:val="00424B52"/>
    <w:rsid w:val="00425AEF"/>
    <w:rsid w:val="00426518"/>
    <w:rsid w:val="00427B06"/>
    <w:rsid w:val="00435F5A"/>
    <w:rsid w:val="00441F59"/>
    <w:rsid w:val="00444E07"/>
    <w:rsid w:val="00444FA9"/>
    <w:rsid w:val="00473E9C"/>
    <w:rsid w:val="00474016"/>
    <w:rsid w:val="00474286"/>
    <w:rsid w:val="004745B2"/>
    <w:rsid w:val="00480099"/>
    <w:rsid w:val="004941A2"/>
    <w:rsid w:val="00497858"/>
    <w:rsid w:val="004A729A"/>
    <w:rsid w:val="004B4FEA"/>
    <w:rsid w:val="004C0ADA"/>
    <w:rsid w:val="004C3057"/>
    <w:rsid w:val="004C433E"/>
    <w:rsid w:val="004C4512"/>
    <w:rsid w:val="004C4F36"/>
    <w:rsid w:val="004D3D85"/>
    <w:rsid w:val="004E2BD8"/>
    <w:rsid w:val="004F0F1F"/>
    <w:rsid w:val="00500E42"/>
    <w:rsid w:val="005022AA"/>
    <w:rsid w:val="00504845"/>
    <w:rsid w:val="0050757F"/>
    <w:rsid w:val="00516AD2"/>
    <w:rsid w:val="005337D4"/>
    <w:rsid w:val="00545DAE"/>
    <w:rsid w:val="00571B83"/>
    <w:rsid w:val="00574BE5"/>
    <w:rsid w:val="00575A00"/>
    <w:rsid w:val="00586417"/>
    <w:rsid w:val="0058673C"/>
    <w:rsid w:val="00595B47"/>
    <w:rsid w:val="005A7972"/>
    <w:rsid w:val="005B037E"/>
    <w:rsid w:val="005B17E7"/>
    <w:rsid w:val="005B2643"/>
    <w:rsid w:val="005C5106"/>
    <w:rsid w:val="005D17FD"/>
    <w:rsid w:val="005D2098"/>
    <w:rsid w:val="005F0D55"/>
    <w:rsid w:val="005F183E"/>
    <w:rsid w:val="00600DDA"/>
    <w:rsid w:val="00603A30"/>
    <w:rsid w:val="00604211"/>
    <w:rsid w:val="00613498"/>
    <w:rsid w:val="00617B94"/>
    <w:rsid w:val="00620BED"/>
    <w:rsid w:val="00626FFF"/>
    <w:rsid w:val="00630EFB"/>
    <w:rsid w:val="006415B4"/>
    <w:rsid w:val="00644E3D"/>
    <w:rsid w:val="00651B9E"/>
    <w:rsid w:val="00652019"/>
    <w:rsid w:val="00657EC9"/>
    <w:rsid w:val="00665633"/>
    <w:rsid w:val="00674C86"/>
    <w:rsid w:val="0068015E"/>
    <w:rsid w:val="006861AB"/>
    <w:rsid w:val="00686B89"/>
    <w:rsid w:val="0069420F"/>
    <w:rsid w:val="006A2FC5"/>
    <w:rsid w:val="006A7D75"/>
    <w:rsid w:val="006B0A70"/>
    <w:rsid w:val="006B606A"/>
    <w:rsid w:val="006C33AF"/>
    <w:rsid w:val="006D16EF"/>
    <w:rsid w:val="006D5D22"/>
    <w:rsid w:val="006D748C"/>
    <w:rsid w:val="006D78E7"/>
    <w:rsid w:val="006E0324"/>
    <w:rsid w:val="006E4A76"/>
    <w:rsid w:val="006F1DBD"/>
    <w:rsid w:val="006F3660"/>
    <w:rsid w:val="00700556"/>
    <w:rsid w:val="0070589A"/>
    <w:rsid w:val="007167DD"/>
    <w:rsid w:val="0072478B"/>
    <w:rsid w:val="0073414D"/>
    <w:rsid w:val="007475A1"/>
    <w:rsid w:val="00750A11"/>
    <w:rsid w:val="0075235E"/>
    <w:rsid w:val="007528A5"/>
    <w:rsid w:val="007732CC"/>
    <w:rsid w:val="00774079"/>
    <w:rsid w:val="0077752B"/>
    <w:rsid w:val="00793D6F"/>
    <w:rsid w:val="00794090"/>
    <w:rsid w:val="007A44F8"/>
    <w:rsid w:val="007C0E73"/>
    <w:rsid w:val="007C5A25"/>
    <w:rsid w:val="007D21BF"/>
    <w:rsid w:val="007F3C12"/>
    <w:rsid w:val="007F418E"/>
    <w:rsid w:val="007F5205"/>
    <w:rsid w:val="0080486B"/>
    <w:rsid w:val="008215E7"/>
    <w:rsid w:val="00830FC6"/>
    <w:rsid w:val="008436DF"/>
    <w:rsid w:val="00850E26"/>
    <w:rsid w:val="00865EAA"/>
    <w:rsid w:val="00866F06"/>
    <w:rsid w:val="008728F5"/>
    <w:rsid w:val="008824C2"/>
    <w:rsid w:val="008960E4"/>
    <w:rsid w:val="00896E9F"/>
    <w:rsid w:val="008A3940"/>
    <w:rsid w:val="008B13C9"/>
    <w:rsid w:val="008B74C3"/>
    <w:rsid w:val="008C248C"/>
    <w:rsid w:val="008C5432"/>
    <w:rsid w:val="008C7BF1"/>
    <w:rsid w:val="008D00D6"/>
    <w:rsid w:val="008D4D00"/>
    <w:rsid w:val="008D4E5E"/>
    <w:rsid w:val="008D7ABD"/>
    <w:rsid w:val="008E55A2"/>
    <w:rsid w:val="008F1609"/>
    <w:rsid w:val="008F6FB6"/>
    <w:rsid w:val="008F78D8"/>
    <w:rsid w:val="009071DD"/>
    <w:rsid w:val="0093373C"/>
    <w:rsid w:val="00961620"/>
    <w:rsid w:val="009734B6"/>
    <w:rsid w:val="0098096F"/>
    <w:rsid w:val="0098437A"/>
    <w:rsid w:val="00986C92"/>
    <w:rsid w:val="0099132D"/>
    <w:rsid w:val="00993C47"/>
    <w:rsid w:val="009972BC"/>
    <w:rsid w:val="009B4B16"/>
    <w:rsid w:val="009B7F2E"/>
    <w:rsid w:val="009E54A1"/>
    <w:rsid w:val="009E5F77"/>
    <w:rsid w:val="009F4E25"/>
    <w:rsid w:val="009F5B1F"/>
    <w:rsid w:val="00A225A9"/>
    <w:rsid w:val="00A3308E"/>
    <w:rsid w:val="00A33963"/>
    <w:rsid w:val="00A35DFD"/>
    <w:rsid w:val="00A702DF"/>
    <w:rsid w:val="00A775A3"/>
    <w:rsid w:val="00A81700"/>
    <w:rsid w:val="00A81B5B"/>
    <w:rsid w:val="00A82FAD"/>
    <w:rsid w:val="00A9673A"/>
    <w:rsid w:val="00A96EF2"/>
    <w:rsid w:val="00A973B8"/>
    <w:rsid w:val="00AA439A"/>
    <w:rsid w:val="00AA5C35"/>
    <w:rsid w:val="00AA5ED9"/>
    <w:rsid w:val="00AC0A38"/>
    <w:rsid w:val="00AC4E0E"/>
    <w:rsid w:val="00AC517B"/>
    <w:rsid w:val="00AD0D19"/>
    <w:rsid w:val="00AD4184"/>
    <w:rsid w:val="00AE40D9"/>
    <w:rsid w:val="00AF051B"/>
    <w:rsid w:val="00B037A2"/>
    <w:rsid w:val="00B047D3"/>
    <w:rsid w:val="00B2074E"/>
    <w:rsid w:val="00B31870"/>
    <w:rsid w:val="00B320B8"/>
    <w:rsid w:val="00B35EE2"/>
    <w:rsid w:val="00B36DEF"/>
    <w:rsid w:val="00B57131"/>
    <w:rsid w:val="00B62F2C"/>
    <w:rsid w:val="00B72307"/>
    <w:rsid w:val="00B727C9"/>
    <w:rsid w:val="00B735C8"/>
    <w:rsid w:val="00B76A63"/>
    <w:rsid w:val="00BA6350"/>
    <w:rsid w:val="00BB4E29"/>
    <w:rsid w:val="00BB74C9"/>
    <w:rsid w:val="00BC3AB6"/>
    <w:rsid w:val="00BD19E8"/>
    <w:rsid w:val="00BD4273"/>
    <w:rsid w:val="00C31ED8"/>
    <w:rsid w:val="00C40BFD"/>
    <w:rsid w:val="00C432E4"/>
    <w:rsid w:val="00C65A3C"/>
    <w:rsid w:val="00C70C26"/>
    <w:rsid w:val="00C72001"/>
    <w:rsid w:val="00C7593B"/>
    <w:rsid w:val="00C772B7"/>
    <w:rsid w:val="00C80347"/>
    <w:rsid w:val="00C819F3"/>
    <w:rsid w:val="00C870AC"/>
    <w:rsid w:val="00CB24D2"/>
    <w:rsid w:val="00CB7C1A"/>
    <w:rsid w:val="00CC5E08"/>
    <w:rsid w:val="00CC72B0"/>
    <w:rsid w:val="00CD79B7"/>
    <w:rsid w:val="00CE14FD"/>
    <w:rsid w:val="00CF1AB1"/>
    <w:rsid w:val="00CF1C32"/>
    <w:rsid w:val="00CF6860"/>
    <w:rsid w:val="00D02AC6"/>
    <w:rsid w:val="00D03F0C"/>
    <w:rsid w:val="00D04312"/>
    <w:rsid w:val="00D16A7F"/>
    <w:rsid w:val="00D16AD2"/>
    <w:rsid w:val="00D22596"/>
    <w:rsid w:val="00D22691"/>
    <w:rsid w:val="00D24C3D"/>
    <w:rsid w:val="00D46CB1"/>
    <w:rsid w:val="00D723F0"/>
    <w:rsid w:val="00D80B18"/>
    <w:rsid w:val="00D8133F"/>
    <w:rsid w:val="00D861EE"/>
    <w:rsid w:val="00D95B05"/>
    <w:rsid w:val="00D97E2D"/>
    <w:rsid w:val="00DA103D"/>
    <w:rsid w:val="00DA45D3"/>
    <w:rsid w:val="00DA4772"/>
    <w:rsid w:val="00DA7B44"/>
    <w:rsid w:val="00DB2667"/>
    <w:rsid w:val="00DB67B7"/>
    <w:rsid w:val="00DC15A9"/>
    <w:rsid w:val="00DC40AA"/>
    <w:rsid w:val="00DD1750"/>
    <w:rsid w:val="00DE532A"/>
    <w:rsid w:val="00E020F1"/>
    <w:rsid w:val="00E349AA"/>
    <w:rsid w:val="00E41390"/>
    <w:rsid w:val="00E41CA0"/>
    <w:rsid w:val="00E4366B"/>
    <w:rsid w:val="00E50A4A"/>
    <w:rsid w:val="00E539C9"/>
    <w:rsid w:val="00E606DE"/>
    <w:rsid w:val="00E644FE"/>
    <w:rsid w:val="00E72733"/>
    <w:rsid w:val="00E742FA"/>
    <w:rsid w:val="00E76816"/>
    <w:rsid w:val="00E83DBF"/>
    <w:rsid w:val="00E87C13"/>
    <w:rsid w:val="00E94CD9"/>
    <w:rsid w:val="00EA1A76"/>
    <w:rsid w:val="00EA290B"/>
    <w:rsid w:val="00EA31F4"/>
    <w:rsid w:val="00EB2820"/>
    <w:rsid w:val="00EE0E90"/>
    <w:rsid w:val="00EF3BCA"/>
    <w:rsid w:val="00EF42E0"/>
    <w:rsid w:val="00EF729B"/>
    <w:rsid w:val="00F01B0D"/>
    <w:rsid w:val="00F1238F"/>
    <w:rsid w:val="00F16485"/>
    <w:rsid w:val="00F228ED"/>
    <w:rsid w:val="00F26E31"/>
    <w:rsid w:val="00F27C6C"/>
    <w:rsid w:val="00F349AB"/>
    <w:rsid w:val="00F34A8D"/>
    <w:rsid w:val="00F35012"/>
    <w:rsid w:val="00F450E7"/>
    <w:rsid w:val="00F5023C"/>
    <w:rsid w:val="00F50D25"/>
    <w:rsid w:val="00F535D8"/>
    <w:rsid w:val="00F61155"/>
    <w:rsid w:val="00F708E3"/>
    <w:rsid w:val="00F76561"/>
    <w:rsid w:val="00F84736"/>
    <w:rsid w:val="00F93569"/>
    <w:rsid w:val="00FC6C29"/>
    <w:rsid w:val="00FD58E0"/>
    <w:rsid w:val="00FD71AE"/>
    <w:rsid w:val="00FE0198"/>
    <w:rsid w:val="00FE3A7C"/>
    <w:rsid w:val="00FF105E"/>
    <w:rsid w:val="00FF1C0B"/>
    <w:rsid w:val="00FF232D"/>
    <w:rsid w:val="00FF7F9B"/>
    <w:rsid w:val="083AF924"/>
    <w:rsid w:val="092D99E1"/>
    <w:rsid w:val="0ABFB8EB"/>
    <w:rsid w:val="0B881CA5"/>
    <w:rsid w:val="1879104D"/>
    <w:rsid w:val="2349A7AF"/>
    <w:rsid w:val="2BD114CC"/>
    <w:rsid w:val="4C801930"/>
    <w:rsid w:val="54BD3FA8"/>
    <w:rsid w:val="57BBB7CD"/>
    <w:rsid w:val="65DE2843"/>
    <w:rsid w:val="68B40A2B"/>
    <w:rsid w:val="742A7CC9"/>
    <w:rsid w:val="78BC1C86"/>
    <w:rsid w:val="7996CE43"/>
    <w:rsid w:val="7BFB723E"/>
    <w:rsid w:val="7D96501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F051141"/>
  <w15:docId w15:val="{19C44634-DC72-4648-BAAA-0EE5DD50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0F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F0F1F"/>
    <w:rPr>
      <w:color w:val="0000FF"/>
      <w:u w:val="single"/>
    </w:rPr>
  </w:style>
  <w:style w:type="character" w:styleId="FollowedHyperlink">
    <w:name w:val="FollowedHyperlink"/>
    <w:rsid w:val="004F0F1F"/>
    <w:rPr>
      <w:color w:val="800080"/>
      <w:u w:val="single"/>
    </w:rPr>
  </w:style>
  <w:style w:type="character" w:customStyle="1" w:styleId="articlehead1">
    <w:name w:val="articlehead1"/>
    <w:rsid w:val="0002500C"/>
    <w:rPr>
      <w:b/>
      <w:bCs/>
      <w:color w:val="336699"/>
      <w:sz w:val="24"/>
      <w:szCs w:val="24"/>
    </w:rPr>
  </w:style>
  <w:style w:type="character" w:customStyle="1" w:styleId="byline1">
    <w:name w:val="byline1"/>
    <w:rsid w:val="0002500C"/>
    <w:rPr>
      <w:rFonts w:ascii="Verdana" w:hAnsi="Verdana" w:hint="default"/>
      <w:color w:val="999999"/>
      <w:sz w:val="15"/>
      <w:szCs w:val="15"/>
    </w:rPr>
  </w:style>
  <w:style w:type="paragraph" w:styleId="NormalWeb">
    <w:name w:val="Normal (Web)"/>
    <w:basedOn w:val="Normal"/>
    <w:rsid w:val="00AA5C35"/>
  </w:style>
  <w:style w:type="paragraph" w:styleId="Caption">
    <w:name w:val="caption"/>
    <w:basedOn w:val="Normal"/>
    <w:next w:val="Normal"/>
    <w:unhideWhenUsed/>
    <w:qFormat/>
    <w:rsid w:val="00575A00"/>
    <w:rPr>
      <w:b/>
      <w:bCs/>
      <w:sz w:val="20"/>
      <w:szCs w:val="20"/>
    </w:rPr>
  </w:style>
  <w:style w:type="character" w:styleId="UnresolvedMention">
    <w:name w:val="Unresolved Mention"/>
    <w:basedOn w:val="DefaultParagraphFont"/>
    <w:uiPriority w:val="99"/>
    <w:semiHidden/>
    <w:unhideWhenUsed/>
    <w:rsid w:val="00285C36"/>
    <w:rPr>
      <w:color w:val="808080"/>
      <w:shd w:val="clear" w:color="auto" w:fill="E6E6E6"/>
    </w:rPr>
  </w:style>
  <w:style w:type="paragraph" w:styleId="BalloonText">
    <w:name w:val="Balloon Text"/>
    <w:basedOn w:val="Normal"/>
    <w:link w:val="BalloonTextChar"/>
    <w:semiHidden/>
    <w:unhideWhenUsed/>
    <w:rsid w:val="006D16EF"/>
    <w:rPr>
      <w:rFonts w:ascii="Segoe UI" w:hAnsi="Segoe UI" w:cs="Segoe UI"/>
      <w:sz w:val="18"/>
      <w:szCs w:val="18"/>
    </w:rPr>
  </w:style>
  <w:style w:type="character" w:customStyle="1" w:styleId="BalloonTextChar">
    <w:name w:val="Balloon Text Char"/>
    <w:basedOn w:val="DefaultParagraphFont"/>
    <w:link w:val="BalloonText"/>
    <w:semiHidden/>
    <w:rsid w:val="006D16EF"/>
    <w:rPr>
      <w:rFonts w:ascii="Segoe UI" w:hAnsi="Segoe UI" w:cs="Segoe UI"/>
      <w:sz w:val="18"/>
      <w:szCs w:val="18"/>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F35012"/>
    <w:rPr>
      <w:sz w:val="24"/>
      <w:szCs w:val="24"/>
    </w:rPr>
  </w:style>
  <w:style w:type="paragraph" w:styleId="CommentSubject">
    <w:name w:val="annotation subject"/>
    <w:basedOn w:val="CommentText"/>
    <w:next w:val="CommentText"/>
    <w:link w:val="CommentSubjectChar"/>
    <w:semiHidden/>
    <w:unhideWhenUsed/>
    <w:rsid w:val="00B047D3"/>
    <w:rPr>
      <w:b/>
      <w:bCs/>
    </w:rPr>
  </w:style>
  <w:style w:type="character" w:customStyle="1" w:styleId="CommentSubjectChar">
    <w:name w:val="Comment Subject Char"/>
    <w:basedOn w:val="CommentTextChar"/>
    <w:link w:val="CommentSubject"/>
    <w:semiHidden/>
    <w:rsid w:val="00B047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docs.fcc.gov/public/attachments/DA-25-219A1.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