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11.0 -->
  <w:body>
    <w:tbl>
      <w:tblPr>
        <w:tblW w:w="8730" w:type="dxa"/>
        <w:tblLook w:val="0000"/>
      </w:tblPr>
      <w:tblGrid>
        <w:gridCol w:w="8736"/>
      </w:tblGrid>
      <w:tr w14:paraId="2EC87C41" w14:textId="77777777" w:rsidTr="7BFB723E">
        <w:tblPrEx>
          <w:tblW w:w="8730" w:type="dxa"/>
          <w:tblLook w:val="0000"/>
        </w:tblPrEx>
        <w:trPr>
          <w:trHeight w:val="2181"/>
        </w:trPr>
        <w:tc>
          <w:tcPr>
            <w:tcW w:w="8730" w:type="dxa"/>
          </w:tcPr>
          <w:p w:rsidR="008B74C3" w:rsidP="68B40A2B" w14:paraId="0532E22E" w14:textId="7777777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405838" cy="794658"/>
                  <wp:effectExtent l="0" t="0" r="4445" b="5715"/>
                  <wp:docPr id="1" name="Picture 1" descr="News from the Federal Communications Com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838" cy="79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F89" w:rsidP="68B40A2B" w14:paraId="0C1BA90D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74C3" w:rsidP="00C65A3C" w14:paraId="1C30FCE4" w14:textId="7E67EED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68B40A2B">
              <w:rPr>
                <w:b/>
                <w:bCs/>
                <w:sz w:val="28"/>
                <w:szCs w:val="28"/>
              </w:rPr>
              <w:t xml:space="preserve">FCC </w:t>
            </w:r>
            <w:r w:rsidRPr="00BE4D73" w:rsidR="00BE4D73">
              <w:rPr>
                <w:b/>
                <w:bCs/>
                <w:sz w:val="28"/>
                <w:szCs w:val="28"/>
              </w:rPr>
              <w:t>Takes First Step to Address Rules for Obsolete Format for TTY</w:t>
            </w:r>
          </w:p>
          <w:p w:rsidR="008B74C3" w:rsidRPr="00FF105E" w:rsidP="68B40A2B" w14:paraId="1E626DE7" w14:textId="29D6FA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Today’s Action </w:t>
            </w:r>
            <w:r w:rsidR="00EB4D4C">
              <w:rPr>
                <w:i/>
                <w:iCs/>
              </w:rPr>
              <w:t>i</w:t>
            </w:r>
            <w:r>
              <w:rPr>
                <w:i/>
                <w:iCs/>
              </w:rPr>
              <w:t>s the Latest in the A</w:t>
            </w:r>
            <w:r w:rsidR="00F74257">
              <w:rPr>
                <w:i/>
                <w:iCs/>
              </w:rPr>
              <w:t xml:space="preserve">gency’s </w:t>
            </w:r>
            <w:r w:rsidR="009C6E94">
              <w:rPr>
                <w:i/>
                <w:iCs/>
              </w:rPr>
              <w:t>“</w:t>
            </w:r>
            <w:r w:rsidR="00F74257">
              <w:rPr>
                <w:i/>
                <w:iCs/>
              </w:rPr>
              <w:t xml:space="preserve">Delete, Delete, </w:t>
            </w:r>
            <w:r w:rsidR="009C6E94">
              <w:rPr>
                <w:i/>
                <w:iCs/>
              </w:rPr>
              <w:t xml:space="preserve">Delete” </w:t>
            </w:r>
            <w:r>
              <w:rPr>
                <w:i/>
                <w:iCs/>
              </w:rPr>
              <w:t>I</w:t>
            </w:r>
            <w:r w:rsidR="00F74257">
              <w:rPr>
                <w:i/>
                <w:iCs/>
              </w:rPr>
              <w:t>nitiative</w:t>
            </w:r>
          </w:p>
          <w:p w:rsidR="008B74C3" w:rsidP="008B74C3" w14:paraId="411EFDCD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>
              <w:rPr>
                <w:b/>
                <w:bCs/>
                <w:i/>
                <w:sz w:val="28"/>
                <w:szCs w:val="32"/>
              </w:rPr>
              <w:t xml:space="preserve">  </w:t>
            </w:r>
            <w:r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-- </w:t>
            </w:r>
          </w:p>
          <w:p w:rsidR="006D748C" w:rsidP="006D748C" w14:paraId="5CFB74DE" w14:textId="31B8AFFA">
            <w:pPr>
              <w:rPr>
                <w:sz w:val="22"/>
                <w:szCs w:val="22"/>
              </w:rPr>
            </w:pPr>
            <w:r w:rsidRPr="083AF924">
              <w:rPr>
                <w:sz w:val="22"/>
                <w:szCs w:val="22"/>
              </w:rPr>
              <w:t>WASHINGTON,</w:t>
            </w:r>
            <w:r w:rsidRPr="083AF924" w:rsidR="65DE2843">
              <w:rPr>
                <w:sz w:val="22"/>
                <w:szCs w:val="22"/>
              </w:rPr>
              <w:t xml:space="preserve"> </w:t>
            </w:r>
            <w:r w:rsidR="00F63EF8">
              <w:rPr>
                <w:sz w:val="22"/>
                <w:szCs w:val="22"/>
              </w:rPr>
              <w:t>June 2</w:t>
            </w:r>
            <w:r w:rsidR="00DA7C83">
              <w:rPr>
                <w:sz w:val="22"/>
                <w:szCs w:val="22"/>
              </w:rPr>
              <w:t>6</w:t>
            </w:r>
            <w:r w:rsidRPr="006D748C">
              <w:rPr>
                <w:sz w:val="22"/>
                <w:szCs w:val="22"/>
              </w:rPr>
              <w:t>, 2025—</w:t>
            </w:r>
            <w:r w:rsidRPr="00C83417">
              <w:rPr>
                <w:sz w:val="22"/>
                <w:szCs w:val="22"/>
              </w:rPr>
              <w:t xml:space="preserve">The Federal Communications Commission today </w:t>
            </w:r>
            <w:r w:rsidRPr="00C83417" w:rsidR="00314DB9">
              <w:rPr>
                <w:sz w:val="22"/>
                <w:szCs w:val="22"/>
              </w:rPr>
              <w:t xml:space="preserve">proposed </w:t>
            </w:r>
            <w:r w:rsidRPr="00C83417" w:rsidR="00C41A2D">
              <w:rPr>
                <w:sz w:val="22"/>
                <w:szCs w:val="22"/>
              </w:rPr>
              <w:t>updat</w:t>
            </w:r>
            <w:r w:rsidR="00C41A2D">
              <w:rPr>
                <w:sz w:val="22"/>
                <w:szCs w:val="22"/>
              </w:rPr>
              <w:t>ing</w:t>
            </w:r>
            <w:r w:rsidRPr="00C83417" w:rsidR="00C41A2D">
              <w:rPr>
                <w:sz w:val="22"/>
                <w:szCs w:val="22"/>
              </w:rPr>
              <w:t xml:space="preserve"> the </w:t>
            </w:r>
            <w:r w:rsidR="00211F19">
              <w:rPr>
                <w:sz w:val="22"/>
                <w:szCs w:val="22"/>
              </w:rPr>
              <w:t xml:space="preserve">Telecommunications </w:t>
            </w:r>
            <w:r w:rsidR="00C41A2D">
              <w:rPr>
                <w:sz w:val="22"/>
                <w:szCs w:val="22"/>
              </w:rPr>
              <w:t xml:space="preserve">Relay Service (TRS) </w:t>
            </w:r>
            <w:r w:rsidRPr="00C83417" w:rsidR="00C41A2D">
              <w:rPr>
                <w:sz w:val="22"/>
                <w:szCs w:val="22"/>
              </w:rPr>
              <w:t>standards to be more consistent with current usage of TTY-based relay service</w:t>
            </w:r>
            <w:r w:rsidR="00C41A2D">
              <w:rPr>
                <w:sz w:val="22"/>
                <w:szCs w:val="22"/>
              </w:rPr>
              <w:t>s</w:t>
            </w:r>
            <w:r w:rsidR="007721BD">
              <w:rPr>
                <w:sz w:val="22"/>
                <w:szCs w:val="22"/>
              </w:rPr>
              <w:t>.</w:t>
            </w:r>
            <w:r w:rsidR="00E86516">
              <w:rPr>
                <w:sz w:val="22"/>
                <w:szCs w:val="22"/>
              </w:rPr>
              <w:t xml:space="preserve"> </w:t>
            </w:r>
            <w:r w:rsidR="00C41A2D">
              <w:rPr>
                <w:sz w:val="22"/>
                <w:szCs w:val="22"/>
              </w:rPr>
              <w:t xml:space="preserve"> </w:t>
            </w:r>
            <w:r w:rsidR="00C41A2D">
              <w:rPr>
                <w:sz w:val="22"/>
                <w:szCs w:val="22"/>
              </w:rPr>
              <w:t xml:space="preserve">TRS services ensure </w:t>
            </w:r>
            <w:r w:rsidR="009E6414">
              <w:rPr>
                <w:sz w:val="22"/>
                <w:szCs w:val="22"/>
              </w:rPr>
              <w:t>functionally equivalent communication for</w:t>
            </w:r>
            <w:r w:rsidRPr="00C83417" w:rsidR="00314DB9">
              <w:rPr>
                <w:sz w:val="22"/>
                <w:szCs w:val="22"/>
              </w:rPr>
              <w:t xml:space="preserve"> Americans with hearing and speech disabilities</w:t>
            </w:r>
            <w:r w:rsidRPr="00C83417" w:rsidR="00717423">
              <w:rPr>
                <w:sz w:val="22"/>
                <w:szCs w:val="22"/>
              </w:rPr>
              <w:t>.</w:t>
            </w:r>
            <w:r w:rsidRPr="00C83417" w:rsidR="00065634">
              <w:rPr>
                <w:sz w:val="22"/>
                <w:szCs w:val="22"/>
              </w:rPr>
              <w:t xml:space="preserve">  </w:t>
            </w:r>
            <w:r w:rsidR="00C41A2D">
              <w:rPr>
                <w:sz w:val="22"/>
                <w:szCs w:val="22"/>
              </w:rPr>
              <w:t>In this proceeding</w:t>
            </w:r>
            <w:r w:rsidRPr="00C83417" w:rsidR="00314DB9">
              <w:rPr>
                <w:sz w:val="22"/>
                <w:szCs w:val="22"/>
              </w:rPr>
              <w:t>, t</w:t>
            </w:r>
            <w:r w:rsidRPr="00C83417" w:rsidR="00803E08">
              <w:rPr>
                <w:sz w:val="22"/>
                <w:szCs w:val="22"/>
              </w:rPr>
              <w:t>he</w:t>
            </w:r>
            <w:r w:rsidR="00EB4D4C">
              <w:rPr>
                <w:sz w:val="22"/>
                <w:szCs w:val="22"/>
              </w:rPr>
              <w:t xml:space="preserve"> FCC</w:t>
            </w:r>
            <w:r w:rsidRPr="00C83417" w:rsidR="00803E08">
              <w:rPr>
                <w:sz w:val="22"/>
                <w:szCs w:val="22"/>
              </w:rPr>
              <w:t xml:space="preserve"> </w:t>
            </w:r>
            <w:r w:rsidRPr="00C83417" w:rsidR="00314DB9">
              <w:rPr>
                <w:sz w:val="22"/>
                <w:szCs w:val="22"/>
              </w:rPr>
              <w:t xml:space="preserve">is looking to </w:t>
            </w:r>
            <w:r w:rsidR="00D41B13">
              <w:rPr>
                <w:sz w:val="22"/>
                <w:szCs w:val="22"/>
              </w:rPr>
              <w:t xml:space="preserve">delete </w:t>
            </w:r>
            <w:r w:rsidR="00701664">
              <w:rPr>
                <w:sz w:val="22"/>
                <w:szCs w:val="22"/>
              </w:rPr>
              <w:t>the</w:t>
            </w:r>
            <w:r w:rsidR="00D41B13">
              <w:rPr>
                <w:sz w:val="22"/>
                <w:szCs w:val="22"/>
              </w:rPr>
              <w:t xml:space="preserve"> </w:t>
            </w:r>
            <w:r w:rsidR="00D4390D">
              <w:rPr>
                <w:sz w:val="22"/>
                <w:szCs w:val="22"/>
              </w:rPr>
              <w:t>requirement</w:t>
            </w:r>
            <w:r w:rsidR="008A6BC2">
              <w:rPr>
                <w:sz w:val="22"/>
                <w:szCs w:val="22"/>
              </w:rPr>
              <w:t xml:space="preserve"> </w:t>
            </w:r>
            <w:r w:rsidR="009661B5">
              <w:rPr>
                <w:sz w:val="22"/>
                <w:szCs w:val="22"/>
              </w:rPr>
              <w:t>that TRS providers support the ASCII format</w:t>
            </w:r>
            <w:r w:rsidR="008A6BC2">
              <w:rPr>
                <w:sz w:val="22"/>
                <w:szCs w:val="22"/>
              </w:rPr>
              <w:t xml:space="preserve"> </w:t>
            </w:r>
            <w:r w:rsidR="00BE2D5A">
              <w:rPr>
                <w:sz w:val="22"/>
                <w:szCs w:val="22"/>
              </w:rPr>
              <w:t>of text telephony (TTY) technology</w:t>
            </w:r>
            <w:r w:rsidR="00BE2D5A">
              <w:rPr>
                <w:sz w:val="22"/>
                <w:szCs w:val="22"/>
              </w:rPr>
              <w:t xml:space="preserve"> </w:t>
            </w:r>
            <w:r w:rsidR="00CD62D9">
              <w:rPr>
                <w:sz w:val="22"/>
                <w:szCs w:val="22"/>
              </w:rPr>
              <w:t xml:space="preserve">on </w:t>
            </w:r>
            <w:r w:rsidR="00FA4388">
              <w:rPr>
                <w:sz w:val="22"/>
                <w:szCs w:val="22"/>
              </w:rPr>
              <w:t xml:space="preserve">analog </w:t>
            </w:r>
            <w:r w:rsidR="008E6FA5">
              <w:rPr>
                <w:sz w:val="22"/>
                <w:szCs w:val="22"/>
              </w:rPr>
              <w:t xml:space="preserve">telephone </w:t>
            </w:r>
            <w:r w:rsidR="008A6BC2">
              <w:rPr>
                <w:sz w:val="22"/>
                <w:szCs w:val="22"/>
              </w:rPr>
              <w:t>networks</w:t>
            </w:r>
            <w:r w:rsidR="009661B5">
              <w:rPr>
                <w:sz w:val="22"/>
                <w:szCs w:val="22"/>
              </w:rPr>
              <w:t>.</w:t>
            </w:r>
            <w:r w:rsidR="00F74C62">
              <w:rPr>
                <w:sz w:val="22"/>
                <w:szCs w:val="22"/>
              </w:rPr>
              <w:t xml:space="preserve"> </w:t>
            </w:r>
          </w:p>
          <w:p w:rsidR="00733862" w:rsidP="006D748C" w14:paraId="52A2618B" w14:textId="77777777">
            <w:pPr>
              <w:rPr>
                <w:sz w:val="22"/>
                <w:szCs w:val="22"/>
              </w:rPr>
            </w:pPr>
          </w:p>
          <w:p w:rsidR="00402FF9" w:rsidP="00527D8B" w14:paraId="10A52216" w14:textId="01E29E8C">
            <w:pPr>
              <w:rPr>
                <w:sz w:val="22"/>
                <w:szCs w:val="22"/>
              </w:rPr>
            </w:pPr>
            <w:r w:rsidRPr="00E9598D">
              <w:rPr>
                <w:sz w:val="22"/>
                <w:szCs w:val="22"/>
              </w:rPr>
              <w:t>ASCII calls account for approximately 0.01% of TTY-based communication</w:t>
            </w:r>
            <w:r w:rsidR="001E0293">
              <w:rPr>
                <w:sz w:val="22"/>
                <w:szCs w:val="22"/>
              </w:rPr>
              <w:t>s, resulting in m</w:t>
            </w:r>
            <w:r w:rsidRPr="00C83417" w:rsidR="00EB0B1A">
              <w:rPr>
                <w:sz w:val="22"/>
                <w:szCs w:val="22"/>
              </w:rPr>
              <w:t xml:space="preserve">anufacturers </w:t>
            </w:r>
            <w:r w:rsidR="00237D95">
              <w:rPr>
                <w:sz w:val="22"/>
                <w:szCs w:val="22"/>
              </w:rPr>
              <w:t xml:space="preserve">no </w:t>
            </w:r>
            <w:r w:rsidRPr="00C83417" w:rsidR="00EB0B1A">
              <w:rPr>
                <w:sz w:val="22"/>
                <w:szCs w:val="22"/>
              </w:rPr>
              <w:t>longer includ</w:t>
            </w:r>
            <w:r w:rsidR="001E0293">
              <w:rPr>
                <w:sz w:val="22"/>
                <w:szCs w:val="22"/>
              </w:rPr>
              <w:t>ing</w:t>
            </w:r>
            <w:r w:rsidRPr="00C83417" w:rsidR="00EB0B1A">
              <w:rPr>
                <w:sz w:val="22"/>
                <w:szCs w:val="22"/>
              </w:rPr>
              <w:t xml:space="preserve"> support for the ASCII format</w:t>
            </w:r>
            <w:r w:rsidR="00E65373">
              <w:rPr>
                <w:sz w:val="22"/>
                <w:szCs w:val="22"/>
              </w:rPr>
              <w:t xml:space="preserve"> in TTY devices</w:t>
            </w:r>
            <w:r w:rsidRPr="00C83417" w:rsidR="00EB0B1A">
              <w:rPr>
                <w:sz w:val="22"/>
                <w:szCs w:val="22"/>
              </w:rPr>
              <w:t>.</w:t>
            </w:r>
            <w:r w:rsidR="0061172B">
              <w:rPr>
                <w:sz w:val="22"/>
                <w:szCs w:val="22"/>
              </w:rPr>
              <w:t xml:space="preserve">  </w:t>
            </w:r>
            <w:r w:rsidR="001E0293">
              <w:rPr>
                <w:sz w:val="22"/>
                <w:szCs w:val="22"/>
              </w:rPr>
              <w:t>Therefore</w:t>
            </w:r>
            <w:r w:rsidR="00EB0B1A">
              <w:rPr>
                <w:sz w:val="22"/>
                <w:szCs w:val="22"/>
              </w:rPr>
              <w:t>,</w:t>
            </w:r>
            <w:r w:rsidR="00E01B59">
              <w:rPr>
                <w:sz w:val="22"/>
                <w:szCs w:val="22"/>
              </w:rPr>
              <w:t xml:space="preserve"> </w:t>
            </w:r>
            <w:r w:rsidR="00FB72E7">
              <w:rPr>
                <w:sz w:val="22"/>
                <w:szCs w:val="22"/>
              </w:rPr>
              <w:t xml:space="preserve">continuing to apply the </w:t>
            </w:r>
            <w:r w:rsidR="005457F5">
              <w:rPr>
                <w:sz w:val="22"/>
                <w:szCs w:val="22"/>
              </w:rPr>
              <w:t>ASCII rule cause</w:t>
            </w:r>
            <w:r w:rsidR="00A32B93">
              <w:rPr>
                <w:sz w:val="22"/>
                <w:szCs w:val="22"/>
              </w:rPr>
              <w:t>s</w:t>
            </w:r>
            <w:r w:rsidR="005457F5">
              <w:rPr>
                <w:sz w:val="22"/>
                <w:szCs w:val="22"/>
              </w:rPr>
              <w:t xml:space="preserve"> </w:t>
            </w:r>
            <w:r w:rsidRPr="00C83417" w:rsidR="00733862">
              <w:rPr>
                <w:sz w:val="22"/>
                <w:szCs w:val="22"/>
              </w:rPr>
              <w:t xml:space="preserve">TTY-based TRS providers </w:t>
            </w:r>
            <w:r w:rsidR="00E81B31">
              <w:rPr>
                <w:sz w:val="22"/>
                <w:szCs w:val="22"/>
              </w:rPr>
              <w:t xml:space="preserve">to </w:t>
            </w:r>
            <w:r w:rsidRPr="00C83417" w:rsidR="00733862">
              <w:rPr>
                <w:sz w:val="22"/>
                <w:szCs w:val="22"/>
              </w:rPr>
              <w:t xml:space="preserve">incur </w:t>
            </w:r>
            <w:r w:rsidR="00E81B31">
              <w:rPr>
                <w:sz w:val="22"/>
                <w:szCs w:val="22"/>
              </w:rPr>
              <w:t xml:space="preserve">unnecessary </w:t>
            </w:r>
            <w:r w:rsidRPr="00C83417" w:rsidR="00733862">
              <w:rPr>
                <w:sz w:val="22"/>
                <w:szCs w:val="22"/>
              </w:rPr>
              <w:t>costs to keep their hardware and software systems compatible</w:t>
            </w:r>
            <w:r w:rsidR="000A59FC">
              <w:rPr>
                <w:sz w:val="22"/>
                <w:szCs w:val="22"/>
              </w:rPr>
              <w:t>.</w:t>
            </w:r>
            <w:r w:rsidR="00F1436B">
              <w:rPr>
                <w:sz w:val="22"/>
                <w:szCs w:val="22"/>
              </w:rPr>
              <w:t xml:space="preserve">  </w:t>
            </w:r>
            <w:r w:rsidR="00733862">
              <w:rPr>
                <w:sz w:val="22"/>
                <w:szCs w:val="22"/>
              </w:rPr>
              <w:t>This deletion</w:t>
            </w:r>
            <w:r w:rsidR="002B076B">
              <w:rPr>
                <w:sz w:val="22"/>
                <w:szCs w:val="22"/>
              </w:rPr>
              <w:t>, which follows a 2022</w:t>
            </w:r>
            <w:r w:rsidRPr="00C83417" w:rsidR="002B076B">
              <w:rPr>
                <w:sz w:val="22"/>
                <w:szCs w:val="22"/>
              </w:rPr>
              <w:t xml:space="preserve"> petition to eliminate the ASCII requirement</w:t>
            </w:r>
            <w:r w:rsidR="002B076B">
              <w:rPr>
                <w:sz w:val="22"/>
                <w:szCs w:val="22"/>
              </w:rPr>
              <w:t>,</w:t>
            </w:r>
            <w:r w:rsidRPr="00C83417" w:rsidR="00733862">
              <w:rPr>
                <w:sz w:val="22"/>
                <w:szCs w:val="22"/>
              </w:rPr>
              <w:t xml:space="preserve"> will reduce costs</w:t>
            </w:r>
            <w:r w:rsidR="000A59FC">
              <w:rPr>
                <w:sz w:val="22"/>
                <w:szCs w:val="22"/>
              </w:rPr>
              <w:t xml:space="preserve"> </w:t>
            </w:r>
            <w:r w:rsidR="00391C87">
              <w:rPr>
                <w:sz w:val="22"/>
                <w:szCs w:val="22"/>
              </w:rPr>
              <w:t>by</w:t>
            </w:r>
            <w:r w:rsidR="000A59FC">
              <w:rPr>
                <w:sz w:val="22"/>
                <w:szCs w:val="22"/>
              </w:rPr>
              <w:t xml:space="preserve"> </w:t>
            </w:r>
            <w:r w:rsidRPr="00C83417" w:rsidR="00733862">
              <w:rPr>
                <w:sz w:val="22"/>
                <w:szCs w:val="22"/>
              </w:rPr>
              <w:t>eliminat</w:t>
            </w:r>
            <w:r w:rsidR="00391C87">
              <w:rPr>
                <w:sz w:val="22"/>
                <w:szCs w:val="22"/>
              </w:rPr>
              <w:t>ing</w:t>
            </w:r>
            <w:r w:rsidRPr="00C83417" w:rsidR="00733862">
              <w:rPr>
                <w:sz w:val="22"/>
                <w:szCs w:val="22"/>
              </w:rPr>
              <w:t xml:space="preserve"> an outdated regulatory requirement</w:t>
            </w:r>
            <w:r w:rsidR="002B076B">
              <w:rPr>
                <w:sz w:val="22"/>
                <w:szCs w:val="22"/>
              </w:rPr>
              <w:t xml:space="preserve"> established in 1991</w:t>
            </w:r>
            <w:r w:rsidR="00733862">
              <w:rPr>
                <w:sz w:val="22"/>
                <w:szCs w:val="22"/>
              </w:rPr>
              <w:t>.</w:t>
            </w:r>
            <w:r w:rsidR="0061172B">
              <w:rPr>
                <w:sz w:val="22"/>
                <w:szCs w:val="22"/>
              </w:rPr>
              <w:t xml:space="preserve"> </w:t>
            </w:r>
          </w:p>
          <w:p w:rsidR="00402FF9" w:rsidP="00527D8B" w14:paraId="55A43E2A" w14:textId="77777777">
            <w:pPr>
              <w:rPr>
                <w:sz w:val="22"/>
                <w:szCs w:val="22"/>
              </w:rPr>
            </w:pPr>
          </w:p>
          <w:p w:rsidR="00527D8B" w:rsidP="008C3968" w14:paraId="24A8E24D" w14:textId="4F96F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Today’s action continues the FCC’s work to </w:t>
            </w:r>
            <w:r w:rsidRPr="008C3968" w:rsidR="008C3968">
              <w:rPr>
                <w:sz w:val="22"/>
                <w:szCs w:val="22"/>
              </w:rPr>
              <w:t>unleash a new wave of economic</w:t>
            </w:r>
            <w:r w:rsidR="008C3968">
              <w:rPr>
                <w:sz w:val="22"/>
                <w:szCs w:val="22"/>
              </w:rPr>
              <w:t xml:space="preserve"> </w:t>
            </w:r>
            <w:r w:rsidRPr="008C3968" w:rsidR="008C3968">
              <w:rPr>
                <w:sz w:val="22"/>
                <w:szCs w:val="22"/>
              </w:rPr>
              <w:t>opportunity by ending</w:t>
            </w:r>
            <w:r w:rsidR="00773E6E">
              <w:rPr>
                <w:sz w:val="22"/>
                <w:szCs w:val="22"/>
              </w:rPr>
              <w:t xml:space="preserve"> unnecessary</w:t>
            </w:r>
            <w:r w:rsidR="00211F19">
              <w:rPr>
                <w:sz w:val="22"/>
                <w:szCs w:val="22"/>
              </w:rPr>
              <w:t>, outdated,</w:t>
            </w:r>
            <w:r w:rsidR="00773E6E">
              <w:rPr>
                <w:sz w:val="22"/>
                <w:szCs w:val="22"/>
              </w:rPr>
              <w:t xml:space="preserve"> and burdensome regulations</w:t>
            </w:r>
            <w:r w:rsidR="00391C87">
              <w:rPr>
                <w:sz w:val="22"/>
                <w:szCs w:val="22"/>
              </w:rPr>
              <w:t>.</w:t>
            </w:r>
            <w:r w:rsidR="002A2989">
              <w:rPr>
                <w:sz w:val="22"/>
                <w:szCs w:val="22"/>
              </w:rPr>
              <w:t xml:space="preserve"> </w:t>
            </w:r>
            <w:r w:rsidR="00773E6E">
              <w:rPr>
                <w:sz w:val="22"/>
                <w:szCs w:val="22"/>
              </w:rPr>
              <w:t xml:space="preserve"> In</w:t>
            </w:r>
            <w:r w:rsidR="002A65AC">
              <w:rPr>
                <w:sz w:val="22"/>
                <w:szCs w:val="22"/>
              </w:rPr>
              <w:t xml:space="preserve"> </w:t>
            </w:r>
            <w:r w:rsidR="00773E6E">
              <w:rPr>
                <w:sz w:val="22"/>
                <w:szCs w:val="22"/>
              </w:rPr>
              <w:t>keeping with this</w:t>
            </w:r>
            <w:r>
              <w:rPr>
                <w:sz w:val="22"/>
                <w:szCs w:val="22"/>
              </w:rPr>
              <w:t xml:space="preserve"> </w:t>
            </w:r>
            <w:r w:rsidR="00391C87">
              <w:rPr>
                <w:sz w:val="22"/>
                <w:szCs w:val="22"/>
              </w:rPr>
              <w:t xml:space="preserve">“Delete, Delete, </w:t>
            </w:r>
            <w:r w:rsidR="00391C87">
              <w:rPr>
                <w:sz w:val="22"/>
                <w:szCs w:val="22"/>
              </w:rPr>
              <w:t>Delete</w:t>
            </w:r>
            <w:r w:rsidR="00803DAD">
              <w:rPr>
                <w:sz w:val="22"/>
                <w:szCs w:val="22"/>
              </w:rPr>
              <w:t>”</w:t>
            </w:r>
            <w:r w:rsidR="00A60E5E">
              <w:rPr>
                <w:sz w:val="22"/>
                <w:szCs w:val="22"/>
              </w:rPr>
              <w:t xml:space="preserve"> </w:t>
            </w:r>
            <w:r w:rsidR="00773E6E">
              <w:rPr>
                <w:sz w:val="22"/>
                <w:szCs w:val="22"/>
              </w:rPr>
              <w:t>initiative</w:t>
            </w:r>
            <w:r>
              <w:rPr>
                <w:sz w:val="22"/>
                <w:szCs w:val="22"/>
              </w:rPr>
              <w:t xml:space="preserve">, </w:t>
            </w:r>
            <w:r w:rsidR="00773E6E">
              <w:rPr>
                <w:sz w:val="22"/>
                <w:szCs w:val="22"/>
              </w:rPr>
              <w:t>t</w:t>
            </w:r>
            <w:r w:rsidR="00147228">
              <w:rPr>
                <w:sz w:val="22"/>
                <w:szCs w:val="22"/>
              </w:rPr>
              <w:t xml:space="preserve">oday’s proposal </w:t>
            </w:r>
            <w:r w:rsidR="00565924">
              <w:rPr>
                <w:sz w:val="22"/>
                <w:szCs w:val="22"/>
              </w:rPr>
              <w:t>would help</w:t>
            </w:r>
            <w:r w:rsidR="001472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companies invest more resources in modernization efforts to ensure </w:t>
            </w:r>
            <w:r w:rsidR="00F53EE4">
              <w:rPr>
                <w:sz w:val="22"/>
                <w:szCs w:val="22"/>
              </w:rPr>
              <w:t xml:space="preserve">continued </w:t>
            </w:r>
            <w:r>
              <w:rPr>
                <w:sz w:val="22"/>
                <w:szCs w:val="22"/>
              </w:rPr>
              <w:t xml:space="preserve">U.S. </w:t>
            </w:r>
            <w:r w:rsidR="00F53EE4">
              <w:rPr>
                <w:sz w:val="22"/>
                <w:szCs w:val="22"/>
              </w:rPr>
              <w:t xml:space="preserve">leadership in </w:t>
            </w:r>
            <w:r>
              <w:rPr>
                <w:sz w:val="22"/>
                <w:szCs w:val="22"/>
              </w:rPr>
              <w:t>telecommunications.</w:t>
            </w:r>
          </w:p>
          <w:p w:rsidR="00527D8B" w:rsidP="00527D8B" w14:paraId="7DFE732B" w14:textId="77777777">
            <w:pPr>
              <w:rPr>
                <w:sz w:val="22"/>
                <w:szCs w:val="22"/>
              </w:rPr>
            </w:pPr>
          </w:p>
          <w:p w:rsidR="009B5A1E" w:rsidRPr="009B5A1E" w:rsidP="009B5A1E" w14:paraId="4987204D" w14:textId="0BEF6830">
            <w:pPr>
              <w:rPr>
                <w:sz w:val="22"/>
                <w:szCs w:val="22"/>
              </w:rPr>
            </w:pPr>
            <w:r w:rsidRPr="009B5A1E">
              <w:rPr>
                <w:sz w:val="22"/>
                <w:szCs w:val="22"/>
              </w:rPr>
              <w:t xml:space="preserve">Action by the Commission June 26, </w:t>
            </w:r>
            <w:r w:rsidRPr="009B5A1E">
              <w:rPr>
                <w:sz w:val="22"/>
                <w:szCs w:val="22"/>
              </w:rPr>
              <w:t>2025</w:t>
            </w:r>
            <w:r w:rsidRPr="009B5A1E">
              <w:rPr>
                <w:sz w:val="22"/>
                <w:szCs w:val="22"/>
              </w:rPr>
              <w:t xml:space="preserve"> by Notice of Proposed Rulemaking (FCC 25-35).  Chairman Carr, Commissioners Gomez and Trusty approving.  Chairman Carr</w:t>
            </w:r>
            <w:r w:rsidR="009145D6">
              <w:rPr>
                <w:sz w:val="22"/>
                <w:szCs w:val="22"/>
              </w:rPr>
              <w:t xml:space="preserve"> and</w:t>
            </w:r>
            <w:r w:rsidRPr="009B5A1E">
              <w:rPr>
                <w:sz w:val="22"/>
                <w:szCs w:val="22"/>
              </w:rPr>
              <w:t xml:space="preserve"> Commissioner Trusty issuing separate statements.</w:t>
            </w:r>
          </w:p>
          <w:p w:rsidR="009B5A1E" w:rsidRPr="009B5A1E" w:rsidP="009B5A1E" w14:paraId="5FEEFA12" w14:textId="77777777">
            <w:pPr>
              <w:rPr>
                <w:sz w:val="22"/>
                <w:szCs w:val="22"/>
              </w:rPr>
            </w:pPr>
          </w:p>
          <w:p w:rsidR="009B5A1E" w:rsidP="009B5A1E" w14:paraId="75122C3F" w14:textId="6DFC650B">
            <w:pPr>
              <w:rPr>
                <w:sz w:val="22"/>
                <w:szCs w:val="22"/>
              </w:rPr>
            </w:pPr>
            <w:r w:rsidRPr="009B5A1E">
              <w:rPr>
                <w:sz w:val="22"/>
                <w:szCs w:val="22"/>
              </w:rPr>
              <w:t>CG Docket No. 03-123</w:t>
            </w:r>
          </w:p>
          <w:p w:rsidR="009B5A1E" w:rsidRPr="002E165B" w:rsidP="009B5A1E" w14:paraId="1305C374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77DC7EFE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104B0D" w:rsidRPr="00104B0D" w:rsidP="00104B0D" w14:paraId="6100C3BE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br/>
              <w:t>Media Contact: MediaRelations@fcc.gov / (202) 418-0500</w:t>
            </w:r>
          </w:p>
          <w:p w:rsidR="00EE0E90" w:rsidP="00104B0D" w14:paraId="75623865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t>@FCC</w:t>
            </w:r>
            <w:r w:rsidRPr="00104B0D">
              <w:rPr>
                <w:b/>
                <w:bCs/>
                <w:sz w:val="22"/>
                <w:szCs w:val="22"/>
              </w:rPr>
              <w:t xml:space="preserve"> / </w:t>
            </w:r>
            <w:r w:rsidRPr="00FF105E" w:rsidR="00FF105E">
              <w:rPr>
                <w:b/>
                <w:bCs/>
                <w:sz w:val="22"/>
                <w:szCs w:val="22"/>
              </w:rPr>
              <w:t>www.fcc.gov</w:t>
            </w:r>
          </w:p>
          <w:p w:rsidR="00FF105E" w:rsidP="00104B0D" w14:paraId="541A7BDE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  <w:p w:rsidR="00FF105E" w:rsidRPr="00104B0D" w:rsidP="00104B0D" w14:paraId="170ED32F" w14:textId="77777777">
            <w:pPr>
              <w:ind w:right="7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D24C3D" w:rsidRPr="007528A5" w14:paraId="5C539CB5" w14:textId="77777777">
      <w:pPr>
        <w:rPr>
          <w:b/>
          <w:bCs/>
          <w:sz w:val="2"/>
          <w:szCs w:val="2"/>
        </w:rPr>
      </w:pPr>
    </w:p>
    <w:sectPr w:rsidSect="00FF105E"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4071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3"/>
    <w:rsid w:val="00004ECA"/>
    <w:rsid w:val="00012186"/>
    <w:rsid w:val="0002500C"/>
    <w:rsid w:val="000311FC"/>
    <w:rsid w:val="00040127"/>
    <w:rsid w:val="00065634"/>
    <w:rsid w:val="00065E2D"/>
    <w:rsid w:val="00081232"/>
    <w:rsid w:val="00091E65"/>
    <w:rsid w:val="00096D4A"/>
    <w:rsid w:val="000A38EA"/>
    <w:rsid w:val="000A59FC"/>
    <w:rsid w:val="000B3427"/>
    <w:rsid w:val="000C0E0F"/>
    <w:rsid w:val="000C1E47"/>
    <w:rsid w:val="000C26F3"/>
    <w:rsid w:val="000C362B"/>
    <w:rsid w:val="000D0EEA"/>
    <w:rsid w:val="000D4846"/>
    <w:rsid w:val="000E049E"/>
    <w:rsid w:val="000E3673"/>
    <w:rsid w:val="000F6AD8"/>
    <w:rsid w:val="00104B0D"/>
    <w:rsid w:val="0010799B"/>
    <w:rsid w:val="00117DB2"/>
    <w:rsid w:val="00123ED2"/>
    <w:rsid w:val="001242A0"/>
    <w:rsid w:val="00125BE0"/>
    <w:rsid w:val="00134A4A"/>
    <w:rsid w:val="00136B6E"/>
    <w:rsid w:val="00142C13"/>
    <w:rsid w:val="001456BF"/>
    <w:rsid w:val="00146EC1"/>
    <w:rsid w:val="00147228"/>
    <w:rsid w:val="00152776"/>
    <w:rsid w:val="00153222"/>
    <w:rsid w:val="001561F3"/>
    <w:rsid w:val="001577D3"/>
    <w:rsid w:val="00170A1E"/>
    <w:rsid w:val="001733A6"/>
    <w:rsid w:val="001865A9"/>
    <w:rsid w:val="00187DB2"/>
    <w:rsid w:val="001B030B"/>
    <w:rsid w:val="001B20BB"/>
    <w:rsid w:val="001B67B2"/>
    <w:rsid w:val="001B69B1"/>
    <w:rsid w:val="001C4370"/>
    <w:rsid w:val="001C6594"/>
    <w:rsid w:val="001D140F"/>
    <w:rsid w:val="001D3779"/>
    <w:rsid w:val="001E0293"/>
    <w:rsid w:val="001E361F"/>
    <w:rsid w:val="001F0469"/>
    <w:rsid w:val="001F55CF"/>
    <w:rsid w:val="00203814"/>
    <w:rsid w:val="00203A98"/>
    <w:rsid w:val="00206EDD"/>
    <w:rsid w:val="00211F19"/>
    <w:rsid w:val="0021247E"/>
    <w:rsid w:val="002146F6"/>
    <w:rsid w:val="00231C32"/>
    <w:rsid w:val="00237D95"/>
    <w:rsid w:val="00240345"/>
    <w:rsid w:val="002421F0"/>
    <w:rsid w:val="00247274"/>
    <w:rsid w:val="00266966"/>
    <w:rsid w:val="00282ACB"/>
    <w:rsid w:val="00284717"/>
    <w:rsid w:val="00285C36"/>
    <w:rsid w:val="00286596"/>
    <w:rsid w:val="00294C0C"/>
    <w:rsid w:val="002A016A"/>
    <w:rsid w:val="002A0934"/>
    <w:rsid w:val="002A2989"/>
    <w:rsid w:val="002A65AC"/>
    <w:rsid w:val="002B076B"/>
    <w:rsid w:val="002B1013"/>
    <w:rsid w:val="002C0B0D"/>
    <w:rsid w:val="002C4A46"/>
    <w:rsid w:val="002C6F36"/>
    <w:rsid w:val="002C79C3"/>
    <w:rsid w:val="002D03E5"/>
    <w:rsid w:val="002E165B"/>
    <w:rsid w:val="002E3F1D"/>
    <w:rsid w:val="002F31D0"/>
    <w:rsid w:val="00300359"/>
    <w:rsid w:val="00311E4D"/>
    <w:rsid w:val="00314DB9"/>
    <w:rsid w:val="0031773E"/>
    <w:rsid w:val="00327365"/>
    <w:rsid w:val="003328E3"/>
    <w:rsid w:val="00333871"/>
    <w:rsid w:val="00347716"/>
    <w:rsid w:val="003506E1"/>
    <w:rsid w:val="003657AA"/>
    <w:rsid w:val="003727E3"/>
    <w:rsid w:val="0037558A"/>
    <w:rsid w:val="00385A93"/>
    <w:rsid w:val="003910F1"/>
    <w:rsid w:val="00391C87"/>
    <w:rsid w:val="00392BF4"/>
    <w:rsid w:val="00397267"/>
    <w:rsid w:val="003B4268"/>
    <w:rsid w:val="003C3C17"/>
    <w:rsid w:val="003D198A"/>
    <w:rsid w:val="003D3991"/>
    <w:rsid w:val="003D7499"/>
    <w:rsid w:val="003E42FC"/>
    <w:rsid w:val="003E5991"/>
    <w:rsid w:val="003E6F0A"/>
    <w:rsid w:val="003F2135"/>
    <w:rsid w:val="003F344A"/>
    <w:rsid w:val="003F591F"/>
    <w:rsid w:val="00401F89"/>
    <w:rsid w:val="00402FF9"/>
    <w:rsid w:val="00403FF0"/>
    <w:rsid w:val="0042046D"/>
    <w:rsid w:val="0042116E"/>
    <w:rsid w:val="00424B52"/>
    <w:rsid w:val="00425AEF"/>
    <w:rsid w:val="00426518"/>
    <w:rsid w:val="00427B06"/>
    <w:rsid w:val="00441F59"/>
    <w:rsid w:val="00444E07"/>
    <w:rsid w:val="00444FA9"/>
    <w:rsid w:val="00460D07"/>
    <w:rsid w:val="00473E9C"/>
    <w:rsid w:val="00474016"/>
    <w:rsid w:val="004745B2"/>
    <w:rsid w:val="00480099"/>
    <w:rsid w:val="004941A2"/>
    <w:rsid w:val="00497858"/>
    <w:rsid w:val="004A729A"/>
    <w:rsid w:val="004B4FEA"/>
    <w:rsid w:val="004C0ADA"/>
    <w:rsid w:val="004C3057"/>
    <w:rsid w:val="004C433E"/>
    <w:rsid w:val="004C4512"/>
    <w:rsid w:val="004C4F36"/>
    <w:rsid w:val="004D3D85"/>
    <w:rsid w:val="004D6D36"/>
    <w:rsid w:val="004E2BD8"/>
    <w:rsid w:val="004E4917"/>
    <w:rsid w:val="004F0F1F"/>
    <w:rsid w:val="00500E42"/>
    <w:rsid w:val="005022AA"/>
    <w:rsid w:val="00504845"/>
    <w:rsid w:val="0050757F"/>
    <w:rsid w:val="00516609"/>
    <w:rsid w:val="00516AD2"/>
    <w:rsid w:val="005170C4"/>
    <w:rsid w:val="00526ABC"/>
    <w:rsid w:val="00527D8B"/>
    <w:rsid w:val="005337D4"/>
    <w:rsid w:val="00545252"/>
    <w:rsid w:val="00545456"/>
    <w:rsid w:val="005457F5"/>
    <w:rsid w:val="00545DAE"/>
    <w:rsid w:val="0055369F"/>
    <w:rsid w:val="00565924"/>
    <w:rsid w:val="00571A8E"/>
    <w:rsid w:val="00571B83"/>
    <w:rsid w:val="00574BE5"/>
    <w:rsid w:val="00575A00"/>
    <w:rsid w:val="00584DF5"/>
    <w:rsid w:val="005863F2"/>
    <w:rsid w:val="00586417"/>
    <w:rsid w:val="0058673C"/>
    <w:rsid w:val="005A7017"/>
    <w:rsid w:val="005A7972"/>
    <w:rsid w:val="005B17E7"/>
    <w:rsid w:val="005B2643"/>
    <w:rsid w:val="005D17FD"/>
    <w:rsid w:val="005E01D1"/>
    <w:rsid w:val="005F0D55"/>
    <w:rsid w:val="005F183E"/>
    <w:rsid w:val="00600DDA"/>
    <w:rsid w:val="00603A30"/>
    <w:rsid w:val="00604211"/>
    <w:rsid w:val="0061172B"/>
    <w:rsid w:val="00613498"/>
    <w:rsid w:val="00614CFC"/>
    <w:rsid w:val="00617B94"/>
    <w:rsid w:val="00620BED"/>
    <w:rsid w:val="006216E0"/>
    <w:rsid w:val="00626FFF"/>
    <w:rsid w:val="00630EFB"/>
    <w:rsid w:val="00634917"/>
    <w:rsid w:val="0064063F"/>
    <w:rsid w:val="006415B4"/>
    <w:rsid w:val="00644E3D"/>
    <w:rsid w:val="00651663"/>
    <w:rsid w:val="00651B9E"/>
    <w:rsid w:val="00652019"/>
    <w:rsid w:val="0065747C"/>
    <w:rsid w:val="00657EC9"/>
    <w:rsid w:val="00660D01"/>
    <w:rsid w:val="00665633"/>
    <w:rsid w:val="00674C86"/>
    <w:rsid w:val="0068015E"/>
    <w:rsid w:val="0068428D"/>
    <w:rsid w:val="006861AB"/>
    <w:rsid w:val="00686B89"/>
    <w:rsid w:val="00691046"/>
    <w:rsid w:val="0069420F"/>
    <w:rsid w:val="006A2FC5"/>
    <w:rsid w:val="006A7D75"/>
    <w:rsid w:val="006B0A70"/>
    <w:rsid w:val="006B606A"/>
    <w:rsid w:val="006C1E90"/>
    <w:rsid w:val="006C33AF"/>
    <w:rsid w:val="006D16EF"/>
    <w:rsid w:val="006D5D22"/>
    <w:rsid w:val="006D748C"/>
    <w:rsid w:val="006D78E7"/>
    <w:rsid w:val="006E0324"/>
    <w:rsid w:val="006E0D2C"/>
    <w:rsid w:val="006E2B2C"/>
    <w:rsid w:val="006E4A76"/>
    <w:rsid w:val="006F1DBD"/>
    <w:rsid w:val="00700556"/>
    <w:rsid w:val="00701664"/>
    <w:rsid w:val="0070589A"/>
    <w:rsid w:val="007167DD"/>
    <w:rsid w:val="00717423"/>
    <w:rsid w:val="0072478B"/>
    <w:rsid w:val="00733862"/>
    <w:rsid w:val="0073414D"/>
    <w:rsid w:val="007475A1"/>
    <w:rsid w:val="00750875"/>
    <w:rsid w:val="00750A11"/>
    <w:rsid w:val="0075235E"/>
    <w:rsid w:val="007528A5"/>
    <w:rsid w:val="0076197B"/>
    <w:rsid w:val="00766FCA"/>
    <w:rsid w:val="007721BD"/>
    <w:rsid w:val="007732CC"/>
    <w:rsid w:val="00773E6E"/>
    <w:rsid w:val="00774079"/>
    <w:rsid w:val="0077752B"/>
    <w:rsid w:val="00793D6F"/>
    <w:rsid w:val="00794090"/>
    <w:rsid w:val="007966BA"/>
    <w:rsid w:val="007A44F8"/>
    <w:rsid w:val="007A562A"/>
    <w:rsid w:val="007B5271"/>
    <w:rsid w:val="007D21BF"/>
    <w:rsid w:val="007E3FF4"/>
    <w:rsid w:val="007E6005"/>
    <w:rsid w:val="007F3C12"/>
    <w:rsid w:val="007F418E"/>
    <w:rsid w:val="007F5205"/>
    <w:rsid w:val="00801B05"/>
    <w:rsid w:val="00803DAD"/>
    <w:rsid w:val="00803E08"/>
    <w:rsid w:val="0080486B"/>
    <w:rsid w:val="008215E7"/>
    <w:rsid w:val="00830411"/>
    <w:rsid w:val="00830FC6"/>
    <w:rsid w:val="00847C60"/>
    <w:rsid w:val="00850A01"/>
    <w:rsid w:val="00850E26"/>
    <w:rsid w:val="00865EAA"/>
    <w:rsid w:val="00866F06"/>
    <w:rsid w:val="008728F5"/>
    <w:rsid w:val="00875174"/>
    <w:rsid w:val="0087545C"/>
    <w:rsid w:val="00877BA6"/>
    <w:rsid w:val="008824C2"/>
    <w:rsid w:val="008960E4"/>
    <w:rsid w:val="008A3940"/>
    <w:rsid w:val="008A6BC2"/>
    <w:rsid w:val="008B13C9"/>
    <w:rsid w:val="008B74C3"/>
    <w:rsid w:val="008C248C"/>
    <w:rsid w:val="008C3968"/>
    <w:rsid w:val="008C5432"/>
    <w:rsid w:val="008C754B"/>
    <w:rsid w:val="008C7BF1"/>
    <w:rsid w:val="008D00D6"/>
    <w:rsid w:val="008D4D00"/>
    <w:rsid w:val="008D4E5E"/>
    <w:rsid w:val="008D7ABD"/>
    <w:rsid w:val="008E4969"/>
    <w:rsid w:val="008E55A2"/>
    <w:rsid w:val="008E6FA5"/>
    <w:rsid w:val="008F1609"/>
    <w:rsid w:val="008F78D8"/>
    <w:rsid w:val="00910064"/>
    <w:rsid w:val="009145D6"/>
    <w:rsid w:val="00930DFA"/>
    <w:rsid w:val="0093373C"/>
    <w:rsid w:val="00961620"/>
    <w:rsid w:val="009661B5"/>
    <w:rsid w:val="009734B6"/>
    <w:rsid w:val="0097664F"/>
    <w:rsid w:val="0098096F"/>
    <w:rsid w:val="0098437A"/>
    <w:rsid w:val="00986C92"/>
    <w:rsid w:val="00993C47"/>
    <w:rsid w:val="009972BC"/>
    <w:rsid w:val="009B4B16"/>
    <w:rsid w:val="009B5A1E"/>
    <w:rsid w:val="009B7F2E"/>
    <w:rsid w:val="009C6E94"/>
    <w:rsid w:val="009E54A1"/>
    <w:rsid w:val="009E5F77"/>
    <w:rsid w:val="009E6414"/>
    <w:rsid w:val="009F4E25"/>
    <w:rsid w:val="009F5B1F"/>
    <w:rsid w:val="00A0000C"/>
    <w:rsid w:val="00A03C8E"/>
    <w:rsid w:val="00A225A9"/>
    <w:rsid w:val="00A32B93"/>
    <w:rsid w:val="00A3308E"/>
    <w:rsid w:val="00A353E0"/>
    <w:rsid w:val="00A35DFD"/>
    <w:rsid w:val="00A42143"/>
    <w:rsid w:val="00A45794"/>
    <w:rsid w:val="00A60E5E"/>
    <w:rsid w:val="00A702DF"/>
    <w:rsid w:val="00A775A3"/>
    <w:rsid w:val="00A77B51"/>
    <w:rsid w:val="00A81700"/>
    <w:rsid w:val="00A81B5B"/>
    <w:rsid w:val="00A82FAD"/>
    <w:rsid w:val="00A9673A"/>
    <w:rsid w:val="00A96EF2"/>
    <w:rsid w:val="00A973B8"/>
    <w:rsid w:val="00AA5C35"/>
    <w:rsid w:val="00AA5ED9"/>
    <w:rsid w:val="00AB268E"/>
    <w:rsid w:val="00AC0A38"/>
    <w:rsid w:val="00AC1FD9"/>
    <w:rsid w:val="00AC4E0E"/>
    <w:rsid w:val="00AC517B"/>
    <w:rsid w:val="00AD078F"/>
    <w:rsid w:val="00AD0D19"/>
    <w:rsid w:val="00AD4184"/>
    <w:rsid w:val="00AE464B"/>
    <w:rsid w:val="00AF051B"/>
    <w:rsid w:val="00AF2F69"/>
    <w:rsid w:val="00B01F43"/>
    <w:rsid w:val="00B037A2"/>
    <w:rsid w:val="00B108D7"/>
    <w:rsid w:val="00B125B4"/>
    <w:rsid w:val="00B206BF"/>
    <w:rsid w:val="00B31870"/>
    <w:rsid w:val="00B320B8"/>
    <w:rsid w:val="00B35EE2"/>
    <w:rsid w:val="00B36DEF"/>
    <w:rsid w:val="00B57131"/>
    <w:rsid w:val="00B62F2C"/>
    <w:rsid w:val="00B639D8"/>
    <w:rsid w:val="00B72307"/>
    <w:rsid w:val="00B727C9"/>
    <w:rsid w:val="00B735C8"/>
    <w:rsid w:val="00B76A63"/>
    <w:rsid w:val="00B77B11"/>
    <w:rsid w:val="00BA6350"/>
    <w:rsid w:val="00BB4E29"/>
    <w:rsid w:val="00BB74C9"/>
    <w:rsid w:val="00BC3AB6"/>
    <w:rsid w:val="00BD19E8"/>
    <w:rsid w:val="00BD4273"/>
    <w:rsid w:val="00BE2D5A"/>
    <w:rsid w:val="00BE4D73"/>
    <w:rsid w:val="00C04242"/>
    <w:rsid w:val="00C31ED8"/>
    <w:rsid w:val="00C41A2D"/>
    <w:rsid w:val="00C432E4"/>
    <w:rsid w:val="00C476FB"/>
    <w:rsid w:val="00C53BE2"/>
    <w:rsid w:val="00C55096"/>
    <w:rsid w:val="00C65A3C"/>
    <w:rsid w:val="00C70C26"/>
    <w:rsid w:val="00C71997"/>
    <w:rsid w:val="00C72001"/>
    <w:rsid w:val="00C7593B"/>
    <w:rsid w:val="00C772B7"/>
    <w:rsid w:val="00C80347"/>
    <w:rsid w:val="00C819F3"/>
    <w:rsid w:val="00C83417"/>
    <w:rsid w:val="00C870AC"/>
    <w:rsid w:val="00CB0D6B"/>
    <w:rsid w:val="00CB1F42"/>
    <w:rsid w:val="00CB24D2"/>
    <w:rsid w:val="00CB7C1A"/>
    <w:rsid w:val="00CC1405"/>
    <w:rsid w:val="00CC3D19"/>
    <w:rsid w:val="00CC5E08"/>
    <w:rsid w:val="00CC72B0"/>
    <w:rsid w:val="00CD62D9"/>
    <w:rsid w:val="00CE14FD"/>
    <w:rsid w:val="00CF1AB1"/>
    <w:rsid w:val="00CF2A67"/>
    <w:rsid w:val="00CF6860"/>
    <w:rsid w:val="00D02AC6"/>
    <w:rsid w:val="00D03F0C"/>
    <w:rsid w:val="00D04312"/>
    <w:rsid w:val="00D16A7F"/>
    <w:rsid w:val="00D16AD2"/>
    <w:rsid w:val="00D1722F"/>
    <w:rsid w:val="00D179D6"/>
    <w:rsid w:val="00D22596"/>
    <w:rsid w:val="00D22691"/>
    <w:rsid w:val="00D24C3D"/>
    <w:rsid w:val="00D372D8"/>
    <w:rsid w:val="00D41B13"/>
    <w:rsid w:val="00D4390D"/>
    <w:rsid w:val="00D45BD3"/>
    <w:rsid w:val="00D46CB1"/>
    <w:rsid w:val="00D56372"/>
    <w:rsid w:val="00D723F0"/>
    <w:rsid w:val="00D736BF"/>
    <w:rsid w:val="00D80B18"/>
    <w:rsid w:val="00D8133F"/>
    <w:rsid w:val="00D861EE"/>
    <w:rsid w:val="00D95B05"/>
    <w:rsid w:val="00D97E2D"/>
    <w:rsid w:val="00DA103D"/>
    <w:rsid w:val="00DA45D3"/>
    <w:rsid w:val="00DA4772"/>
    <w:rsid w:val="00DA7B44"/>
    <w:rsid w:val="00DA7C83"/>
    <w:rsid w:val="00DB2667"/>
    <w:rsid w:val="00DB67B7"/>
    <w:rsid w:val="00DC15A9"/>
    <w:rsid w:val="00DC40AA"/>
    <w:rsid w:val="00DD1750"/>
    <w:rsid w:val="00DF0407"/>
    <w:rsid w:val="00DF763A"/>
    <w:rsid w:val="00E01B59"/>
    <w:rsid w:val="00E020F1"/>
    <w:rsid w:val="00E15588"/>
    <w:rsid w:val="00E15981"/>
    <w:rsid w:val="00E349AA"/>
    <w:rsid w:val="00E41390"/>
    <w:rsid w:val="00E41CA0"/>
    <w:rsid w:val="00E4366B"/>
    <w:rsid w:val="00E50A4A"/>
    <w:rsid w:val="00E52DF6"/>
    <w:rsid w:val="00E606DE"/>
    <w:rsid w:val="00E61BF2"/>
    <w:rsid w:val="00E63BE9"/>
    <w:rsid w:val="00E644FE"/>
    <w:rsid w:val="00E65373"/>
    <w:rsid w:val="00E72733"/>
    <w:rsid w:val="00E742FA"/>
    <w:rsid w:val="00E76816"/>
    <w:rsid w:val="00E81B31"/>
    <w:rsid w:val="00E82A95"/>
    <w:rsid w:val="00E83DBF"/>
    <w:rsid w:val="00E86516"/>
    <w:rsid w:val="00E86FE8"/>
    <w:rsid w:val="00E87C13"/>
    <w:rsid w:val="00E94CD9"/>
    <w:rsid w:val="00E9598D"/>
    <w:rsid w:val="00EA1A76"/>
    <w:rsid w:val="00EA290B"/>
    <w:rsid w:val="00EB0B1A"/>
    <w:rsid w:val="00EB2820"/>
    <w:rsid w:val="00EB4D4C"/>
    <w:rsid w:val="00EE0E90"/>
    <w:rsid w:val="00EF3BCA"/>
    <w:rsid w:val="00EF729B"/>
    <w:rsid w:val="00F01B0D"/>
    <w:rsid w:val="00F1238F"/>
    <w:rsid w:val="00F1436B"/>
    <w:rsid w:val="00F16485"/>
    <w:rsid w:val="00F16730"/>
    <w:rsid w:val="00F16D65"/>
    <w:rsid w:val="00F228ED"/>
    <w:rsid w:val="00F26E31"/>
    <w:rsid w:val="00F27C6C"/>
    <w:rsid w:val="00F349AB"/>
    <w:rsid w:val="00F34A8D"/>
    <w:rsid w:val="00F35012"/>
    <w:rsid w:val="00F5023C"/>
    <w:rsid w:val="00F50D25"/>
    <w:rsid w:val="00F535D8"/>
    <w:rsid w:val="00F53EE4"/>
    <w:rsid w:val="00F61155"/>
    <w:rsid w:val="00F63EF8"/>
    <w:rsid w:val="00F65CE1"/>
    <w:rsid w:val="00F708E3"/>
    <w:rsid w:val="00F730B3"/>
    <w:rsid w:val="00F74257"/>
    <w:rsid w:val="00F74C62"/>
    <w:rsid w:val="00F7560A"/>
    <w:rsid w:val="00F76561"/>
    <w:rsid w:val="00F84736"/>
    <w:rsid w:val="00F8635E"/>
    <w:rsid w:val="00F93569"/>
    <w:rsid w:val="00FA4388"/>
    <w:rsid w:val="00FB4070"/>
    <w:rsid w:val="00FB72E7"/>
    <w:rsid w:val="00FB747E"/>
    <w:rsid w:val="00FC3694"/>
    <w:rsid w:val="00FC6C29"/>
    <w:rsid w:val="00FD58E0"/>
    <w:rsid w:val="00FD71AE"/>
    <w:rsid w:val="00FE0198"/>
    <w:rsid w:val="00FE3A7C"/>
    <w:rsid w:val="00FF105E"/>
    <w:rsid w:val="00FF1C0B"/>
    <w:rsid w:val="00FF232D"/>
    <w:rsid w:val="00FF7F9B"/>
    <w:rsid w:val="083AF924"/>
    <w:rsid w:val="0ABFB8EB"/>
    <w:rsid w:val="0B881CA5"/>
    <w:rsid w:val="1879104D"/>
    <w:rsid w:val="2349A7AF"/>
    <w:rsid w:val="2BD114CC"/>
    <w:rsid w:val="54BD3FA8"/>
    <w:rsid w:val="57BBB7CD"/>
    <w:rsid w:val="65DE2843"/>
    <w:rsid w:val="68B40A2B"/>
    <w:rsid w:val="78BC1C86"/>
    <w:rsid w:val="7996CE43"/>
    <w:rsid w:val="7BFB723E"/>
    <w:rsid w:val="7D9650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C7908B"/>
  <w15:docId w15:val="{C6AB61A9-FB8F-40AC-921F-94FF298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50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