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tbl>
      <w:tblPr>
        <w:tblW w:w="8730" w:type="dxa"/>
        <w:tblLook w:val="0000"/>
      </w:tblPr>
      <w:tblGrid>
        <w:gridCol w:w="8736"/>
      </w:tblGrid>
      <w:tr w14:paraId="4545164A" w14:textId="77777777" w:rsidTr="7BFB723E">
        <w:tblPrEx>
          <w:tblW w:w="8730" w:type="dxa"/>
          <w:tblLook w:val="0000"/>
        </w:tblPrEx>
        <w:trPr>
          <w:trHeight w:val="2181"/>
        </w:trPr>
        <w:tc>
          <w:tcPr>
            <w:tcW w:w="8730" w:type="dxa"/>
          </w:tcPr>
          <w:p w:rsidR="008B74C3" w:rsidP="68B40A2B" w14:paraId="5C0CD30F" w14:textId="77777777">
            <w:pPr>
              <w:jc w:val="center"/>
              <w:rPr>
                <w:b/>
                <w:bCs/>
              </w:rPr>
            </w:pPr>
            <w:r>
              <w:rPr>
                <w:noProof/>
              </w:rPr>
              <w:drawing>
                <wp:inline distT="0" distB="0" distL="0" distR="0">
                  <wp:extent cx="5405836" cy="794658"/>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05836" cy="794658"/>
                          </a:xfrm>
                          <a:prstGeom prst="rect">
                            <a:avLst/>
                          </a:prstGeom>
                        </pic:spPr>
                      </pic:pic>
                    </a:graphicData>
                  </a:graphic>
                </wp:inline>
              </w:drawing>
            </w:r>
          </w:p>
          <w:p w:rsidR="00401F89" w:rsidP="68B40A2B" w14:paraId="7309C96D" w14:textId="77777777">
            <w:pPr>
              <w:jc w:val="center"/>
              <w:rPr>
                <w:b/>
                <w:bCs/>
                <w:sz w:val="28"/>
                <w:szCs w:val="28"/>
              </w:rPr>
            </w:pPr>
          </w:p>
          <w:p w:rsidR="008B74C3" w:rsidP="00C65A3C" w14:paraId="598158C7" w14:textId="65672660">
            <w:pPr>
              <w:spacing w:after="120"/>
              <w:jc w:val="center"/>
              <w:rPr>
                <w:b/>
                <w:bCs/>
                <w:sz w:val="28"/>
                <w:szCs w:val="28"/>
              </w:rPr>
            </w:pPr>
            <w:bookmarkStart w:id="0" w:name="_Hlk203563258"/>
            <w:r>
              <w:rPr>
                <w:b/>
                <w:bCs/>
                <w:sz w:val="28"/>
                <w:szCs w:val="28"/>
              </w:rPr>
              <w:t xml:space="preserve">Chairman Carr </w:t>
            </w:r>
            <w:r w:rsidR="00E318B1">
              <w:rPr>
                <w:b/>
                <w:bCs/>
                <w:sz w:val="28"/>
                <w:szCs w:val="28"/>
              </w:rPr>
              <w:t xml:space="preserve">Proposes </w:t>
            </w:r>
            <w:r w:rsidR="002E735B">
              <w:rPr>
                <w:b/>
                <w:bCs/>
                <w:sz w:val="28"/>
                <w:szCs w:val="28"/>
              </w:rPr>
              <w:t>Overhaul of NEPA Process</w:t>
            </w:r>
            <w:r w:rsidR="00786AD8">
              <w:rPr>
                <w:b/>
                <w:bCs/>
                <w:sz w:val="28"/>
                <w:szCs w:val="28"/>
              </w:rPr>
              <w:t xml:space="preserve"> to Accelerate Permitting a</w:t>
            </w:r>
            <w:r w:rsidR="000445AD">
              <w:rPr>
                <w:b/>
                <w:bCs/>
                <w:sz w:val="28"/>
                <w:szCs w:val="28"/>
              </w:rPr>
              <w:t>nd High-Speed</w:t>
            </w:r>
            <w:r w:rsidR="00786AD8">
              <w:rPr>
                <w:b/>
                <w:bCs/>
                <w:sz w:val="28"/>
                <w:szCs w:val="28"/>
              </w:rPr>
              <w:t xml:space="preserve"> Infrastructure Builds</w:t>
            </w:r>
          </w:p>
          <w:bookmarkEnd w:id="0"/>
          <w:p w:rsidR="008B74C3" w:rsidRPr="00FF105E" w:rsidP="68B40A2B" w14:paraId="52379FA3" w14:textId="7BE4CB44">
            <w:pPr>
              <w:jc w:val="center"/>
              <w:rPr>
                <w:i/>
                <w:iCs/>
              </w:rPr>
            </w:pPr>
            <w:r>
              <w:rPr>
                <w:i/>
                <w:iCs/>
              </w:rPr>
              <w:t>FCC Will Vote on NEPA Reform at</w:t>
            </w:r>
            <w:r w:rsidR="00786AD8">
              <w:rPr>
                <w:i/>
                <w:iCs/>
              </w:rPr>
              <w:t xml:space="preserve"> August Meeting</w:t>
            </w:r>
          </w:p>
          <w:p w:rsidR="008B74C3" w:rsidP="008B74C3" w14:paraId="3AF405C9" w14:textId="77777777">
            <w:pPr>
              <w:tabs>
                <w:tab w:val="left" w:pos="8625"/>
              </w:tabs>
              <w:jc w:val="center"/>
              <w:rPr>
                <w:i/>
                <w:color w:val="F2F2F2" w:themeColor="background1" w:themeShade="F2"/>
                <w:sz w:val="28"/>
              </w:rPr>
            </w:pPr>
            <w:r>
              <w:rPr>
                <w:b/>
                <w:bCs/>
                <w:i/>
                <w:sz w:val="28"/>
                <w:szCs w:val="32"/>
              </w:rPr>
              <w:t xml:space="preserve">  </w:t>
            </w:r>
            <w:r>
              <w:rPr>
                <w:b/>
                <w:bCs/>
                <w:i/>
                <w:color w:val="F2F2F2" w:themeColor="background1" w:themeShade="F2"/>
                <w:sz w:val="28"/>
                <w:szCs w:val="32"/>
              </w:rPr>
              <w:t xml:space="preserve">-- </w:t>
            </w:r>
          </w:p>
          <w:p w:rsidR="00533E67" w:rsidRPr="007B7D46" w:rsidP="00FF723D" w14:paraId="677E3298" w14:textId="4C110732">
            <w:pPr>
              <w:rPr>
                <w:sz w:val="22"/>
                <w:szCs w:val="22"/>
              </w:rPr>
            </w:pPr>
            <w:r w:rsidRPr="007B7D46">
              <w:rPr>
                <w:sz w:val="22"/>
                <w:szCs w:val="22"/>
              </w:rPr>
              <w:t>WASHINGTON,</w:t>
            </w:r>
            <w:r w:rsidRPr="007B7D46" w:rsidR="65DE2843">
              <w:rPr>
                <w:sz w:val="22"/>
                <w:szCs w:val="22"/>
              </w:rPr>
              <w:t xml:space="preserve"> </w:t>
            </w:r>
            <w:r w:rsidRPr="007B7D46" w:rsidR="000E067D">
              <w:rPr>
                <w:sz w:val="22"/>
                <w:szCs w:val="22"/>
              </w:rPr>
              <w:t>July 16</w:t>
            </w:r>
            <w:r w:rsidRPr="007B7D46" w:rsidR="006D748C">
              <w:rPr>
                <w:sz w:val="22"/>
                <w:szCs w:val="22"/>
              </w:rPr>
              <w:t>, 2025—</w:t>
            </w:r>
            <w:r w:rsidRPr="007B7D46" w:rsidR="003F6E60">
              <w:rPr>
                <w:sz w:val="22"/>
                <w:szCs w:val="22"/>
              </w:rPr>
              <w:t xml:space="preserve"> </w:t>
            </w:r>
            <w:r w:rsidRPr="007B7D46">
              <w:rPr>
                <w:sz w:val="22"/>
                <w:szCs w:val="22"/>
              </w:rPr>
              <w:t xml:space="preserve">FCC Chairman Brendan Carr today announced that the agency will </w:t>
            </w:r>
            <w:r w:rsidRPr="007B7D46" w:rsidR="00C72820">
              <w:rPr>
                <w:sz w:val="22"/>
                <w:szCs w:val="22"/>
              </w:rPr>
              <w:t xml:space="preserve">vote on a plan to accelerate infrastructure builds by modernizing the Commission’s </w:t>
            </w:r>
            <w:r w:rsidRPr="007B7D46">
              <w:rPr>
                <w:sz w:val="22"/>
                <w:szCs w:val="22"/>
              </w:rPr>
              <w:t>environmental</w:t>
            </w:r>
            <w:r w:rsidRPr="007B7D46" w:rsidR="00507E80">
              <w:rPr>
                <w:sz w:val="22"/>
                <w:szCs w:val="22"/>
              </w:rPr>
              <w:t xml:space="preserve"> </w:t>
            </w:r>
            <w:r w:rsidRPr="007B7D46">
              <w:rPr>
                <w:sz w:val="22"/>
                <w:szCs w:val="22"/>
              </w:rPr>
              <w:t xml:space="preserve">regulations.  </w:t>
            </w:r>
            <w:r w:rsidRPr="007B7D46" w:rsidR="00154DC9">
              <w:rPr>
                <w:sz w:val="22"/>
                <w:szCs w:val="22"/>
              </w:rPr>
              <w:t xml:space="preserve">As part of President Trump’s </w:t>
            </w:r>
            <w:r w:rsidRPr="007B7D46" w:rsidR="00545F2A">
              <w:rPr>
                <w:sz w:val="22"/>
                <w:szCs w:val="22"/>
              </w:rPr>
              <w:t xml:space="preserve">federal government-wide effort to expedite and simplify permitting processes </w:t>
            </w:r>
            <w:r w:rsidRPr="007B7D46" w:rsidR="001C0CC9">
              <w:rPr>
                <w:sz w:val="22"/>
                <w:szCs w:val="22"/>
              </w:rPr>
              <w:t xml:space="preserve">that </w:t>
            </w:r>
            <w:r w:rsidRPr="007B7D46" w:rsidR="00392BA2">
              <w:rPr>
                <w:sz w:val="22"/>
                <w:szCs w:val="22"/>
              </w:rPr>
              <w:t>can hinder</w:t>
            </w:r>
            <w:r w:rsidRPr="007B7D46" w:rsidR="00545F2A">
              <w:rPr>
                <w:sz w:val="22"/>
                <w:szCs w:val="22"/>
              </w:rPr>
              <w:t xml:space="preserve"> economic development, infrastructure investment, and job creation, </w:t>
            </w:r>
            <w:r w:rsidRPr="007B7D46" w:rsidR="00E00CFD">
              <w:rPr>
                <w:sz w:val="22"/>
                <w:szCs w:val="22"/>
              </w:rPr>
              <w:t>t</w:t>
            </w:r>
            <w:r w:rsidRPr="007B7D46">
              <w:rPr>
                <w:sz w:val="22"/>
                <w:szCs w:val="22"/>
              </w:rPr>
              <w:t>he FCC</w:t>
            </w:r>
            <w:r w:rsidRPr="007B7D46" w:rsidR="00545F2A">
              <w:rPr>
                <w:sz w:val="22"/>
                <w:szCs w:val="22"/>
              </w:rPr>
              <w:t xml:space="preserve"> will </w:t>
            </w:r>
            <w:r w:rsidRPr="007B7D46" w:rsidR="006A425F">
              <w:rPr>
                <w:sz w:val="22"/>
                <w:szCs w:val="22"/>
              </w:rPr>
              <w:t>examine its</w:t>
            </w:r>
            <w:r w:rsidRPr="007B7D46">
              <w:rPr>
                <w:sz w:val="22"/>
                <w:szCs w:val="22"/>
              </w:rPr>
              <w:t xml:space="preserve"> regulatory regime under the National Environmental Protection Act </w:t>
            </w:r>
            <w:r w:rsidRPr="007B7D46" w:rsidR="008527EB">
              <w:rPr>
                <w:sz w:val="22"/>
                <w:szCs w:val="22"/>
              </w:rPr>
              <w:t>(NEPA)</w:t>
            </w:r>
            <w:r w:rsidRPr="007B7D46" w:rsidR="00E00CFD">
              <w:rPr>
                <w:sz w:val="22"/>
                <w:szCs w:val="22"/>
              </w:rPr>
              <w:t xml:space="preserve"> to</w:t>
            </w:r>
            <w:r w:rsidRPr="007B7D46" w:rsidR="00C84697">
              <w:rPr>
                <w:sz w:val="22"/>
                <w:szCs w:val="22"/>
              </w:rPr>
              <w:t xml:space="preserve"> </w:t>
            </w:r>
            <w:r w:rsidRPr="007B7D46" w:rsidR="004555AA">
              <w:rPr>
                <w:sz w:val="22"/>
                <w:szCs w:val="22"/>
              </w:rPr>
              <w:t xml:space="preserve">ensure it aligns with federal </w:t>
            </w:r>
            <w:r w:rsidRPr="007B7D46" w:rsidR="00BA3686">
              <w:rPr>
                <w:sz w:val="22"/>
                <w:szCs w:val="22"/>
              </w:rPr>
              <w:t>environmental statutes</w:t>
            </w:r>
            <w:r w:rsidRPr="007B7D46" w:rsidR="00931044">
              <w:rPr>
                <w:sz w:val="22"/>
                <w:szCs w:val="22"/>
              </w:rPr>
              <w:t xml:space="preserve"> and precedent that prioritize </w:t>
            </w:r>
            <w:r w:rsidRPr="007B7D46" w:rsidR="00CC27DC">
              <w:rPr>
                <w:sz w:val="22"/>
                <w:szCs w:val="22"/>
              </w:rPr>
              <w:t>efficiency and certainty</w:t>
            </w:r>
            <w:r w:rsidRPr="007B7D46" w:rsidR="009D7EF5">
              <w:rPr>
                <w:sz w:val="22"/>
                <w:szCs w:val="22"/>
              </w:rPr>
              <w:t>.</w:t>
            </w:r>
          </w:p>
          <w:p w:rsidR="00FF723D" w:rsidRPr="007B7D46" w:rsidP="00FF723D" w14:paraId="4BEE74A1" w14:textId="77777777">
            <w:pPr>
              <w:rPr>
                <w:b/>
                <w:bCs/>
                <w:sz w:val="22"/>
                <w:szCs w:val="22"/>
              </w:rPr>
            </w:pPr>
          </w:p>
          <w:p w:rsidR="00E4758F" w:rsidRPr="007B7D46" w:rsidP="00FF723D" w14:paraId="2E8125EE" w14:textId="2C72069F">
            <w:pPr>
              <w:rPr>
                <w:b/>
                <w:bCs/>
                <w:sz w:val="22"/>
                <w:szCs w:val="22"/>
              </w:rPr>
            </w:pPr>
            <w:r w:rsidRPr="007B7D46">
              <w:rPr>
                <w:b/>
                <w:bCs/>
                <w:sz w:val="22"/>
                <w:szCs w:val="22"/>
              </w:rPr>
              <w:t xml:space="preserve">Chairman Carr issued the following statement: </w:t>
            </w:r>
          </w:p>
          <w:p w:rsidR="0011330B" w:rsidRPr="007B7D46" w:rsidP="00FF723D" w14:paraId="179D6B8D" w14:textId="77777777">
            <w:pPr>
              <w:rPr>
                <w:b/>
                <w:bCs/>
                <w:sz w:val="22"/>
                <w:szCs w:val="22"/>
              </w:rPr>
            </w:pPr>
          </w:p>
          <w:p w:rsidR="006D748C" w:rsidRPr="007B7D46" w:rsidP="000E067D" w14:paraId="5A588251" w14:textId="49553DBB">
            <w:pPr>
              <w:rPr>
                <w:sz w:val="22"/>
                <w:szCs w:val="22"/>
              </w:rPr>
            </w:pPr>
            <w:r w:rsidRPr="007B7D46">
              <w:rPr>
                <w:sz w:val="22"/>
                <w:szCs w:val="22"/>
              </w:rPr>
              <w:t>“</w:t>
            </w:r>
            <w:r w:rsidRPr="007B7D46" w:rsidR="0011330B">
              <w:rPr>
                <w:sz w:val="22"/>
                <w:szCs w:val="22"/>
              </w:rPr>
              <w:t xml:space="preserve">The FCC’s Build America Agenda aims to unleash new infrastructure projects in communities </w:t>
            </w:r>
            <w:r w:rsidRPr="007B7D46" w:rsidR="0011330B">
              <w:rPr>
                <w:sz w:val="22"/>
                <w:szCs w:val="22"/>
              </w:rPr>
              <w:t>all across</w:t>
            </w:r>
            <w:r w:rsidRPr="007B7D46" w:rsidR="0011330B">
              <w:rPr>
                <w:sz w:val="22"/>
                <w:szCs w:val="22"/>
              </w:rPr>
              <w:t xml:space="preserve"> the country.  To do that, </w:t>
            </w:r>
            <w:r w:rsidRPr="007B7D46" w:rsidR="00401DCA">
              <w:rPr>
                <w:sz w:val="22"/>
                <w:szCs w:val="22"/>
              </w:rPr>
              <w:t xml:space="preserve">the FCC cannot let red tape and </w:t>
            </w:r>
            <w:r w:rsidRPr="007B7D46" w:rsidR="00401DCA">
              <w:rPr>
                <w:sz w:val="22"/>
                <w:szCs w:val="22"/>
              </w:rPr>
              <w:t>permitting</w:t>
            </w:r>
            <w:r w:rsidRPr="007B7D46" w:rsidR="00401DCA">
              <w:rPr>
                <w:sz w:val="22"/>
                <w:szCs w:val="22"/>
              </w:rPr>
              <w:t xml:space="preserve"> obstacles stand in the way.  As President Trump, the Supreme Court, and Congress have recognized, NEPA is </w:t>
            </w:r>
            <w:r w:rsidRPr="007B7D46" w:rsidR="009D7EF5">
              <w:rPr>
                <w:sz w:val="22"/>
                <w:szCs w:val="22"/>
              </w:rPr>
              <w:t>one of the biggest obstacles to building in America</w:t>
            </w:r>
            <w:r w:rsidRPr="007B7D46">
              <w:rPr>
                <w:sz w:val="22"/>
                <w:szCs w:val="22"/>
              </w:rPr>
              <w:t xml:space="preserve">.  </w:t>
            </w:r>
            <w:r w:rsidRPr="007B7D46" w:rsidR="00C47176">
              <w:rPr>
                <w:sz w:val="22"/>
                <w:szCs w:val="22"/>
              </w:rPr>
              <w:t>It should not</w:t>
            </w:r>
            <w:r w:rsidRPr="007B7D46" w:rsidR="00D8556E">
              <w:rPr>
                <w:sz w:val="22"/>
                <w:szCs w:val="22"/>
              </w:rPr>
              <w:t xml:space="preserve"> </w:t>
            </w:r>
            <w:r w:rsidRPr="007B7D46" w:rsidR="00C47176">
              <w:rPr>
                <w:sz w:val="22"/>
                <w:szCs w:val="22"/>
              </w:rPr>
              <w:t xml:space="preserve">take years to </w:t>
            </w:r>
            <w:r w:rsidRPr="007B7D46" w:rsidR="00E36405">
              <w:rPr>
                <w:sz w:val="22"/>
                <w:szCs w:val="22"/>
              </w:rPr>
              <w:t xml:space="preserve">complete pre-construction environmental </w:t>
            </w:r>
            <w:r w:rsidRPr="007B7D46" w:rsidR="00B86228">
              <w:rPr>
                <w:sz w:val="22"/>
                <w:szCs w:val="22"/>
              </w:rPr>
              <w:t>paperwork before a shovel hits the ground</w:t>
            </w:r>
            <w:r w:rsidRPr="007B7D46" w:rsidR="00E36405">
              <w:rPr>
                <w:sz w:val="22"/>
                <w:szCs w:val="22"/>
              </w:rPr>
              <w:t xml:space="preserve">.  </w:t>
            </w:r>
            <w:r w:rsidRPr="007B7D46" w:rsidR="00401DCA">
              <w:rPr>
                <w:sz w:val="22"/>
                <w:szCs w:val="22"/>
              </w:rPr>
              <w:t xml:space="preserve">The time is ripe for </w:t>
            </w:r>
            <w:r w:rsidRPr="007B7D46" w:rsidR="0011330B">
              <w:rPr>
                <w:sz w:val="22"/>
                <w:szCs w:val="22"/>
              </w:rPr>
              <w:t>the FCC</w:t>
            </w:r>
            <w:r w:rsidRPr="007B7D46" w:rsidR="00401DCA">
              <w:rPr>
                <w:sz w:val="22"/>
                <w:szCs w:val="22"/>
              </w:rPr>
              <w:t xml:space="preserve"> to review and rewrite our NEPA rules from first principles.</w:t>
            </w:r>
            <w:r w:rsidRPr="007B7D46" w:rsidR="000E067D">
              <w:rPr>
                <w:sz w:val="22"/>
                <w:szCs w:val="22"/>
              </w:rPr>
              <w:t>”</w:t>
            </w:r>
            <w:r w:rsidR="00DA4982">
              <w:rPr>
                <w:sz w:val="22"/>
                <w:szCs w:val="22"/>
              </w:rPr>
              <w:t xml:space="preserve"> </w:t>
            </w:r>
          </w:p>
          <w:p w:rsidR="006D748C" w:rsidRPr="007B7D46" w:rsidP="006D748C" w14:paraId="108C3219" w14:textId="77777777">
            <w:pPr>
              <w:rPr>
                <w:sz w:val="22"/>
                <w:szCs w:val="22"/>
              </w:rPr>
            </w:pPr>
          </w:p>
          <w:p w:rsidR="00BD19E8" w:rsidRPr="007B7D46" w:rsidP="006D748C" w14:paraId="6D6AA64C" w14:textId="0FBE81B5">
            <w:pPr>
              <w:rPr>
                <w:b/>
                <w:bCs/>
                <w:sz w:val="22"/>
                <w:szCs w:val="22"/>
              </w:rPr>
            </w:pPr>
            <w:r w:rsidRPr="007B7D46">
              <w:rPr>
                <w:b/>
                <w:bCs/>
                <w:sz w:val="22"/>
                <w:szCs w:val="22"/>
              </w:rPr>
              <w:t>Additional Background:</w:t>
            </w:r>
          </w:p>
          <w:p w:rsidR="0011330B" w:rsidRPr="007B7D46" w:rsidP="006D748C" w14:paraId="0BC5DACD" w14:textId="77777777">
            <w:pPr>
              <w:rPr>
                <w:b/>
                <w:bCs/>
                <w:sz w:val="22"/>
                <w:szCs w:val="22"/>
              </w:rPr>
            </w:pPr>
          </w:p>
          <w:p w:rsidR="004636EA" w:rsidRPr="007B7D46" w:rsidP="004636EA" w14:paraId="0E53ACC1" w14:textId="46D9285B">
            <w:pPr>
              <w:rPr>
                <w:sz w:val="22"/>
                <w:szCs w:val="22"/>
              </w:rPr>
            </w:pPr>
            <w:r w:rsidRPr="007B7D46">
              <w:rPr>
                <w:sz w:val="22"/>
                <w:szCs w:val="22"/>
              </w:rPr>
              <w:t xml:space="preserve">Chairman Carr today shared </w:t>
            </w:r>
            <w:r w:rsidRPr="007B7D46" w:rsidR="004F04A5">
              <w:rPr>
                <w:sz w:val="22"/>
                <w:szCs w:val="22"/>
              </w:rPr>
              <w:t xml:space="preserve">this </w:t>
            </w:r>
            <w:r w:rsidRPr="007B7D46">
              <w:rPr>
                <w:sz w:val="22"/>
                <w:szCs w:val="22"/>
              </w:rPr>
              <w:t xml:space="preserve">Notice of Proposed Rulemaking </w:t>
            </w:r>
            <w:r w:rsidRPr="007B7D46" w:rsidR="004F04A5">
              <w:rPr>
                <w:sz w:val="22"/>
                <w:szCs w:val="22"/>
              </w:rPr>
              <w:t xml:space="preserve">with his colleagues </w:t>
            </w:r>
            <w:r w:rsidRPr="007B7D46" w:rsidR="00F50AD2">
              <w:rPr>
                <w:sz w:val="22"/>
                <w:szCs w:val="22"/>
              </w:rPr>
              <w:t xml:space="preserve">for consideration at the Commission’s August </w:t>
            </w:r>
            <w:r w:rsidRPr="007B7D46" w:rsidR="00053BC8">
              <w:rPr>
                <w:sz w:val="22"/>
                <w:szCs w:val="22"/>
              </w:rPr>
              <w:t xml:space="preserve">7, </w:t>
            </w:r>
            <w:r w:rsidRPr="007B7D46" w:rsidR="00053BC8">
              <w:rPr>
                <w:sz w:val="22"/>
                <w:szCs w:val="22"/>
              </w:rPr>
              <w:t>2025</w:t>
            </w:r>
            <w:r w:rsidRPr="007B7D46" w:rsidR="00F50AD2">
              <w:rPr>
                <w:sz w:val="22"/>
                <w:szCs w:val="22"/>
              </w:rPr>
              <w:t xml:space="preserve"> Open Meeting.  </w:t>
            </w:r>
            <w:r w:rsidRPr="007B7D46" w:rsidR="008E7D00">
              <w:rPr>
                <w:sz w:val="22"/>
                <w:szCs w:val="22"/>
              </w:rPr>
              <w:t xml:space="preserve">If adopted, the Notice would </w:t>
            </w:r>
            <w:r w:rsidRPr="007B7D46">
              <w:rPr>
                <w:sz w:val="22"/>
                <w:szCs w:val="22"/>
              </w:rPr>
              <w:t>examine the Commission’s environmental r</w:t>
            </w:r>
            <w:r w:rsidRPr="007B7D46" w:rsidR="00AF7B18">
              <w:rPr>
                <w:sz w:val="22"/>
                <w:szCs w:val="22"/>
              </w:rPr>
              <w:t>egulations</w:t>
            </w:r>
            <w:r w:rsidRPr="007B7D46">
              <w:rPr>
                <w:sz w:val="22"/>
                <w:szCs w:val="22"/>
              </w:rPr>
              <w:t xml:space="preserve"> to ensure they </w:t>
            </w:r>
            <w:r w:rsidRPr="007B7D46">
              <w:rPr>
                <w:sz w:val="22"/>
                <w:szCs w:val="22"/>
              </w:rPr>
              <w:t>comport</w:t>
            </w:r>
            <w:r w:rsidRPr="007B7D46">
              <w:rPr>
                <w:sz w:val="22"/>
                <w:szCs w:val="22"/>
              </w:rPr>
              <w:t xml:space="preserve"> with the amended NEPA</w:t>
            </w:r>
            <w:r w:rsidRPr="007B7D46" w:rsidR="00635444">
              <w:rPr>
                <w:sz w:val="22"/>
                <w:szCs w:val="22"/>
              </w:rPr>
              <w:t xml:space="preserve"> statute</w:t>
            </w:r>
            <w:r w:rsidRPr="007B7D46">
              <w:rPr>
                <w:sz w:val="22"/>
                <w:szCs w:val="22"/>
              </w:rPr>
              <w:t>, accelerate the federal permitting process, further a national priority of faster and more infrastructure deployment, and ensure that the Commission’s r</w:t>
            </w:r>
            <w:r w:rsidRPr="007B7D46" w:rsidR="004B4C60">
              <w:rPr>
                <w:sz w:val="22"/>
                <w:szCs w:val="22"/>
              </w:rPr>
              <w:t>egulations</w:t>
            </w:r>
            <w:r w:rsidRPr="007B7D46">
              <w:rPr>
                <w:sz w:val="22"/>
                <w:szCs w:val="22"/>
              </w:rPr>
              <w:t xml:space="preserve"> are clear. </w:t>
            </w:r>
          </w:p>
          <w:p w:rsidR="008E7D00" w:rsidRPr="007B7D46" w:rsidP="004636EA" w14:paraId="7D43FBA2" w14:textId="77777777">
            <w:pPr>
              <w:rPr>
                <w:sz w:val="22"/>
                <w:szCs w:val="22"/>
              </w:rPr>
            </w:pPr>
          </w:p>
          <w:p w:rsidR="004636EA" w:rsidRPr="007B7D46" w:rsidP="004636EA" w14:paraId="3B171658" w14:textId="3C78EB86">
            <w:pPr>
              <w:rPr>
                <w:sz w:val="22"/>
                <w:szCs w:val="22"/>
              </w:rPr>
            </w:pPr>
            <w:r w:rsidRPr="007B7D46">
              <w:rPr>
                <w:sz w:val="22"/>
                <w:szCs w:val="22"/>
              </w:rPr>
              <w:t xml:space="preserve">The Commission would </w:t>
            </w:r>
            <w:r w:rsidRPr="007B7D46">
              <w:rPr>
                <w:sz w:val="22"/>
                <w:szCs w:val="22"/>
              </w:rPr>
              <w:t>seek comment on the meaning of “major federal action”—a statutory prerequisite to trigger federal agencies’ NEPA obligations—as it applies to the Commission’s actions.  It seeks comment on how the definition should be applied to the Commission’s r</w:t>
            </w:r>
            <w:r w:rsidRPr="007B7D46" w:rsidR="00CD5FAE">
              <w:rPr>
                <w:sz w:val="22"/>
                <w:szCs w:val="22"/>
              </w:rPr>
              <w:t>egulations</w:t>
            </w:r>
            <w:r w:rsidRPr="007B7D46">
              <w:rPr>
                <w:sz w:val="22"/>
                <w:szCs w:val="22"/>
              </w:rPr>
              <w:t xml:space="preserve"> and on what changes, if any, are needed to bring the r</w:t>
            </w:r>
            <w:r w:rsidRPr="007B7D46" w:rsidR="00AF7B18">
              <w:rPr>
                <w:sz w:val="22"/>
                <w:szCs w:val="22"/>
              </w:rPr>
              <w:t>egulations</w:t>
            </w:r>
            <w:r w:rsidRPr="007B7D46">
              <w:rPr>
                <w:sz w:val="22"/>
                <w:szCs w:val="22"/>
              </w:rPr>
              <w:t xml:space="preserve"> in line with the best reading of the amended major federal action definition and its enumerated exceptions.  </w:t>
            </w:r>
          </w:p>
          <w:p w:rsidR="008E7D00" w:rsidRPr="007B7D46" w:rsidP="004636EA" w14:paraId="2C2DD794" w14:textId="77777777">
            <w:pPr>
              <w:rPr>
                <w:sz w:val="22"/>
                <w:szCs w:val="22"/>
              </w:rPr>
            </w:pPr>
          </w:p>
          <w:p w:rsidR="004636EA" w:rsidRPr="007B7D46" w:rsidP="00401DCA" w14:paraId="2555FA96" w14:textId="0A9834AE">
            <w:pPr>
              <w:rPr>
                <w:sz w:val="22"/>
                <w:szCs w:val="22"/>
              </w:rPr>
            </w:pPr>
            <w:r w:rsidRPr="007B7D46">
              <w:rPr>
                <w:sz w:val="22"/>
                <w:szCs w:val="22"/>
              </w:rPr>
              <w:t xml:space="preserve">The Notice </w:t>
            </w:r>
            <w:r w:rsidRPr="007B7D46" w:rsidR="008C2FBD">
              <w:rPr>
                <w:sz w:val="22"/>
                <w:szCs w:val="22"/>
              </w:rPr>
              <w:t xml:space="preserve">will also </w:t>
            </w:r>
            <w:r w:rsidRPr="007B7D46" w:rsidR="00761293">
              <w:rPr>
                <w:sz w:val="22"/>
                <w:szCs w:val="22"/>
              </w:rPr>
              <w:t xml:space="preserve">take a fresh </w:t>
            </w:r>
            <w:r w:rsidRPr="007B7D46" w:rsidR="009162B0">
              <w:rPr>
                <w:sz w:val="22"/>
                <w:szCs w:val="22"/>
              </w:rPr>
              <w:t>look at its</w:t>
            </w:r>
            <w:r w:rsidRPr="007B7D46" w:rsidR="00866C29">
              <w:rPr>
                <w:sz w:val="22"/>
                <w:szCs w:val="22"/>
              </w:rPr>
              <w:t xml:space="preserve"> </w:t>
            </w:r>
            <w:r w:rsidRPr="007B7D46">
              <w:rPr>
                <w:sz w:val="22"/>
                <w:szCs w:val="22"/>
              </w:rPr>
              <w:t xml:space="preserve">National Historic Preservation Act </w:t>
            </w:r>
            <w:r w:rsidRPr="007B7D46" w:rsidR="00866C29">
              <w:rPr>
                <w:sz w:val="22"/>
                <w:szCs w:val="22"/>
              </w:rPr>
              <w:t>r</w:t>
            </w:r>
            <w:r w:rsidRPr="007B7D46" w:rsidR="00A96225">
              <w:rPr>
                <w:sz w:val="22"/>
                <w:szCs w:val="22"/>
              </w:rPr>
              <w:t>egulations</w:t>
            </w:r>
            <w:r w:rsidRPr="007B7D46">
              <w:rPr>
                <w:sz w:val="22"/>
                <w:szCs w:val="22"/>
              </w:rPr>
              <w:t xml:space="preserve"> and </w:t>
            </w:r>
            <w:r w:rsidRPr="007B7D46" w:rsidR="00373338">
              <w:rPr>
                <w:sz w:val="22"/>
                <w:szCs w:val="22"/>
              </w:rPr>
              <w:t xml:space="preserve">seek </w:t>
            </w:r>
            <w:r w:rsidRPr="007B7D46">
              <w:rPr>
                <w:sz w:val="22"/>
                <w:szCs w:val="22"/>
              </w:rPr>
              <w:t>comment</w:t>
            </w:r>
            <w:r w:rsidRPr="007B7D46" w:rsidR="00373338">
              <w:rPr>
                <w:sz w:val="22"/>
                <w:szCs w:val="22"/>
              </w:rPr>
              <w:t xml:space="preserve"> </w:t>
            </w:r>
            <w:r w:rsidRPr="007B7D46">
              <w:rPr>
                <w:sz w:val="22"/>
                <w:szCs w:val="22"/>
              </w:rPr>
              <w:t xml:space="preserve">on </w:t>
            </w:r>
            <w:r w:rsidRPr="007B7D46" w:rsidR="00853926">
              <w:rPr>
                <w:sz w:val="22"/>
                <w:szCs w:val="22"/>
              </w:rPr>
              <w:t>other aspects of its environmental r</w:t>
            </w:r>
            <w:r w:rsidRPr="007B7D46" w:rsidR="003B15AF">
              <w:rPr>
                <w:sz w:val="22"/>
                <w:szCs w:val="22"/>
              </w:rPr>
              <w:t>egulations</w:t>
            </w:r>
            <w:r w:rsidRPr="007B7D46" w:rsidR="00812968">
              <w:rPr>
                <w:sz w:val="22"/>
                <w:szCs w:val="22"/>
              </w:rPr>
              <w:t>.</w:t>
            </w:r>
            <w:r w:rsidRPr="007B7D46" w:rsidR="00853926">
              <w:rPr>
                <w:sz w:val="22"/>
                <w:szCs w:val="22"/>
              </w:rPr>
              <w:t xml:space="preserve"> </w:t>
            </w:r>
            <w:r w:rsidRPr="007B7D46" w:rsidR="00812968">
              <w:rPr>
                <w:sz w:val="22"/>
                <w:szCs w:val="22"/>
              </w:rPr>
              <w:t xml:space="preserve"> </w:t>
            </w:r>
          </w:p>
          <w:p w:rsidR="006D748C" w:rsidRPr="002E165B" w:rsidP="006D748C" w14:paraId="2F7A9ACF" w14:textId="77777777">
            <w:pPr>
              <w:rPr>
                <w:sz w:val="22"/>
                <w:szCs w:val="22"/>
              </w:rPr>
            </w:pPr>
          </w:p>
          <w:p w:rsidR="004F0F1F" w:rsidRPr="007475A1" w:rsidP="00850E26" w14:paraId="0D91D1F1" w14:textId="77777777">
            <w:pPr>
              <w:ind w:right="72"/>
              <w:jc w:val="center"/>
              <w:rPr>
                <w:sz w:val="22"/>
                <w:szCs w:val="22"/>
              </w:rPr>
            </w:pPr>
            <w:r w:rsidRPr="007475A1">
              <w:rPr>
                <w:sz w:val="22"/>
                <w:szCs w:val="22"/>
              </w:rPr>
              <w:t>###</w:t>
            </w:r>
          </w:p>
          <w:p w:rsidR="00104B0D" w:rsidRPr="00104B0D" w:rsidP="00104B0D" w14:paraId="2E2FBCC1" w14:textId="77777777">
            <w:pPr>
              <w:ind w:right="72"/>
              <w:jc w:val="center"/>
              <w:rPr>
                <w:b/>
                <w:bCs/>
                <w:sz w:val="22"/>
                <w:szCs w:val="22"/>
              </w:rPr>
            </w:pPr>
            <w:r w:rsidRPr="00104B0D">
              <w:rPr>
                <w:b/>
                <w:bCs/>
                <w:sz w:val="22"/>
                <w:szCs w:val="22"/>
              </w:rPr>
              <w:br/>
              <w:t>Media Contact: MediaRelations@fcc.gov / (202) 418-0500</w:t>
            </w:r>
          </w:p>
          <w:p w:rsidR="007E5553" w:rsidRPr="00104B0D" w:rsidP="007E5553" w14:paraId="78690669" w14:textId="77777777">
            <w:pPr>
              <w:ind w:right="72"/>
              <w:jc w:val="center"/>
              <w:rPr>
                <w:b/>
                <w:bCs/>
                <w:i/>
                <w:sz w:val="22"/>
                <w:szCs w:val="22"/>
              </w:rPr>
            </w:pPr>
            <w:r w:rsidRPr="00104B0D">
              <w:rPr>
                <w:b/>
                <w:bCs/>
                <w:sz w:val="22"/>
                <w:szCs w:val="22"/>
              </w:rPr>
              <w:t>@FCC</w:t>
            </w:r>
            <w:r w:rsidRPr="00104B0D">
              <w:rPr>
                <w:b/>
                <w:bCs/>
                <w:sz w:val="22"/>
                <w:szCs w:val="22"/>
              </w:rPr>
              <w:t xml:space="preserve"> / </w:t>
            </w:r>
            <w:r w:rsidRPr="00FF105E" w:rsidR="00FF105E">
              <w:rPr>
                <w:b/>
                <w:bCs/>
                <w:sz w:val="22"/>
                <w:szCs w:val="22"/>
              </w:rPr>
              <w:t>www.fcc.gov</w:t>
            </w:r>
            <w:r>
              <w:rPr>
                <w:bCs/>
                <w:i/>
                <w:sz w:val="16"/>
                <w:szCs w:val="16"/>
              </w:rPr>
              <w:t>\</w:t>
            </w:r>
          </w:p>
          <w:p w:rsidR="00FF105E" w:rsidRPr="00104B0D" w:rsidP="00104B0D" w14:paraId="7027E33A" w14:textId="77777777">
            <w:pPr>
              <w:ind w:right="72"/>
              <w:jc w:val="center"/>
              <w:rPr>
                <w:b/>
                <w:bCs/>
                <w:i/>
                <w:sz w:val="22"/>
                <w:szCs w:val="22"/>
              </w:rPr>
            </w:pPr>
          </w:p>
        </w:tc>
      </w:tr>
    </w:tbl>
    <w:p w:rsidR="00D24C3D" w:rsidRPr="007528A5" w14:paraId="0674F638" w14:textId="77777777">
      <w:pPr>
        <w:rPr>
          <w:b/>
          <w:bCs/>
          <w:sz w:val="2"/>
          <w:szCs w:val="2"/>
        </w:rPr>
      </w:pPr>
    </w:p>
    <w:sectPr w:rsidSect="00FF105E">
      <w:pgSz w:w="12240" w:h="15840"/>
      <w:pgMar w:top="13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CA2525"/>
    <w:multiLevelType w:val="hybridMultilevel"/>
    <w:tmpl w:val="09569F20"/>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40711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2F"/>
    <w:rsid w:val="00003B3B"/>
    <w:rsid w:val="00012186"/>
    <w:rsid w:val="00015D44"/>
    <w:rsid w:val="0002500C"/>
    <w:rsid w:val="000311FC"/>
    <w:rsid w:val="00040127"/>
    <w:rsid w:val="000445AD"/>
    <w:rsid w:val="00045662"/>
    <w:rsid w:val="00053BC8"/>
    <w:rsid w:val="00061FBA"/>
    <w:rsid w:val="00065E2D"/>
    <w:rsid w:val="000777FF"/>
    <w:rsid w:val="00081232"/>
    <w:rsid w:val="00091E65"/>
    <w:rsid w:val="00096D4A"/>
    <w:rsid w:val="00096EB8"/>
    <w:rsid w:val="000A38EA"/>
    <w:rsid w:val="000B0DAF"/>
    <w:rsid w:val="000C1E47"/>
    <w:rsid w:val="000C26F3"/>
    <w:rsid w:val="000D4846"/>
    <w:rsid w:val="000E049E"/>
    <w:rsid w:val="000E067D"/>
    <w:rsid w:val="000E11B5"/>
    <w:rsid w:val="000E34CC"/>
    <w:rsid w:val="00104B0D"/>
    <w:rsid w:val="0010799B"/>
    <w:rsid w:val="00111D8B"/>
    <w:rsid w:val="0011330B"/>
    <w:rsid w:val="00117DB2"/>
    <w:rsid w:val="00123ED2"/>
    <w:rsid w:val="00125BE0"/>
    <w:rsid w:val="00132BB1"/>
    <w:rsid w:val="00134A4A"/>
    <w:rsid w:val="00142C13"/>
    <w:rsid w:val="00152776"/>
    <w:rsid w:val="00153222"/>
    <w:rsid w:val="00154DC9"/>
    <w:rsid w:val="001577D3"/>
    <w:rsid w:val="001614F2"/>
    <w:rsid w:val="001733A6"/>
    <w:rsid w:val="001865A9"/>
    <w:rsid w:val="00187DB2"/>
    <w:rsid w:val="001B030B"/>
    <w:rsid w:val="001B20BB"/>
    <w:rsid w:val="001B6FCB"/>
    <w:rsid w:val="001C0CC9"/>
    <w:rsid w:val="001C4370"/>
    <w:rsid w:val="001D072A"/>
    <w:rsid w:val="001D3779"/>
    <w:rsid w:val="001F0469"/>
    <w:rsid w:val="001F436E"/>
    <w:rsid w:val="00203A98"/>
    <w:rsid w:val="00206EDD"/>
    <w:rsid w:val="0021247E"/>
    <w:rsid w:val="002146F6"/>
    <w:rsid w:val="00223016"/>
    <w:rsid w:val="00231C32"/>
    <w:rsid w:val="00240345"/>
    <w:rsid w:val="00240D03"/>
    <w:rsid w:val="002421F0"/>
    <w:rsid w:val="00247274"/>
    <w:rsid w:val="00266966"/>
    <w:rsid w:val="00284524"/>
    <w:rsid w:val="00285C36"/>
    <w:rsid w:val="00286596"/>
    <w:rsid w:val="00294C0C"/>
    <w:rsid w:val="00297840"/>
    <w:rsid w:val="002A016A"/>
    <w:rsid w:val="002A0934"/>
    <w:rsid w:val="002A4544"/>
    <w:rsid w:val="002B1013"/>
    <w:rsid w:val="002B1557"/>
    <w:rsid w:val="002C0B0D"/>
    <w:rsid w:val="002D03E5"/>
    <w:rsid w:val="002E165B"/>
    <w:rsid w:val="002E3F1D"/>
    <w:rsid w:val="002E735B"/>
    <w:rsid w:val="002F31D0"/>
    <w:rsid w:val="00300359"/>
    <w:rsid w:val="00306313"/>
    <w:rsid w:val="0031773E"/>
    <w:rsid w:val="00333871"/>
    <w:rsid w:val="00347716"/>
    <w:rsid w:val="003506E1"/>
    <w:rsid w:val="003727E3"/>
    <w:rsid w:val="00373338"/>
    <w:rsid w:val="003738B9"/>
    <w:rsid w:val="0037558A"/>
    <w:rsid w:val="00385A93"/>
    <w:rsid w:val="003910F1"/>
    <w:rsid w:val="00391580"/>
    <w:rsid w:val="00392BA2"/>
    <w:rsid w:val="003B15AF"/>
    <w:rsid w:val="003B4268"/>
    <w:rsid w:val="003C1AD4"/>
    <w:rsid w:val="003C2F98"/>
    <w:rsid w:val="003C6056"/>
    <w:rsid w:val="003D7499"/>
    <w:rsid w:val="003E42FC"/>
    <w:rsid w:val="003E5991"/>
    <w:rsid w:val="003E731E"/>
    <w:rsid w:val="003F2135"/>
    <w:rsid w:val="003F344A"/>
    <w:rsid w:val="003F41E6"/>
    <w:rsid w:val="003F591F"/>
    <w:rsid w:val="003F6E60"/>
    <w:rsid w:val="00401DCA"/>
    <w:rsid w:val="00401F89"/>
    <w:rsid w:val="00403FF0"/>
    <w:rsid w:val="0042046D"/>
    <w:rsid w:val="0042116E"/>
    <w:rsid w:val="0042246D"/>
    <w:rsid w:val="00424B52"/>
    <w:rsid w:val="00424F83"/>
    <w:rsid w:val="00425AEF"/>
    <w:rsid w:val="00426518"/>
    <w:rsid w:val="00427B06"/>
    <w:rsid w:val="00441508"/>
    <w:rsid w:val="00441F59"/>
    <w:rsid w:val="00444E07"/>
    <w:rsid w:val="00444FA9"/>
    <w:rsid w:val="004555AA"/>
    <w:rsid w:val="004636EA"/>
    <w:rsid w:val="00465DB0"/>
    <w:rsid w:val="00473E9C"/>
    <w:rsid w:val="00474016"/>
    <w:rsid w:val="004745B2"/>
    <w:rsid w:val="00480099"/>
    <w:rsid w:val="004805DD"/>
    <w:rsid w:val="0048550D"/>
    <w:rsid w:val="004941A2"/>
    <w:rsid w:val="00497858"/>
    <w:rsid w:val="004A729A"/>
    <w:rsid w:val="004B4C60"/>
    <w:rsid w:val="004B4FEA"/>
    <w:rsid w:val="004C0ADA"/>
    <w:rsid w:val="004C3057"/>
    <w:rsid w:val="004C433E"/>
    <w:rsid w:val="004C4512"/>
    <w:rsid w:val="004C4F36"/>
    <w:rsid w:val="004C70F7"/>
    <w:rsid w:val="004D3D85"/>
    <w:rsid w:val="004D403E"/>
    <w:rsid w:val="004E2BD8"/>
    <w:rsid w:val="004F04A5"/>
    <w:rsid w:val="004F0F1F"/>
    <w:rsid w:val="00500E42"/>
    <w:rsid w:val="005022AA"/>
    <w:rsid w:val="00504613"/>
    <w:rsid w:val="00504845"/>
    <w:rsid w:val="0050757F"/>
    <w:rsid w:val="00507E80"/>
    <w:rsid w:val="00511A26"/>
    <w:rsid w:val="00516AD2"/>
    <w:rsid w:val="005337D4"/>
    <w:rsid w:val="00533E67"/>
    <w:rsid w:val="00545DAE"/>
    <w:rsid w:val="00545F2A"/>
    <w:rsid w:val="0055416C"/>
    <w:rsid w:val="00556BD8"/>
    <w:rsid w:val="005668AA"/>
    <w:rsid w:val="00571B83"/>
    <w:rsid w:val="00573064"/>
    <w:rsid w:val="00574BE5"/>
    <w:rsid w:val="00575A00"/>
    <w:rsid w:val="00586417"/>
    <w:rsid w:val="0058673C"/>
    <w:rsid w:val="005A3218"/>
    <w:rsid w:val="005A7972"/>
    <w:rsid w:val="005B17E7"/>
    <w:rsid w:val="005B2643"/>
    <w:rsid w:val="005D17FD"/>
    <w:rsid w:val="005D79B0"/>
    <w:rsid w:val="005F0D55"/>
    <w:rsid w:val="005F183E"/>
    <w:rsid w:val="00600DDA"/>
    <w:rsid w:val="00601254"/>
    <w:rsid w:val="00603A30"/>
    <w:rsid w:val="00604211"/>
    <w:rsid w:val="006106BB"/>
    <w:rsid w:val="00613498"/>
    <w:rsid w:val="00617B94"/>
    <w:rsid w:val="00620BED"/>
    <w:rsid w:val="00623946"/>
    <w:rsid w:val="00626FFF"/>
    <w:rsid w:val="00630EFB"/>
    <w:rsid w:val="00635444"/>
    <w:rsid w:val="006415B4"/>
    <w:rsid w:val="00644E3D"/>
    <w:rsid w:val="00645FA3"/>
    <w:rsid w:val="006503D5"/>
    <w:rsid w:val="00651B9E"/>
    <w:rsid w:val="00652019"/>
    <w:rsid w:val="00657EC9"/>
    <w:rsid w:val="0066436C"/>
    <w:rsid w:val="00665633"/>
    <w:rsid w:val="00674C86"/>
    <w:rsid w:val="0068015E"/>
    <w:rsid w:val="006861AB"/>
    <w:rsid w:val="00686B89"/>
    <w:rsid w:val="006918C9"/>
    <w:rsid w:val="0069420F"/>
    <w:rsid w:val="006A2FC5"/>
    <w:rsid w:val="006A425F"/>
    <w:rsid w:val="006A7D75"/>
    <w:rsid w:val="006B0A70"/>
    <w:rsid w:val="006B0FC5"/>
    <w:rsid w:val="006B606A"/>
    <w:rsid w:val="006C33AF"/>
    <w:rsid w:val="006C3848"/>
    <w:rsid w:val="006D16EF"/>
    <w:rsid w:val="006D5D22"/>
    <w:rsid w:val="006D748C"/>
    <w:rsid w:val="006D78E7"/>
    <w:rsid w:val="006E0324"/>
    <w:rsid w:val="006E4A76"/>
    <w:rsid w:val="006F1DBD"/>
    <w:rsid w:val="00700556"/>
    <w:rsid w:val="0070589A"/>
    <w:rsid w:val="007162F2"/>
    <w:rsid w:val="007167DD"/>
    <w:rsid w:val="0072478B"/>
    <w:rsid w:val="0072544E"/>
    <w:rsid w:val="00730094"/>
    <w:rsid w:val="0073414D"/>
    <w:rsid w:val="007475A1"/>
    <w:rsid w:val="00750A11"/>
    <w:rsid w:val="0075235E"/>
    <w:rsid w:val="007528A5"/>
    <w:rsid w:val="00761293"/>
    <w:rsid w:val="007732CC"/>
    <w:rsid w:val="00774079"/>
    <w:rsid w:val="007746B9"/>
    <w:rsid w:val="0077752B"/>
    <w:rsid w:val="00784F66"/>
    <w:rsid w:val="00786423"/>
    <w:rsid w:val="00786AD8"/>
    <w:rsid w:val="00793D6F"/>
    <w:rsid w:val="00794090"/>
    <w:rsid w:val="007A44F8"/>
    <w:rsid w:val="007B7D46"/>
    <w:rsid w:val="007C2D4A"/>
    <w:rsid w:val="007D21BF"/>
    <w:rsid w:val="007E5553"/>
    <w:rsid w:val="007F3C12"/>
    <w:rsid w:val="007F418E"/>
    <w:rsid w:val="007F5205"/>
    <w:rsid w:val="0080486B"/>
    <w:rsid w:val="00810A08"/>
    <w:rsid w:val="00812968"/>
    <w:rsid w:val="008215E7"/>
    <w:rsid w:val="00830FC6"/>
    <w:rsid w:val="008353E5"/>
    <w:rsid w:val="00850E26"/>
    <w:rsid w:val="008527EB"/>
    <w:rsid w:val="00853926"/>
    <w:rsid w:val="00860E12"/>
    <w:rsid w:val="00865EAA"/>
    <w:rsid w:val="00866C29"/>
    <w:rsid w:val="00866F06"/>
    <w:rsid w:val="008728F5"/>
    <w:rsid w:val="008824C2"/>
    <w:rsid w:val="008960E4"/>
    <w:rsid w:val="008A3940"/>
    <w:rsid w:val="008B13C9"/>
    <w:rsid w:val="008B2967"/>
    <w:rsid w:val="008B74C3"/>
    <w:rsid w:val="008C248C"/>
    <w:rsid w:val="008C2FBD"/>
    <w:rsid w:val="008C5432"/>
    <w:rsid w:val="008C6B2F"/>
    <w:rsid w:val="008C7BF1"/>
    <w:rsid w:val="008D00D6"/>
    <w:rsid w:val="008D4D00"/>
    <w:rsid w:val="008D4E5E"/>
    <w:rsid w:val="008D7ABD"/>
    <w:rsid w:val="008E3F77"/>
    <w:rsid w:val="008E55A2"/>
    <w:rsid w:val="008E7D00"/>
    <w:rsid w:val="008F1609"/>
    <w:rsid w:val="008F45B9"/>
    <w:rsid w:val="008F78D8"/>
    <w:rsid w:val="00911C99"/>
    <w:rsid w:val="00915B59"/>
    <w:rsid w:val="009162B0"/>
    <w:rsid w:val="0092576A"/>
    <w:rsid w:val="00931044"/>
    <w:rsid w:val="0093373C"/>
    <w:rsid w:val="0093775D"/>
    <w:rsid w:val="00955F9F"/>
    <w:rsid w:val="00961620"/>
    <w:rsid w:val="009676B6"/>
    <w:rsid w:val="0097044E"/>
    <w:rsid w:val="009728C2"/>
    <w:rsid w:val="009734B6"/>
    <w:rsid w:val="0098096F"/>
    <w:rsid w:val="0098437A"/>
    <w:rsid w:val="00986C92"/>
    <w:rsid w:val="00993C47"/>
    <w:rsid w:val="009972BC"/>
    <w:rsid w:val="009A0F00"/>
    <w:rsid w:val="009B4B16"/>
    <w:rsid w:val="009B7F2E"/>
    <w:rsid w:val="009D7EF5"/>
    <w:rsid w:val="009E4EB9"/>
    <w:rsid w:val="009E54A1"/>
    <w:rsid w:val="009E5F77"/>
    <w:rsid w:val="009F0DAE"/>
    <w:rsid w:val="009F4E25"/>
    <w:rsid w:val="009F5B1F"/>
    <w:rsid w:val="00A12B4F"/>
    <w:rsid w:val="00A225A9"/>
    <w:rsid w:val="00A24DAC"/>
    <w:rsid w:val="00A30D82"/>
    <w:rsid w:val="00A3222F"/>
    <w:rsid w:val="00A3308E"/>
    <w:rsid w:val="00A33127"/>
    <w:rsid w:val="00A35DFD"/>
    <w:rsid w:val="00A40675"/>
    <w:rsid w:val="00A44CCF"/>
    <w:rsid w:val="00A57874"/>
    <w:rsid w:val="00A702DF"/>
    <w:rsid w:val="00A775A3"/>
    <w:rsid w:val="00A77DC5"/>
    <w:rsid w:val="00A80BBD"/>
    <w:rsid w:val="00A80EA0"/>
    <w:rsid w:val="00A81700"/>
    <w:rsid w:val="00A81B5B"/>
    <w:rsid w:val="00A82FAD"/>
    <w:rsid w:val="00A95A27"/>
    <w:rsid w:val="00A9609D"/>
    <w:rsid w:val="00A96225"/>
    <w:rsid w:val="00A9673A"/>
    <w:rsid w:val="00A96EF2"/>
    <w:rsid w:val="00A973B8"/>
    <w:rsid w:val="00AA5C35"/>
    <w:rsid w:val="00AA5ED9"/>
    <w:rsid w:val="00AC0A38"/>
    <w:rsid w:val="00AC4E0E"/>
    <w:rsid w:val="00AC517B"/>
    <w:rsid w:val="00AD0D19"/>
    <w:rsid w:val="00AD4184"/>
    <w:rsid w:val="00AE7CDF"/>
    <w:rsid w:val="00AF051B"/>
    <w:rsid w:val="00AF7B18"/>
    <w:rsid w:val="00B037A2"/>
    <w:rsid w:val="00B04B9A"/>
    <w:rsid w:val="00B31870"/>
    <w:rsid w:val="00B320B8"/>
    <w:rsid w:val="00B336B9"/>
    <w:rsid w:val="00B34D69"/>
    <w:rsid w:val="00B35EE2"/>
    <w:rsid w:val="00B36DEF"/>
    <w:rsid w:val="00B52A62"/>
    <w:rsid w:val="00B57131"/>
    <w:rsid w:val="00B62F2C"/>
    <w:rsid w:val="00B63DD6"/>
    <w:rsid w:val="00B72307"/>
    <w:rsid w:val="00B727C9"/>
    <w:rsid w:val="00B735C8"/>
    <w:rsid w:val="00B76A63"/>
    <w:rsid w:val="00B86228"/>
    <w:rsid w:val="00B96A22"/>
    <w:rsid w:val="00BA3686"/>
    <w:rsid w:val="00BA6350"/>
    <w:rsid w:val="00BB4E29"/>
    <w:rsid w:val="00BB74C9"/>
    <w:rsid w:val="00BC3AB6"/>
    <w:rsid w:val="00BC45E8"/>
    <w:rsid w:val="00BD104F"/>
    <w:rsid w:val="00BD19E8"/>
    <w:rsid w:val="00BD4273"/>
    <w:rsid w:val="00C31ED8"/>
    <w:rsid w:val="00C32F4A"/>
    <w:rsid w:val="00C432E4"/>
    <w:rsid w:val="00C457FB"/>
    <w:rsid w:val="00C47176"/>
    <w:rsid w:val="00C50A46"/>
    <w:rsid w:val="00C6317D"/>
    <w:rsid w:val="00C65A3C"/>
    <w:rsid w:val="00C65AD7"/>
    <w:rsid w:val="00C70C26"/>
    <w:rsid w:val="00C72001"/>
    <w:rsid w:val="00C72820"/>
    <w:rsid w:val="00C73494"/>
    <w:rsid w:val="00C7593B"/>
    <w:rsid w:val="00C772B7"/>
    <w:rsid w:val="00C80347"/>
    <w:rsid w:val="00C819F3"/>
    <w:rsid w:val="00C84697"/>
    <w:rsid w:val="00C870AC"/>
    <w:rsid w:val="00C91C2F"/>
    <w:rsid w:val="00C93900"/>
    <w:rsid w:val="00CB24D2"/>
    <w:rsid w:val="00CB7C1A"/>
    <w:rsid w:val="00CC27DC"/>
    <w:rsid w:val="00CC5E08"/>
    <w:rsid w:val="00CC72B0"/>
    <w:rsid w:val="00CD3C6F"/>
    <w:rsid w:val="00CD5FAE"/>
    <w:rsid w:val="00CE14FD"/>
    <w:rsid w:val="00CF1AB1"/>
    <w:rsid w:val="00CF6860"/>
    <w:rsid w:val="00CF6FC8"/>
    <w:rsid w:val="00D02AC6"/>
    <w:rsid w:val="00D03F0C"/>
    <w:rsid w:val="00D04312"/>
    <w:rsid w:val="00D06015"/>
    <w:rsid w:val="00D16A7F"/>
    <w:rsid w:val="00D16AD2"/>
    <w:rsid w:val="00D22596"/>
    <w:rsid w:val="00D22691"/>
    <w:rsid w:val="00D24C3D"/>
    <w:rsid w:val="00D273CB"/>
    <w:rsid w:val="00D35CFE"/>
    <w:rsid w:val="00D46CB1"/>
    <w:rsid w:val="00D56503"/>
    <w:rsid w:val="00D57237"/>
    <w:rsid w:val="00D723F0"/>
    <w:rsid w:val="00D8019E"/>
    <w:rsid w:val="00D80B18"/>
    <w:rsid w:val="00D8133F"/>
    <w:rsid w:val="00D84B8F"/>
    <w:rsid w:val="00D8556E"/>
    <w:rsid w:val="00D85FA0"/>
    <w:rsid w:val="00D861EE"/>
    <w:rsid w:val="00D95B05"/>
    <w:rsid w:val="00D97E2D"/>
    <w:rsid w:val="00DA103D"/>
    <w:rsid w:val="00DA45D3"/>
    <w:rsid w:val="00DA4772"/>
    <w:rsid w:val="00DA4982"/>
    <w:rsid w:val="00DA7754"/>
    <w:rsid w:val="00DA7B44"/>
    <w:rsid w:val="00DB2667"/>
    <w:rsid w:val="00DB6650"/>
    <w:rsid w:val="00DB67B7"/>
    <w:rsid w:val="00DC1138"/>
    <w:rsid w:val="00DC15A9"/>
    <w:rsid w:val="00DC40AA"/>
    <w:rsid w:val="00DC5D65"/>
    <w:rsid w:val="00DD1750"/>
    <w:rsid w:val="00DD4C18"/>
    <w:rsid w:val="00DF02C7"/>
    <w:rsid w:val="00E00CFD"/>
    <w:rsid w:val="00E020F1"/>
    <w:rsid w:val="00E20CBF"/>
    <w:rsid w:val="00E318B1"/>
    <w:rsid w:val="00E3309B"/>
    <w:rsid w:val="00E33607"/>
    <w:rsid w:val="00E349AA"/>
    <w:rsid w:val="00E36405"/>
    <w:rsid w:val="00E41390"/>
    <w:rsid w:val="00E41CA0"/>
    <w:rsid w:val="00E4337A"/>
    <w:rsid w:val="00E4366B"/>
    <w:rsid w:val="00E4758F"/>
    <w:rsid w:val="00E50A4A"/>
    <w:rsid w:val="00E51D3F"/>
    <w:rsid w:val="00E606DE"/>
    <w:rsid w:val="00E60A04"/>
    <w:rsid w:val="00E644FE"/>
    <w:rsid w:val="00E72733"/>
    <w:rsid w:val="00E742FA"/>
    <w:rsid w:val="00E76816"/>
    <w:rsid w:val="00E83DBF"/>
    <w:rsid w:val="00E87C13"/>
    <w:rsid w:val="00E94CD9"/>
    <w:rsid w:val="00EA120C"/>
    <w:rsid w:val="00EA1A76"/>
    <w:rsid w:val="00EA290B"/>
    <w:rsid w:val="00EB2820"/>
    <w:rsid w:val="00EE0D3C"/>
    <w:rsid w:val="00EE0E90"/>
    <w:rsid w:val="00EE5FE6"/>
    <w:rsid w:val="00EF3BCA"/>
    <w:rsid w:val="00EF729B"/>
    <w:rsid w:val="00F01B0D"/>
    <w:rsid w:val="00F1238F"/>
    <w:rsid w:val="00F15D84"/>
    <w:rsid w:val="00F16485"/>
    <w:rsid w:val="00F228ED"/>
    <w:rsid w:val="00F26E31"/>
    <w:rsid w:val="00F27C6C"/>
    <w:rsid w:val="00F30985"/>
    <w:rsid w:val="00F349AB"/>
    <w:rsid w:val="00F34A8D"/>
    <w:rsid w:val="00F35012"/>
    <w:rsid w:val="00F5023C"/>
    <w:rsid w:val="00F50AD2"/>
    <w:rsid w:val="00F50D25"/>
    <w:rsid w:val="00F535D8"/>
    <w:rsid w:val="00F61155"/>
    <w:rsid w:val="00F708E3"/>
    <w:rsid w:val="00F76561"/>
    <w:rsid w:val="00F84736"/>
    <w:rsid w:val="00F93569"/>
    <w:rsid w:val="00FB408A"/>
    <w:rsid w:val="00FC6C29"/>
    <w:rsid w:val="00FD58E0"/>
    <w:rsid w:val="00FD71AE"/>
    <w:rsid w:val="00FE0198"/>
    <w:rsid w:val="00FE3A7C"/>
    <w:rsid w:val="00FF105E"/>
    <w:rsid w:val="00FF1C0B"/>
    <w:rsid w:val="00FF232D"/>
    <w:rsid w:val="00FF2825"/>
    <w:rsid w:val="00FF35EE"/>
    <w:rsid w:val="00FF481E"/>
    <w:rsid w:val="00FF723D"/>
    <w:rsid w:val="00FF7F9B"/>
    <w:rsid w:val="083AF924"/>
    <w:rsid w:val="0ABFB8EB"/>
    <w:rsid w:val="0B881CA5"/>
    <w:rsid w:val="1879104D"/>
    <w:rsid w:val="2349A7AF"/>
    <w:rsid w:val="2BD114CC"/>
    <w:rsid w:val="54BD3FA8"/>
    <w:rsid w:val="57BBB7CD"/>
    <w:rsid w:val="589C0377"/>
    <w:rsid w:val="65DE2843"/>
    <w:rsid w:val="68B40A2B"/>
    <w:rsid w:val="78BC1C86"/>
    <w:rsid w:val="7996CE43"/>
    <w:rsid w:val="7BFB723E"/>
    <w:rsid w:val="7D9650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6CB7C2"/>
  <w15:docId w15:val="{CD11DF6C-4C1B-44D5-ABAA-77510AA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F1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F1F"/>
    <w:rPr>
      <w:color w:val="0000FF"/>
      <w:u w:val="single"/>
    </w:rPr>
  </w:style>
  <w:style w:type="character" w:styleId="FollowedHyperlink">
    <w:name w:val="FollowedHyperlink"/>
    <w:rsid w:val="004F0F1F"/>
    <w:rPr>
      <w:color w:val="800080"/>
      <w:u w:val="single"/>
    </w:rPr>
  </w:style>
  <w:style w:type="character" w:customStyle="1" w:styleId="articlehead1">
    <w:name w:val="articlehead1"/>
    <w:rsid w:val="0002500C"/>
    <w:rPr>
      <w:b/>
      <w:bCs/>
      <w:color w:val="336699"/>
      <w:sz w:val="24"/>
      <w:szCs w:val="24"/>
    </w:rPr>
  </w:style>
  <w:style w:type="character" w:customStyle="1" w:styleId="byline1">
    <w:name w:val="byline1"/>
    <w:rsid w:val="0002500C"/>
    <w:rPr>
      <w:rFonts w:ascii="Verdana" w:hAnsi="Verdana" w:hint="default"/>
      <w:color w:val="999999"/>
      <w:sz w:val="15"/>
      <w:szCs w:val="15"/>
    </w:rPr>
  </w:style>
  <w:style w:type="paragraph" w:styleId="NormalWeb">
    <w:name w:val="Normal (Web)"/>
    <w:basedOn w:val="Normal"/>
    <w:rsid w:val="00AA5C35"/>
  </w:style>
  <w:style w:type="paragraph" w:styleId="Caption">
    <w:name w:val="caption"/>
    <w:basedOn w:val="Normal"/>
    <w:next w:val="Normal"/>
    <w:unhideWhenUsed/>
    <w:qFormat/>
    <w:rsid w:val="00575A00"/>
    <w:rPr>
      <w:b/>
      <w:bCs/>
      <w:sz w:val="20"/>
      <w:szCs w:val="20"/>
    </w:rPr>
  </w:style>
  <w:style w:type="character" w:styleId="UnresolvedMention">
    <w:name w:val="Unresolved Mention"/>
    <w:basedOn w:val="DefaultParagraphFont"/>
    <w:uiPriority w:val="99"/>
    <w:semiHidden/>
    <w:unhideWhenUsed/>
    <w:rsid w:val="00285C36"/>
    <w:rPr>
      <w:color w:val="808080"/>
      <w:shd w:val="clear" w:color="auto" w:fill="E6E6E6"/>
    </w:rPr>
  </w:style>
  <w:style w:type="paragraph" w:styleId="BalloonText">
    <w:name w:val="Balloon Text"/>
    <w:basedOn w:val="Normal"/>
    <w:link w:val="BalloonTextChar"/>
    <w:semiHidden/>
    <w:unhideWhenUsed/>
    <w:rsid w:val="006D16EF"/>
    <w:rPr>
      <w:rFonts w:ascii="Segoe UI" w:hAnsi="Segoe UI" w:cs="Segoe UI"/>
      <w:sz w:val="18"/>
      <w:szCs w:val="18"/>
    </w:rPr>
  </w:style>
  <w:style w:type="character" w:customStyle="1" w:styleId="BalloonTextChar">
    <w:name w:val="Balloon Text Char"/>
    <w:basedOn w:val="DefaultParagraphFont"/>
    <w:link w:val="BalloonText"/>
    <w:semiHidden/>
    <w:rsid w:val="006D16EF"/>
    <w:rPr>
      <w:rFonts w:ascii="Segoe UI" w:hAnsi="Segoe UI" w:cs="Segoe UI"/>
      <w:sz w:val="18"/>
      <w:szCs w:val="18"/>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F35012"/>
    <w:rPr>
      <w:sz w:val="24"/>
      <w:szCs w:val="24"/>
    </w:rPr>
  </w:style>
  <w:style w:type="paragraph" w:styleId="CommentSubject">
    <w:name w:val="annotation subject"/>
    <w:basedOn w:val="CommentText"/>
    <w:next w:val="CommentText"/>
    <w:link w:val="CommentSubjectChar"/>
    <w:semiHidden/>
    <w:unhideWhenUsed/>
    <w:rsid w:val="00045662"/>
    <w:rPr>
      <w:b/>
      <w:bCs/>
    </w:rPr>
  </w:style>
  <w:style w:type="character" w:customStyle="1" w:styleId="CommentSubjectChar">
    <w:name w:val="Comment Subject Char"/>
    <w:basedOn w:val="CommentTextChar"/>
    <w:link w:val="CommentSubject"/>
    <w:semiHidden/>
    <w:rsid w:val="00045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ll.wiquist\OneDrive%20-%20FCC\General%20-%20OMR\OMR%20Templates\Template%20-%20Office%20of%20Chairman%20-%20with%20email%20box.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Office of Chairman - with email box</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