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4C2EE3" w:rsidP="006D3EF7" w14:paraId="5060C5D2" w14:textId="77777777">
      <w:pPr>
        <w:jc w:val="center"/>
        <w:rPr>
          <w:b/>
        </w:rPr>
      </w:pPr>
      <w:r w:rsidRPr="0070224F">
        <w:rPr>
          <w:rFonts w:ascii="Times New Roman Bold" w:hAnsi="Times New Roman Bold"/>
          <w:b/>
          <w:kern w:val="0"/>
          <w:szCs w:val="22"/>
        </w:rPr>
        <w:t>Before</w:t>
      </w:r>
      <w:r>
        <w:rPr>
          <w:b/>
        </w:rPr>
        <w:t xml:space="preserve"> the</w:t>
      </w:r>
    </w:p>
    <w:p w:rsidR="00921803" w:rsidP="006D3EF7" w14:paraId="2B91F975" w14:textId="77777777">
      <w:pPr>
        <w:pStyle w:val="StyleBoldCentered"/>
      </w:pPr>
      <w:r>
        <w:t>F</w:t>
      </w:r>
      <w:r>
        <w:rPr>
          <w:caps w:val="0"/>
        </w:rPr>
        <w:t>ederal Communications Commission</w:t>
      </w:r>
    </w:p>
    <w:p w:rsidR="004C2EE3" w:rsidP="006D3EF7" w14:paraId="1A1BD420" w14:textId="77777777">
      <w:pPr>
        <w:pStyle w:val="StyleBoldCentered"/>
      </w:pPr>
      <w:r>
        <w:rPr>
          <w:caps w:val="0"/>
        </w:rPr>
        <w:t>Washington, D.C. 20554</w:t>
      </w:r>
    </w:p>
    <w:p w:rsidR="004C2EE3" w:rsidP="006D3EF7" w14:paraId="38A58234" w14:textId="77777777"/>
    <w:p w:rsidR="004C2EE3" w:rsidP="006D3EF7" w14:paraId="4080CFAB" w14:textId="77777777"/>
    <w:tbl>
      <w:tblPr>
        <w:tblW w:w="0" w:type="auto"/>
        <w:tblLayout w:type="fixed"/>
        <w:tblLook w:val="0000"/>
      </w:tblPr>
      <w:tblGrid>
        <w:gridCol w:w="4698"/>
        <w:gridCol w:w="630"/>
        <w:gridCol w:w="4248"/>
      </w:tblGrid>
      <w:tr w14:paraId="292D7A95" w14:textId="77777777">
        <w:tblPrEx>
          <w:tblW w:w="0" w:type="auto"/>
          <w:tblLayout w:type="fixed"/>
          <w:tblLook w:val="0000"/>
        </w:tblPrEx>
        <w:tc>
          <w:tcPr>
            <w:tcW w:w="4698" w:type="dxa"/>
          </w:tcPr>
          <w:p w:rsidR="004C2EE3" w:rsidP="006D3EF7" w14:paraId="28ABB79A" w14:textId="77777777">
            <w:pPr>
              <w:tabs>
                <w:tab w:val="center" w:pos="4680"/>
              </w:tabs>
              <w:suppressAutoHyphens/>
              <w:rPr>
                <w:spacing w:val="-2"/>
              </w:rPr>
            </w:pPr>
            <w:r>
              <w:rPr>
                <w:spacing w:val="-2"/>
              </w:rPr>
              <w:t>In the Matter of</w:t>
            </w:r>
          </w:p>
          <w:p w:rsidR="004C2EE3" w:rsidP="006D3EF7" w14:paraId="5EAF58AC" w14:textId="77777777">
            <w:pPr>
              <w:tabs>
                <w:tab w:val="center" w:pos="4680"/>
              </w:tabs>
              <w:suppressAutoHyphens/>
              <w:rPr>
                <w:spacing w:val="-2"/>
              </w:rPr>
            </w:pPr>
          </w:p>
          <w:p w:rsidR="004C2EE3" w:rsidP="006D3EF7" w14:paraId="241E166B" w14:textId="77420CCD">
            <w:pPr>
              <w:tabs>
                <w:tab w:val="center" w:pos="4680"/>
              </w:tabs>
              <w:suppressAutoHyphens/>
              <w:rPr>
                <w:spacing w:val="-2"/>
              </w:rPr>
            </w:pPr>
            <w:r>
              <w:rPr>
                <w:spacing w:val="-2"/>
              </w:rPr>
              <w:t xml:space="preserve">Vazquez </w:t>
            </w:r>
            <w:r w:rsidR="004D299C">
              <w:rPr>
                <w:spacing w:val="-2"/>
              </w:rPr>
              <w:t>Broadcasting Corporation</w:t>
            </w:r>
          </w:p>
          <w:p w:rsidR="004D299C" w:rsidP="006D3EF7" w14:paraId="4C10E6B2" w14:textId="77777777">
            <w:pPr>
              <w:tabs>
                <w:tab w:val="center" w:pos="4680"/>
              </w:tabs>
              <w:suppressAutoHyphens/>
              <w:rPr>
                <w:spacing w:val="-2"/>
              </w:rPr>
            </w:pPr>
            <w:r>
              <w:rPr>
                <w:spacing w:val="-2"/>
              </w:rPr>
              <w:t>Licensee</w:t>
            </w:r>
            <w:r>
              <w:rPr>
                <w:spacing w:val="-2"/>
              </w:rPr>
              <w:t xml:space="preserve"> of </w:t>
            </w:r>
            <w:r>
              <w:rPr>
                <w:spacing w:val="-2"/>
              </w:rPr>
              <w:t xml:space="preserve">AM </w:t>
            </w:r>
            <w:r>
              <w:rPr>
                <w:spacing w:val="-2"/>
              </w:rPr>
              <w:t>Station</w:t>
            </w:r>
            <w:r>
              <w:rPr>
                <w:spacing w:val="-2"/>
              </w:rPr>
              <w:t xml:space="preserve"> WSDS</w:t>
            </w:r>
          </w:p>
          <w:p w:rsidR="00AD2A9B" w:rsidP="006D3EF7" w14:paraId="0FF0DD5B" w14:textId="712C17E7">
            <w:pPr>
              <w:tabs>
                <w:tab w:val="center" w:pos="4680"/>
              </w:tabs>
              <w:suppressAutoHyphens/>
              <w:rPr>
                <w:spacing w:val="-2"/>
              </w:rPr>
            </w:pPr>
            <w:r>
              <w:rPr>
                <w:spacing w:val="-2"/>
              </w:rPr>
              <w:t>Owner o</w:t>
            </w:r>
            <w:r>
              <w:rPr>
                <w:spacing w:val="-2"/>
              </w:rPr>
              <w:t>f Antenna Structure</w:t>
            </w:r>
            <w:r>
              <w:rPr>
                <w:spacing w:val="-2"/>
              </w:rPr>
              <w:t>s 100488</w:t>
            </w:r>
            <w:r w:rsidR="00AD17B3">
              <w:rPr>
                <w:spacing w:val="-2"/>
              </w:rPr>
              <w:t>3</w:t>
            </w:r>
            <w:r>
              <w:rPr>
                <w:spacing w:val="-2"/>
              </w:rPr>
              <w:t>, 100488</w:t>
            </w:r>
            <w:r w:rsidR="00AD17B3">
              <w:rPr>
                <w:spacing w:val="-2"/>
              </w:rPr>
              <w:t>4</w:t>
            </w:r>
            <w:r>
              <w:rPr>
                <w:spacing w:val="-2"/>
              </w:rPr>
              <w:t>, 100488</w:t>
            </w:r>
            <w:r w:rsidR="00AD17B3">
              <w:rPr>
                <w:spacing w:val="-2"/>
              </w:rPr>
              <w:t>5</w:t>
            </w:r>
            <w:r>
              <w:rPr>
                <w:spacing w:val="-2"/>
              </w:rPr>
              <w:t>, 100488</w:t>
            </w:r>
            <w:r w:rsidR="00AD17B3">
              <w:rPr>
                <w:spacing w:val="-2"/>
              </w:rPr>
              <w:t>6</w:t>
            </w:r>
          </w:p>
          <w:p w:rsidR="00AD2A9B" w:rsidP="006D3EF7" w14:paraId="198BBC1D" w14:textId="77777777">
            <w:pPr>
              <w:tabs>
                <w:tab w:val="center" w:pos="4680"/>
              </w:tabs>
              <w:suppressAutoHyphens/>
              <w:rPr>
                <w:spacing w:val="-2"/>
              </w:rPr>
            </w:pPr>
          </w:p>
          <w:p w:rsidR="00AD2A9B" w:rsidRPr="00AD2A9B" w:rsidP="006D3EF7" w14:paraId="07E9B480" w14:textId="2BDB4029">
            <w:pPr>
              <w:tabs>
                <w:tab w:val="center" w:pos="4680"/>
              </w:tabs>
              <w:suppressAutoHyphens/>
              <w:rPr>
                <w:spacing w:val="-2"/>
              </w:rPr>
            </w:pPr>
            <w:r>
              <w:rPr>
                <w:spacing w:val="-2"/>
              </w:rPr>
              <w:t>Salem Township, Michigan</w:t>
            </w:r>
          </w:p>
        </w:tc>
        <w:tc>
          <w:tcPr>
            <w:tcW w:w="630" w:type="dxa"/>
          </w:tcPr>
          <w:p w:rsidR="004C2EE3" w:rsidP="006D3EF7" w14:paraId="2BBE4933" w14:textId="77777777">
            <w:pPr>
              <w:tabs>
                <w:tab w:val="center" w:pos="4680"/>
              </w:tabs>
              <w:suppressAutoHyphens/>
              <w:rPr>
                <w:b/>
                <w:spacing w:val="-2"/>
              </w:rPr>
            </w:pPr>
            <w:r>
              <w:rPr>
                <w:b/>
                <w:spacing w:val="-2"/>
              </w:rPr>
              <w:t>)</w:t>
            </w:r>
          </w:p>
          <w:p w:rsidR="004C2EE3" w:rsidP="006D3EF7" w14:paraId="3E0AF3EE" w14:textId="77777777">
            <w:pPr>
              <w:tabs>
                <w:tab w:val="center" w:pos="4680"/>
              </w:tabs>
              <w:suppressAutoHyphens/>
              <w:rPr>
                <w:b/>
                <w:spacing w:val="-2"/>
              </w:rPr>
            </w:pPr>
            <w:r>
              <w:rPr>
                <w:b/>
                <w:spacing w:val="-2"/>
              </w:rPr>
              <w:t>)</w:t>
            </w:r>
          </w:p>
          <w:p w:rsidR="004C2EE3" w:rsidP="006D3EF7" w14:paraId="453CD976" w14:textId="77777777">
            <w:pPr>
              <w:tabs>
                <w:tab w:val="center" w:pos="4680"/>
              </w:tabs>
              <w:suppressAutoHyphens/>
              <w:rPr>
                <w:b/>
                <w:spacing w:val="-2"/>
              </w:rPr>
            </w:pPr>
            <w:r>
              <w:rPr>
                <w:b/>
                <w:spacing w:val="-2"/>
              </w:rPr>
              <w:t>)</w:t>
            </w:r>
          </w:p>
          <w:p w:rsidR="004C2EE3" w:rsidP="006D3EF7" w14:paraId="4A6F6234" w14:textId="77777777">
            <w:pPr>
              <w:tabs>
                <w:tab w:val="center" w:pos="4680"/>
              </w:tabs>
              <w:suppressAutoHyphens/>
              <w:rPr>
                <w:b/>
                <w:spacing w:val="-2"/>
              </w:rPr>
            </w:pPr>
            <w:r>
              <w:rPr>
                <w:b/>
                <w:spacing w:val="-2"/>
              </w:rPr>
              <w:t>)</w:t>
            </w:r>
          </w:p>
          <w:p w:rsidR="004C2EE3" w:rsidP="006D3EF7" w14:paraId="2E1732AB" w14:textId="77777777">
            <w:pPr>
              <w:tabs>
                <w:tab w:val="center" w:pos="4680"/>
              </w:tabs>
              <w:suppressAutoHyphens/>
              <w:rPr>
                <w:b/>
                <w:spacing w:val="-2"/>
              </w:rPr>
            </w:pPr>
            <w:r>
              <w:rPr>
                <w:b/>
                <w:spacing w:val="-2"/>
              </w:rPr>
              <w:t>)</w:t>
            </w:r>
          </w:p>
          <w:p w:rsidR="004C2EE3" w:rsidP="006D3EF7" w14:paraId="4AFF926D" w14:textId="77777777">
            <w:pPr>
              <w:tabs>
                <w:tab w:val="center" w:pos="4680"/>
              </w:tabs>
              <w:suppressAutoHyphens/>
              <w:rPr>
                <w:b/>
                <w:spacing w:val="-2"/>
              </w:rPr>
            </w:pPr>
            <w:r>
              <w:rPr>
                <w:b/>
                <w:spacing w:val="-2"/>
              </w:rPr>
              <w:t>)</w:t>
            </w:r>
          </w:p>
          <w:p w:rsidR="004C2EE3" w:rsidP="006D3EF7" w14:paraId="49A1444D" w14:textId="77777777">
            <w:pPr>
              <w:tabs>
                <w:tab w:val="center" w:pos="4680"/>
              </w:tabs>
              <w:suppressAutoHyphens/>
              <w:rPr>
                <w:b/>
                <w:spacing w:val="-2"/>
              </w:rPr>
            </w:pPr>
            <w:r>
              <w:rPr>
                <w:b/>
                <w:spacing w:val="-2"/>
              </w:rPr>
              <w:t>)</w:t>
            </w:r>
          </w:p>
          <w:p w:rsidR="004C2EE3" w:rsidP="006D3EF7" w14:paraId="4AC61C9B" w14:textId="77777777">
            <w:pPr>
              <w:tabs>
                <w:tab w:val="center" w:pos="4680"/>
              </w:tabs>
              <w:suppressAutoHyphens/>
              <w:rPr>
                <w:b/>
                <w:spacing w:val="-2"/>
              </w:rPr>
            </w:pPr>
            <w:r>
              <w:rPr>
                <w:b/>
                <w:spacing w:val="-2"/>
              </w:rPr>
              <w:t>)</w:t>
            </w:r>
          </w:p>
          <w:p w:rsidR="004C2EE3" w:rsidP="006D3EF7" w14:paraId="2D444FF5" w14:textId="77777777">
            <w:pPr>
              <w:tabs>
                <w:tab w:val="center" w:pos="4680"/>
              </w:tabs>
              <w:suppressAutoHyphens/>
              <w:rPr>
                <w:spacing w:val="-2"/>
              </w:rPr>
            </w:pPr>
            <w:r>
              <w:rPr>
                <w:b/>
                <w:spacing w:val="-2"/>
              </w:rPr>
              <w:t>)</w:t>
            </w:r>
          </w:p>
        </w:tc>
        <w:tc>
          <w:tcPr>
            <w:tcW w:w="4248" w:type="dxa"/>
          </w:tcPr>
          <w:p w:rsidR="004C2EE3" w:rsidP="006D3EF7" w14:paraId="30BC4831" w14:textId="77777777">
            <w:pPr>
              <w:tabs>
                <w:tab w:val="center" w:pos="4680"/>
              </w:tabs>
              <w:suppressAutoHyphens/>
              <w:rPr>
                <w:spacing w:val="-2"/>
              </w:rPr>
            </w:pPr>
          </w:p>
          <w:p w:rsidR="004C2EE3" w:rsidP="006D3EF7" w14:paraId="422A3FA4" w14:textId="77777777">
            <w:pPr>
              <w:pStyle w:val="TOAHeading"/>
              <w:tabs>
                <w:tab w:val="center" w:pos="4680"/>
                <w:tab w:val="clear" w:pos="9360"/>
              </w:tabs>
              <w:rPr>
                <w:spacing w:val="-2"/>
              </w:rPr>
            </w:pPr>
          </w:p>
          <w:p w:rsidR="004C2EE3" w:rsidP="006D3EF7" w14:paraId="6FF97899" w14:textId="1CC42268">
            <w:pPr>
              <w:tabs>
                <w:tab w:val="center" w:pos="4680"/>
              </w:tabs>
              <w:suppressAutoHyphens/>
              <w:rPr>
                <w:spacing w:val="-2"/>
              </w:rPr>
            </w:pPr>
            <w:r>
              <w:rPr>
                <w:spacing w:val="-2"/>
              </w:rPr>
              <w:t xml:space="preserve">File No.: </w:t>
            </w:r>
            <w:r w:rsidR="0004330F">
              <w:rPr>
                <w:spacing w:val="-2"/>
              </w:rPr>
              <w:t>EB-FIELDNER-24-000</w:t>
            </w:r>
            <w:r w:rsidR="004E6E30">
              <w:rPr>
                <w:spacing w:val="-2"/>
              </w:rPr>
              <w:t>37648</w:t>
            </w:r>
          </w:p>
          <w:p w:rsidR="00AD17B3" w:rsidP="006D3EF7" w14:paraId="1D3D250E" w14:textId="77777777">
            <w:pPr>
              <w:tabs>
                <w:tab w:val="center" w:pos="4680"/>
              </w:tabs>
              <w:suppressAutoHyphens/>
              <w:rPr>
                <w:spacing w:val="-2"/>
              </w:rPr>
            </w:pPr>
          </w:p>
          <w:p w:rsidR="0004330F" w:rsidP="006D3EF7" w14:paraId="366D17F6" w14:textId="77777777">
            <w:pPr>
              <w:tabs>
                <w:tab w:val="center" w:pos="4680"/>
              </w:tabs>
              <w:suppressAutoHyphens/>
              <w:rPr>
                <w:spacing w:val="-2"/>
              </w:rPr>
            </w:pPr>
            <w:r>
              <w:rPr>
                <w:spacing w:val="-2"/>
              </w:rPr>
              <w:t xml:space="preserve">Facility ID: </w:t>
            </w:r>
            <w:r>
              <w:rPr>
                <w:spacing w:val="-2"/>
              </w:rPr>
              <w:t>35335</w:t>
            </w:r>
          </w:p>
          <w:p w:rsidR="00AD17B3" w:rsidP="006D3EF7" w14:paraId="577F1F13" w14:textId="77777777">
            <w:pPr>
              <w:tabs>
                <w:tab w:val="center" w:pos="4680"/>
              </w:tabs>
              <w:suppressAutoHyphens/>
              <w:rPr>
                <w:spacing w:val="-2"/>
              </w:rPr>
            </w:pPr>
          </w:p>
          <w:p w:rsidR="00AD17B3" w:rsidP="006D3EF7" w14:paraId="7670785A" w14:textId="77777777">
            <w:pPr>
              <w:tabs>
                <w:tab w:val="center" w:pos="4680"/>
              </w:tabs>
              <w:suppressAutoHyphens/>
              <w:rPr>
                <w:spacing w:val="-2"/>
              </w:rPr>
            </w:pPr>
          </w:p>
          <w:p w:rsidR="00D55FBC" w:rsidRPr="00D55FBC" w:rsidP="006D3EF7" w14:paraId="69D84720" w14:textId="42D8137D">
            <w:pPr>
              <w:tabs>
                <w:tab w:val="center" w:pos="4680"/>
              </w:tabs>
              <w:suppressAutoHyphens/>
              <w:rPr>
                <w:spacing w:val="-2"/>
              </w:rPr>
            </w:pPr>
            <w:r>
              <w:rPr>
                <w:spacing w:val="-2"/>
              </w:rPr>
              <w:t xml:space="preserve">FRN: </w:t>
            </w:r>
            <w:r w:rsidR="00F82B3A">
              <w:rPr>
                <w:spacing w:val="-2"/>
              </w:rPr>
              <w:t>0022811780</w:t>
            </w:r>
          </w:p>
        </w:tc>
      </w:tr>
    </w:tbl>
    <w:p w:rsidR="004C2EE3" w:rsidP="006D3EF7" w14:paraId="50C46571" w14:textId="77777777"/>
    <w:p w:rsidR="00841AB1" w:rsidP="006D3EF7" w14:paraId="19748C8D" w14:textId="50CFA8F7">
      <w:pPr>
        <w:pStyle w:val="StyleBoldCentered"/>
      </w:pPr>
      <w:r>
        <w:t>Notice of violation</w:t>
      </w:r>
    </w:p>
    <w:p w:rsidR="004C2EE3" w:rsidP="006D3EF7" w14:paraId="2740B14D" w14:textId="77777777">
      <w:pPr>
        <w:tabs>
          <w:tab w:val="left" w:pos="-720"/>
        </w:tabs>
        <w:suppressAutoHyphens/>
        <w:spacing w:line="227" w:lineRule="auto"/>
        <w:rPr>
          <w:spacing w:val="-2"/>
        </w:rPr>
      </w:pPr>
    </w:p>
    <w:p w:rsidR="004C2EE3" w:rsidRPr="00AD2A9B" w:rsidP="007E0472" w14:paraId="77DE93A9" w14:textId="35D68E7D">
      <w:pPr>
        <w:tabs>
          <w:tab w:val="left" w:pos="720"/>
          <w:tab w:val="right" w:pos="9360"/>
        </w:tabs>
        <w:suppressAutoHyphens/>
        <w:spacing w:line="227" w:lineRule="auto"/>
      </w:pPr>
      <w:r>
        <w:rPr>
          <w:b/>
          <w:bCs/>
          <w:spacing w:val="-2"/>
        </w:rPr>
        <w:tab/>
      </w:r>
      <w:r>
        <w:rPr>
          <w:b/>
          <w:bCs/>
          <w:spacing w:val="-2"/>
        </w:rPr>
        <w:tab/>
      </w:r>
      <w:r w:rsidRPr="2F3FB1A5" w:rsidR="00822CE0">
        <w:rPr>
          <w:b/>
          <w:bCs/>
          <w:spacing w:val="-2"/>
        </w:rPr>
        <w:t>Released</w:t>
      </w:r>
      <w:r w:rsidRPr="2F3FB1A5">
        <w:rPr>
          <w:b/>
          <w:bCs/>
          <w:spacing w:val="-2"/>
        </w:rPr>
        <w:t>:</w:t>
      </w:r>
      <w:r w:rsidRPr="2F3FB1A5" w:rsidR="00822CE0">
        <w:rPr>
          <w:b/>
          <w:bCs/>
          <w:spacing w:val="-2"/>
        </w:rPr>
        <w:t xml:space="preserve"> </w:t>
      </w:r>
      <w:r w:rsidRPr="2F3FB1A5">
        <w:rPr>
          <w:b/>
          <w:bCs/>
          <w:spacing w:val="-2"/>
        </w:rPr>
        <w:t xml:space="preserve"> </w:t>
      </w:r>
      <w:r>
        <w:rPr>
          <w:b/>
          <w:bCs/>
          <w:spacing w:val="-2"/>
        </w:rPr>
        <w:t>January</w:t>
      </w:r>
      <w:r>
        <w:rPr>
          <w:b/>
          <w:bCs/>
          <w:spacing w:val="-2"/>
        </w:rPr>
        <w:t xml:space="preserve"> 12, 2026</w:t>
      </w:r>
    </w:p>
    <w:p w:rsidR="00822CE0" w:rsidP="006D3EF7" w14:paraId="30D3BF8B" w14:textId="77777777"/>
    <w:p w:rsidR="004C2EE3" w:rsidP="006D3EF7" w14:paraId="466808CB" w14:textId="4CDB5209">
      <w:pPr>
        <w:rPr>
          <w:spacing w:val="-2"/>
        </w:rPr>
      </w:pPr>
      <w:r>
        <w:t xml:space="preserve">By </w:t>
      </w:r>
      <w:r w:rsidR="004E4A22">
        <w:t>the</w:t>
      </w:r>
      <w:r w:rsidR="002A2D2E">
        <w:t xml:space="preserve"> </w:t>
      </w:r>
      <w:r w:rsidR="00AD2A9B">
        <w:rPr>
          <w:spacing w:val="-2"/>
        </w:rPr>
        <w:t xml:space="preserve">Regional Director, Region </w:t>
      </w:r>
      <w:r w:rsidR="00AD17B3">
        <w:rPr>
          <w:spacing w:val="-2"/>
        </w:rPr>
        <w:t>One</w:t>
      </w:r>
      <w:r w:rsidR="00AD2A9B">
        <w:rPr>
          <w:spacing w:val="-2"/>
        </w:rPr>
        <w:t>, Enforcement Bureau</w:t>
      </w:r>
      <w:r>
        <w:rPr>
          <w:spacing w:val="-2"/>
        </w:rPr>
        <w:t>:</w:t>
      </w:r>
    </w:p>
    <w:p w:rsidR="00412FC5" w:rsidP="006D3EF7" w14:paraId="74257FDC" w14:textId="77777777"/>
    <w:p w:rsidR="00AD2A9B" w:rsidP="006D3EF7" w14:paraId="11AFD384" w14:textId="0DEC2BC8">
      <w:pPr>
        <w:pStyle w:val="ParaNum"/>
        <w:spacing w:after="0"/>
      </w:pPr>
      <w:r w:rsidRPr="00AD2A9B">
        <w:t xml:space="preserve">This is a Notice of Violation (Notice) issued pursuant to </w:t>
      </w:r>
      <w:r w:rsidR="009E31AD">
        <w:t>s</w:t>
      </w:r>
      <w:r w:rsidRPr="00AD2A9B">
        <w:t>ection 1.89 of the</w:t>
      </w:r>
      <w:r w:rsidR="00E91B59">
        <w:t xml:space="preserve"> Federal Communications</w:t>
      </w:r>
      <w:r w:rsidRPr="00AD2A9B">
        <w:t xml:space="preserve"> Commission’s </w:t>
      </w:r>
      <w:r w:rsidR="00E91B59">
        <w:t xml:space="preserve">(FCC or Commission) </w:t>
      </w:r>
      <w:r w:rsidRPr="00AD2A9B">
        <w:t>rules</w:t>
      </w:r>
      <w:r>
        <w:rPr>
          <w:rStyle w:val="FootnoteReference"/>
        </w:rPr>
        <w:footnoteReference w:id="3"/>
      </w:r>
      <w:r w:rsidRPr="00AD2A9B">
        <w:t xml:space="preserve"> to </w:t>
      </w:r>
      <w:r w:rsidR="00AD17B3">
        <w:t>Vazquez Broadcasting Corporation</w:t>
      </w:r>
      <w:r w:rsidR="00F174E3">
        <w:t xml:space="preserve"> (Vazquez</w:t>
      </w:r>
      <w:r w:rsidR="00871D85">
        <w:t xml:space="preserve"> Broadcasting</w:t>
      </w:r>
      <w:r w:rsidR="00CD4C43">
        <w:t xml:space="preserve"> or C</w:t>
      </w:r>
      <w:r w:rsidR="00775F93">
        <w:t>ompany</w:t>
      </w:r>
      <w:r w:rsidR="00F174E3">
        <w:t>)</w:t>
      </w:r>
      <w:r w:rsidRPr="00AD2A9B">
        <w:t xml:space="preserve">, licensee of </w:t>
      </w:r>
      <w:r w:rsidR="00073D26">
        <w:t xml:space="preserve">AM </w:t>
      </w:r>
      <w:r w:rsidRPr="00AD2A9B">
        <w:t>radio station</w:t>
      </w:r>
      <w:r w:rsidR="00CE302C">
        <w:t xml:space="preserve"> WSDS </w:t>
      </w:r>
      <w:r w:rsidR="006B78AC">
        <w:t xml:space="preserve">(Station) </w:t>
      </w:r>
      <w:r w:rsidR="00CE302C">
        <w:t xml:space="preserve">and </w:t>
      </w:r>
      <w:r w:rsidR="00DD40AE">
        <w:t>a licensee authorized on</w:t>
      </w:r>
      <w:r w:rsidRPr="00AD2A9B">
        <w:t xml:space="preserve"> antenna structure number</w:t>
      </w:r>
      <w:r w:rsidR="00CE302C">
        <w:t xml:space="preserve">s 1004883, 1004884, 1004885, and 1004886 </w:t>
      </w:r>
      <w:r w:rsidR="00B86A3D">
        <w:t xml:space="preserve">(Antenna Structures) </w:t>
      </w:r>
      <w:r w:rsidR="00CE302C">
        <w:t xml:space="preserve">in </w:t>
      </w:r>
      <w:r w:rsidR="00F148C3">
        <w:t>Ypsilanti, Michigan</w:t>
      </w:r>
      <w:r w:rsidRPr="00AD2A9B">
        <w:t xml:space="preserve">.  Pursuant to </w:t>
      </w:r>
      <w:r w:rsidR="009E31AD">
        <w:t>s</w:t>
      </w:r>
      <w:r w:rsidRPr="00AD2A9B">
        <w:t xml:space="preserve">ection 1.89(a) of the </w:t>
      </w:r>
      <w:r w:rsidR="008F05EC">
        <w:t>Commission’s r</w:t>
      </w:r>
      <w:r w:rsidRPr="00AD2A9B">
        <w:t xml:space="preserve">ules, issuance of this Notice does not preclude the Enforcement Bureau </w:t>
      </w:r>
      <w:r w:rsidR="00553D7C">
        <w:t xml:space="preserve">(EB) </w:t>
      </w:r>
      <w:r w:rsidRPr="00AD2A9B">
        <w:t>from further action if warranted, including issuing a Notice of Apparent Liability for Forfeiture for the violations noted herein.</w:t>
      </w:r>
      <w:r>
        <w:rPr>
          <w:rStyle w:val="FootnoteReference"/>
        </w:rPr>
        <w:footnoteReference w:id="4"/>
      </w:r>
    </w:p>
    <w:p w:rsidR="006D3EF7" w:rsidRPr="00AD2A9B" w:rsidP="006D3EF7" w14:paraId="543CBEDD" w14:textId="77777777">
      <w:pPr>
        <w:pStyle w:val="ParaNum"/>
        <w:numPr>
          <w:ilvl w:val="0"/>
          <w:numId w:val="0"/>
        </w:numPr>
        <w:spacing w:after="0"/>
        <w:ind w:left="720"/>
      </w:pPr>
    </w:p>
    <w:p w:rsidR="008F05EC" w:rsidRPr="008F05EC" w:rsidP="006D3EF7" w14:paraId="3FF9AD5B" w14:textId="33BB71FB">
      <w:pPr>
        <w:pStyle w:val="ParaNum"/>
        <w:spacing w:after="0"/>
      </w:pPr>
      <w:r w:rsidRPr="008F05EC">
        <w:t xml:space="preserve">On </w:t>
      </w:r>
      <w:r w:rsidR="001B76EA">
        <w:t>February 24, 2025</w:t>
      </w:r>
      <w:r w:rsidR="00E61C12">
        <w:t>,</w:t>
      </w:r>
      <w:r w:rsidR="00AC0BB0">
        <w:t xml:space="preserve"> </w:t>
      </w:r>
      <w:r w:rsidR="001B76EA">
        <w:t>February 27, 2025</w:t>
      </w:r>
      <w:r w:rsidRPr="008F05EC">
        <w:t>,</w:t>
      </w:r>
      <w:r w:rsidR="00E61C12">
        <w:t xml:space="preserve"> and September 2</w:t>
      </w:r>
      <w:r w:rsidR="00B10C3C">
        <w:t>3</w:t>
      </w:r>
      <w:r w:rsidR="00E61C12">
        <w:t>, 2025,</w:t>
      </w:r>
      <w:r w:rsidRPr="008F05EC">
        <w:t xml:space="preserve"> </w:t>
      </w:r>
      <w:r w:rsidR="00553D7C">
        <w:t>A</w:t>
      </w:r>
      <w:r w:rsidRPr="008F05EC">
        <w:t>gent</w:t>
      </w:r>
      <w:r w:rsidR="005A5ADC">
        <w:t>s</w:t>
      </w:r>
      <w:r w:rsidRPr="008F05EC">
        <w:t xml:space="preserve"> </w:t>
      </w:r>
      <w:r w:rsidR="00AC0BB0">
        <w:t>from</w:t>
      </w:r>
      <w:r w:rsidRPr="008F05EC" w:rsidR="00AC0BB0">
        <w:t xml:space="preserve"> </w:t>
      </w:r>
      <w:r w:rsidRPr="008F05EC">
        <w:t xml:space="preserve">the </w:t>
      </w:r>
      <w:r w:rsidR="00E91B59">
        <w:t xml:space="preserve">FCC </w:t>
      </w:r>
      <w:r w:rsidRPr="008F05EC">
        <w:t>E</w:t>
      </w:r>
      <w:r w:rsidR="00553D7C">
        <w:t>B</w:t>
      </w:r>
      <w:r w:rsidRPr="008F05EC">
        <w:t>’s</w:t>
      </w:r>
      <w:r w:rsidR="001B76EA">
        <w:t xml:space="preserve"> Columbia </w:t>
      </w:r>
      <w:r w:rsidR="005A5ADC">
        <w:t>and Chicago o</w:t>
      </w:r>
      <w:r w:rsidRPr="008F05EC">
        <w:t>ffice</w:t>
      </w:r>
      <w:r w:rsidR="005A5ADC">
        <w:t>s</w:t>
      </w:r>
      <w:r w:rsidRPr="008F05EC">
        <w:t xml:space="preserve"> inspected</w:t>
      </w:r>
      <w:r w:rsidR="001B76EA">
        <w:t xml:space="preserve"> </w:t>
      </w:r>
      <w:r w:rsidR="006B78AC">
        <w:t xml:space="preserve">the </w:t>
      </w:r>
      <w:r w:rsidR="00546B55">
        <w:t xml:space="preserve">Station </w:t>
      </w:r>
      <w:r w:rsidR="001B76EA">
        <w:t>and</w:t>
      </w:r>
      <w:r w:rsidRPr="00AD2A9B">
        <w:t xml:space="preserve"> </w:t>
      </w:r>
      <w:r w:rsidR="00AF1C98">
        <w:t xml:space="preserve">the Antenna Structures </w:t>
      </w:r>
      <w:r w:rsidRPr="008F05EC">
        <w:t xml:space="preserve">located </w:t>
      </w:r>
      <w:r w:rsidR="002236F4">
        <w:t>in</w:t>
      </w:r>
      <w:r w:rsidRPr="008F05EC">
        <w:t xml:space="preserve"> </w:t>
      </w:r>
      <w:r w:rsidR="001B76EA">
        <w:t xml:space="preserve">Ypsilanti, Michigan, </w:t>
      </w:r>
      <w:r w:rsidRPr="008F05EC">
        <w:t>and observed the following violations:</w:t>
      </w:r>
    </w:p>
    <w:p w:rsidR="00A67DC7" w:rsidRPr="00E67EB2" w:rsidP="006D3EF7" w14:paraId="6FDF0CC9" w14:textId="2478FD56">
      <w:pPr>
        <w:rPr>
          <w:szCs w:val="22"/>
        </w:rPr>
      </w:pPr>
    </w:p>
    <w:p w:rsidR="00D43B11" w:rsidP="00D43B11" w14:paraId="0CC3D45B" w14:textId="5FB8CCB4">
      <w:pPr>
        <w:pStyle w:val="ListParagraph"/>
        <w:numPr>
          <w:ilvl w:val="0"/>
          <w:numId w:val="7"/>
        </w:numPr>
        <w:ind w:right="720"/>
      </w:pPr>
      <w:r w:rsidRPr="00E01552">
        <w:t xml:space="preserve">47 CFR § 73.49: “Antenna towers having radio frequency potential at the base (series fed, folded </w:t>
      </w:r>
      <w:r w:rsidRPr="00E01552">
        <w:t>unipole</w:t>
      </w:r>
      <w:r w:rsidRPr="00E01552">
        <w:t xml:space="preserve">, and insulated base antennas) must be enclosed within effective locked fences or other enclosures…” At the time of inspection, the Agent observed that </w:t>
      </w:r>
      <w:r w:rsidR="00806F4F">
        <w:t xml:space="preserve">the Station was in operation, thus the fences surrounding the Antenna Structures were required to be locked.  The Agent found that </w:t>
      </w:r>
      <w:r w:rsidRPr="00E01552">
        <w:t xml:space="preserve">the gates to </w:t>
      </w:r>
      <w:r w:rsidR="00902388">
        <w:t xml:space="preserve">the fences surrounding </w:t>
      </w:r>
      <w:r w:rsidRPr="00E01552">
        <w:t>each Antenna Structure w</w:t>
      </w:r>
      <w:r w:rsidR="00553D7C">
        <w:t>ere</w:t>
      </w:r>
      <w:r w:rsidRPr="00E01552">
        <w:t xml:space="preserve"> unlocked.  Furthermore, a portion of the metal chain link fence around Antenna Structure 100</w:t>
      </w:r>
      <w:r w:rsidR="00553D7C">
        <w:t>4</w:t>
      </w:r>
      <w:r w:rsidRPr="00E01552">
        <w:t xml:space="preserve">844 had </w:t>
      </w:r>
      <w:r w:rsidRPr="00E01552">
        <w:t>fallen down</w:t>
      </w:r>
      <w:r w:rsidR="00902388">
        <w:t>, leaving its base unenclosed</w:t>
      </w:r>
      <w:r w:rsidRPr="00E01552">
        <w:t xml:space="preserve">. </w:t>
      </w:r>
    </w:p>
    <w:p w:rsidR="00D43B11" w:rsidP="00D43B11" w14:paraId="34E3AD2C" w14:textId="77777777">
      <w:pPr>
        <w:pStyle w:val="ListParagraph"/>
        <w:ind w:left="1440" w:right="720"/>
      </w:pPr>
    </w:p>
    <w:p w:rsidR="00E643D6" w:rsidP="009825C4" w14:paraId="5A71059A" w14:textId="5849E4ED">
      <w:pPr>
        <w:pStyle w:val="ListParagraph"/>
        <w:numPr>
          <w:ilvl w:val="0"/>
          <w:numId w:val="7"/>
        </w:numPr>
        <w:spacing w:after="60"/>
        <w:ind w:right="720"/>
        <w:contextualSpacing w:val="0"/>
      </w:pPr>
      <w:r w:rsidRPr="00FC4F7F">
        <w:rPr>
          <w:color w:val="000000"/>
        </w:rPr>
        <w:t>47</w:t>
      </w:r>
      <w:r>
        <w:rPr>
          <w:bCs/>
          <w:color w:val="000000"/>
          <w:szCs w:val="22"/>
        </w:rPr>
        <w:t xml:space="preserve"> CFR § 17.6 “[I]</w:t>
      </w:r>
      <w:r w:rsidRPr="00E61C12">
        <w:rPr>
          <w:bCs/>
          <w:color w:val="000000"/>
          <w:szCs w:val="22"/>
        </w:rPr>
        <w:t>f a licensee or permittee authorized on an</w:t>
      </w:r>
      <w:r w:rsidRPr="00FC4F7F">
        <w:rPr>
          <w:color w:val="000000"/>
        </w:rPr>
        <w:t xml:space="preserve"> antenna structure </w:t>
      </w:r>
      <w:r w:rsidRPr="00E61C12">
        <w:rPr>
          <w:bCs/>
          <w:color w:val="000000"/>
          <w:szCs w:val="22"/>
        </w:rPr>
        <w:t>is aware that the structure is not being maintained</w:t>
      </w:r>
      <w:r w:rsidRPr="00FC4F7F">
        <w:rPr>
          <w:color w:val="000000"/>
        </w:rPr>
        <w:t xml:space="preserve"> in accordance with </w:t>
      </w:r>
      <w:r w:rsidRPr="00E61C12">
        <w:rPr>
          <w:bCs/>
          <w:color w:val="000000"/>
          <w:szCs w:val="22"/>
        </w:rPr>
        <w:t>the specifications set forth on the Antenna Structure Registration (FCC Form 854R) or the</w:t>
      </w:r>
      <w:r w:rsidRPr="00FC4F7F">
        <w:rPr>
          <w:color w:val="000000"/>
        </w:rPr>
        <w:t xml:space="preserve"> requirements </w:t>
      </w:r>
      <w:r w:rsidRPr="00E61C12">
        <w:rPr>
          <w:bCs/>
          <w:color w:val="000000"/>
          <w:szCs w:val="22"/>
        </w:rPr>
        <w:t xml:space="preserve">of this part, or otherwise has reason to question whether </w:t>
      </w:r>
      <w:r w:rsidRPr="00FC4F7F">
        <w:rPr>
          <w:color w:val="000000"/>
        </w:rPr>
        <w:t xml:space="preserve">the antenna </w:t>
      </w:r>
      <w:r w:rsidRPr="00E61C12">
        <w:rPr>
          <w:bCs/>
          <w:color w:val="000000"/>
          <w:szCs w:val="22"/>
        </w:rPr>
        <w:t xml:space="preserve">structure owner is carrying out its responsibility under this part, the licensee or permittee must take immediate steps to ensure that the antenna structure is brought into compliance and remains </w:t>
      </w:r>
      <w:r w:rsidRPr="00FC4F7F">
        <w:rPr>
          <w:color w:val="000000"/>
        </w:rPr>
        <w:t xml:space="preserve">in </w:t>
      </w:r>
      <w:r w:rsidRPr="00E61C12">
        <w:rPr>
          <w:bCs/>
          <w:color w:val="000000"/>
          <w:szCs w:val="22"/>
        </w:rPr>
        <w:t>compliance</w:t>
      </w:r>
      <w:r w:rsidR="00EE2ABA">
        <w:rPr>
          <w:bCs/>
          <w:color w:val="000000"/>
          <w:szCs w:val="22"/>
        </w:rPr>
        <w:t>.</w:t>
      </w:r>
      <w:r>
        <w:rPr>
          <w:bCs/>
          <w:color w:val="000000"/>
          <w:szCs w:val="22"/>
        </w:rPr>
        <w:t>”</w:t>
      </w:r>
      <w:r w:rsidR="00EE2ABA">
        <w:t xml:space="preserve">  </w:t>
      </w:r>
      <w:r w:rsidRPr="00505970" w:rsidR="00EE2ABA">
        <w:rPr>
          <w:szCs w:val="22"/>
        </w:rPr>
        <w:t xml:space="preserve">The FCC’s </w:t>
      </w:r>
      <w:r w:rsidRPr="00505970" w:rsidR="00EE2ABA">
        <w:rPr>
          <w:szCs w:val="22"/>
        </w:rPr>
        <w:t xml:space="preserve">Antenna Structure Registration (ASR) database currently indicates that </w:t>
      </w:r>
      <w:r w:rsidR="00EE2ABA">
        <w:rPr>
          <w:szCs w:val="22"/>
        </w:rPr>
        <w:t xml:space="preserve">the </w:t>
      </w:r>
      <w:r w:rsidRPr="00505970" w:rsidR="00EE2ABA">
        <w:rPr>
          <w:szCs w:val="22"/>
        </w:rPr>
        <w:t>Antenna Structure</w:t>
      </w:r>
      <w:r w:rsidR="00EE2ABA">
        <w:rPr>
          <w:szCs w:val="22"/>
        </w:rPr>
        <w:t>s</w:t>
      </w:r>
      <w:r w:rsidRPr="00505970" w:rsidR="00EE2ABA">
        <w:rPr>
          <w:szCs w:val="22"/>
        </w:rPr>
        <w:t xml:space="preserve"> require painting and red obstruction lighting during the nighttime that includes a top-level beacon and two mid-level steady burning side markers in accordance with FCC Paragraphs 1, 3, 11, </w:t>
      </w:r>
      <w:r w:rsidRPr="00976C09" w:rsidR="00553D7C">
        <w:rPr>
          <w:szCs w:val="22"/>
        </w:rPr>
        <w:t xml:space="preserve">and </w:t>
      </w:r>
      <w:r w:rsidRPr="00976C09" w:rsidR="00505970">
        <w:rPr>
          <w:szCs w:val="22"/>
        </w:rPr>
        <w:t>21.</w:t>
      </w:r>
      <w:r w:rsidRPr="00B26C42" w:rsidR="00505970">
        <w:t xml:space="preserve"> </w:t>
      </w:r>
      <w:r w:rsidR="00505970">
        <w:t xml:space="preserve"> </w:t>
      </w:r>
      <w:r w:rsidR="00EE2ABA">
        <w:t xml:space="preserve">On February 27, 2025, an </w:t>
      </w:r>
      <w:r w:rsidRPr="00E01552" w:rsidR="00EE2ABA">
        <w:t xml:space="preserve">agent observed that the paint on the Antenna Structures was severely faded and flaking </w:t>
      </w:r>
      <w:r w:rsidR="00EE2ABA">
        <w:t>exposing bare metal and did not meet the standards of the FAA's In-Service Aviation Orange Tolerance Chart</w:t>
      </w:r>
      <w:r w:rsidRPr="00E01552" w:rsidR="00EE2ABA">
        <w:t xml:space="preserve">. </w:t>
      </w:r>
      <w:r w:rsidR="00EE2ABA">
        <w:t xml:space="preserve"> The agent also observed that the mid-level obstruction lighting on </w:t>
      </w:r>
      <w:r w:rsidR="00EE2ABA">
        <w:t>all of</w:t>
      </w:r>
      <w:r w:rsidR="00EE2ABA">
        <w:t xml:space="preserve"> the Antenna Structures was extinguished.  In addition, the top-level beacons on Antenna Structures 1004884 and 1004885 were extinguished.  On March 10, </w:t>
      </w:r>
      <w:r w:rsidR="00EE2ABA">
        <w:t>2025</w:t>
      </w:r>
      <w:r w:rsidR="00EE2ABA">
        <w:t xml:space="preserve"> an agent made the Co</w:t>
      </w:r>
      <w:r w:rsidR="00067F29">
        <w:t>mpany</w:t>
      </w:r>
      <w:r w:rsidR="00EE2ABA">
        <w:t xml:space="preserve"> aware of the lighting outages and the faded and flaking paint.  On September 23, </w:t>
      </w:r>
      <w:r w:rsidR="00EE2ABA">
        <w:t>2025</w:t>
      </w:r>
      <w:r w:rsidR="00EE2ABA">
        <w:t xml:space="preserve"> an agent found that while the </w:t>
      </w:r>
      <w:r w:rsidRPr="00D43B11" w:rsidR="00EE2ABA">
        <w:t>top beacon on</w:t>
      </w:r>
      <w:r w:rsidR="00EE2ABA">
        <w:t xml:space="preserve"> ASR</w:t>
      </w:r>
      <w:r w:rsidRPr="00D43B11" w:rsidR="00EE2ABA">
        <w:t xml:space="preserve"> 1044886</w:t>
      </w:r>
      <w:r w:rsidR="00EE2ABA">
        <w:t xml:space="preserve"> was lit, none of the other extinguished lighting on the Antenna Structures had been brought into compliance.  Moreover, none of the faded or flaking paint on the Antenna Structures had been brought into compliance.  </w:t>
      </w:r>
    </w:p>
    <w:p w:rsidR="00E643D6" w:rsidP="00E643D6" w14:paraId="12BF52BE" w14:textId="77777777">
      <w:pPr>
        <w:ind w:left="1440" w:right="720"/>
      </w:pPr>
    </w:p>
    <w:p w:rsidR="00034E7A" w:rsidP="0080377C" w14:paraId="50656D4B" w14:textId="482342E7">
      <w:pPr>
        <w:numPr>
          <w:ilvl w:val="0"/>
          <w:numId w:val="7"/>
        </w:numPr>
        <w:ind w:right="720"/>
      </w:pPr>
      <w:r w:rsidRPr="00E01552">
        <w:t xml:space="preserve">47 CFR § 73.1820(a)(1)(iii): “Entries must be made in the station log </w:t>
      </w:r>
      <w:r>
        <w:t>. . . .</w:t>
      </w:r>
      <w:r>
        <w:t xml:space="preserve">  </w:t>
      </w:r>
      <w:r w:rsidRPr="00E01552">
        <w:t>The following information must be entered</w:t>
      </w:r>
      <w:r>
        <w:t xml:space="preserve"> . . .</w:t>
      </w:r>
      <w:r w:rsidRPr="00E01552">
        <w:t xml:space="preserve"> </w:t>
      </w:r>
      <w:r>
        <w:t xml:space="preserve">(iii) </w:t>
      </w:r>
      <w:r w:rsidRPr="00E01552">
        <w:t>An entry of each test and activation of the Emergency Alert System (EAS) pursuant to the requirement of part 11 of this chapter and the EAS Operating Handbook.  Stations may keep EAS data in a special EAS log which shall be maintained at a convenient location; however, this log is considered a part of the station log.”  At the time of the inspection, there was no station log</w:t>
      </w:r>
      <w:r>
        <w:t xml:space="preserve"> available for inspection</w:t>
      </w:r>
      <w:r w:rsidRPr="00E01552">
        <w:t xml:space="preserve"> </w:t>
      </w:r>
      <w:r>
        <w:t xml:space="preserve">that included </w:t>
      </w:r>
      <w:r w:rsidRPr="00E01552">
        <w:t>entries of the EAS activations and tests</w:t>
      </w:r>
      <w:r w:rsidR="00553D7C">
        <w:t>,</w:t>
      </w:r>
      <w:r w:rsidRPr="00E01552">
        <w:t xml:space="preserve"> including the required weekly or monthly EAS tests.  </w:t>
      </w:r>
      <w:r>
        <w:t xml:space="preserve">Furthermore, the </w:t>
      </w:r>
      <w:r w:rsidRPr="00E01552">
        <w:t xml:space="preserve">entries stored in the memory of the </w:t>
      </w:r>
      <w:r>
        <w:t>Co</w:t>
      </w:r>
      <w:r w:rsidR="006104EB">
        <w:t>mpany</w:t>
      </w:r>
      <w:r>
        <w:t xml:space="preserve">’s EAS encoder/decoder, a </w:t>
      </w:r>
      <w:r w:rsidRPr="00E01552">
        <w:t>Sage Digital ENDEC</w:t>
      </w:r>
      <w:r>
        <w:t>,</w:t>
      </w:r>
      <w:r w:rsidRPr="00E01552">
        <w:t xml:space="preserve"> </w:t>
      </w:r>
      <w:r>
        <w:t xml:space="preserve">were </w:t>
      </w:r>
      <w:r w:rsidRPr="00E01552">
        <w:t>dated 1997.</w:t>
      </w:r>
      <w:r w:rsidR="00173314">
        <w:t xml:space="preserve"> </w:t>
      </w:r>
    </w:p>
    <w:p w:rsidR="00E643D6" w:rsidP="00E643D6" w14:paraId="0327B461" w14:textId="77777777">
      <w:pPr>
        <w:ind w:left="1440" w:right="720"/>
      </w:pPr>
    </w:p>
    <w:p w:rsidR="00E643D6" w:rsidP="00E643D6" w14:paraId="5829D5C1" w14:textId="341B608C">
      <w:pPr>
        <w:pStyle w:val="ListParagraph"/>
        <w:numPr>
          <w:ilvl w:val="0"/>
          <w:numId w:val="7"/>
        </w:numPr>
        <w:ind w:right="720"/>
      </w:pPr>
      <w:r w:rsidRPr="00E01552">
        <w:t xml:space="preserve">47 CFR § 73.1870(c)(3): “The chief operator is responsible for … review of the station records at least once each week to determine if required entries are being made correctly.  Additionally, verification must be made </w:t>
      </w:r>
      <w:r w:rsidRPr="00E01552">
        <w:t>that</w:t>
      </w:r>
      <w:r w:rsidRPr="00E01552">
        <w:t xml:space="preserve"> the station has been operated as required by the rules or the station authorization.  Upon completion of the review, the chief operator or his designee must date and sign the log, initiate any corrective action which may be necessary, and advise the station licensee of any condition which is repetitive.”</w:t>
      </w:r>
      <w:r>
        <w:rPr>
          <w:rStyle w:val="FootnoteReference"/>
        </w:rPr>
        <w:footnoteReference w:id="5"/>
      </w:r>
      <w:r>
        <w:t xml:space="preserve">  </w:t>
      </w:r>
      <w:r w:rsidRPr="00E01552">
        <w:t xml:space="preserve">At the time of the inspection, </w:t>
      </w:r>
      <w:r>
        <w:t>Vasquez Broadcasting could not produce a signed and dated log showing that</w:t>
      </w:r>
      <w:r w:rsidRPr="00E01552">
        <w:t xml:space="preserve"> </w:t>
      </w:r>
      <w:r>
        <w:t>the C</w:t>
      </w:r>
      <w:r w:rsidRPr="00E01552">
        <w:t xml:space="preserve">hief </w:t>
      </w:r>
      <w:r>
        <w:t>O</w:t>
      </w:r>
      <w:r w:rsidRPr="00E01552">
        <w:t>perator</w:t>
      </w:r>
      <w:r>
        <w:t xml:space="preserve"> or his </w:t>
      </w:r>
      <w:r w:rsidRPr="00E01552">
        <w:t xml:space="preserve">designee </w:t>
      </w:r>
      <w:r w:rsidR="00195731">
        <w:t xml:space="preserve">had </w:t>
      </w:r>
      <w:r w:rsidRPr="00E01552">
        <w:t>verif</w:t>
      </w:r>
      <w:r>
        <w:t>ied</w:t>
      </w:r>
      <w:r w:rsidRPr="00E01552">
        <w:t xml:space="preserve"> at least once a week that the required entries were being made correctly</w:t>
      </w:r>
      <w:r w:rsidR="00195731">
        <w:t>,</w:t>
      </w:r>
      <w:r w:rsidRPr="00E01552">
        <w:t xml:space="preserve"> and </w:t>
      </w:r>
      <w:r w:rsidR="00195731">
        <w:t>had verified</w:t>
      </w:r>
      <w:r w:rsidRPr="00E01552">
        <w:t xml:space="preserve"> that </w:t>
      </w:r>
      <w:r>
        <w:t xml:space="preserve">the </w:t>
      </w:r>
      <w:r w:rsidRPr="00E01552">
        <w:t>Station had been operated as required by the rules or station authorization.</w:t>
      </w:r>
    </w:p>
    <w:p w:rsidR="00E643D6" w:rsidP="00E643D6" w14:paraId="118A8D03" w14:textId="77777777">
      <w:pPr>
        <w:pStyle w:val="ListParagraph"/>
        <w:ind w:left="1440" w:right="720"/>
      </w:pPr>
    </w:p>
    <w:p w:rsidR="00E77254" w:rsidP="00923507" w14:paraId="42D222B8" w14:textId="73916D95">
      <w:pPr>
        <w:pStyle w:val="ListParagraph"/>
        <w:numPr>
          <w:ilvl w:val="0"/>
          <w:numId w:val="7"/>
        </w:numPr>
        <w:ind w:right="720"/>
      </w:pPr>
      <w:r w:rsidRPr="008F0C61">
        <w:rPr>
          <w:bCs/>
          <w:color w:val="000000"/>
          <w:szCs w:val="22"/>
        </w:rPr>
        <w:t>47 CFR § 73.156</w:t>
      </w:r>
      <w:r w:rsidRPr="008F0C61" w:rsidR="001A1BB7">
        <w:rPr>
          <w:bCs/>
          <w:color w:val="000000"/>
          <w:szCs w:val="22"/>
        </w:rPr>
        <w:t>0</w:t>
      </w:r>
      <w:r w:rsidRPr="008F0C61">
        <w:rPr>
          <w:bCs/>
          <w:color w:val="000000"/>
          <w:szCs w:val="22"/>
        </w:rPr>
        <w:t>(a)</w:t>
      </w:r>
      <w:r w:rsidRPr="008F0C61" w:rsidR="001A1BB7">
        <w:rPr>
          <w:bCs/>
          <w:color w:val="000000"/>
          <w:szCs w:val="22"/>
        </w:rPr>
        <w:t>(1)</w:t>
      </w:r>
      <w:r w:rsidRPr="008F0C61">
        <w:rPr>
          <w:bCs/>
          <w:color w:val="000000"/>
          <w:szCs w:val="22"/>
        </w:rPr>
        <w:t xml:space="preserve">: </w:t>
      </w:r>
      <w:r w:rsidRPr="008F0C61" w:rsidR="003D272E">
        <w:rPr>
          <w:bCs/>
          <w:color w:val="000000"/>
          <w:szCs w:val="22"/>
        </w:rPr>
        <w:t>“</w:t>
      </w:r>
      <w:r w:rsidRPr="00E01552">
        <w:t>Except for AM stations using modulation dependent carrier level (MDCL) control technology, or as provided for in paragraph (d) of this section, the antenna input power of an AM station, as determined by the procedures specified in § 73.51 must be maintained as near as practicable to the authorized antenna input power and may not be less than 90 percent nor greater than 105 percent of the authorized power.</w:t>
      </w:r>
      <w:r w:rsidRPr="00E01552" w:rsidR="003D272E">
        <w:t>”</w:t>
      </w:r>
      <w:r w:rsidRPr="00E01552">
        <w:t xml:space="preserve">  At the time of inspection, the </w:t>
      </w:r>
      <w:r w:rsidR="003A04F0">
        <w:t>A</w:t>
      </w:r>
      <w:r w:rsidRPr="00E01552">
        <w:t xml:space="preserve">gent observed that </w:t>
      </w:r>
      <w:r w:rsidR="00195731">
        <w:t xml:space="preserve">the </w:t>
      </w:r>
      <w:r w:rsidRPr="00E01552">
        <w:t>Station was</w:t>
      </w:r>
      <w:r w:rsidR="00B2703B">
        <w:t xml:space="preserve"> not using </w:t>
      </w:r>
      <w:r w:rsidRPr="00E01552" w:rsidR="00B2703B">
        <w:t>MDCL control technology</w:t>
      </w:r>
      <w:r w:rsidRPr="00E01552">
        <w:t xml:space="preserve"> </w:t>
      </w:r>
      <w:r w:rsidR="00B2703B">
        <w:t xml:space="preserve">and was </w:t>
      </w:r>
      <w:r w:rsidRPr="00E01552">
        <w:t>operating with 200 Watts of power during the daytime</w:t>
      </w:r>
      <w:r w:rsidR="00195731">
        <w:t>, which is</w:t>
      </w:r>
      <w:r w:rsidRPr="00E01552">
        <w:t xml:space="preserve"> 24.8% of the authorized daytime power of 808 Watts.  The </w:t>
      </w:r>
      <w:r w:rsidR="003A04F0">
        <w:t>A</w:t>
      </w:r>
      <w:r w:rsidRPr="00E01552">
        <w:t xml:space="preserve">gent also </w:t>
      </w:r>
      <w:r w:rsidR="003A04F0">
        <w:t>asked</w:t>
      </w:r>
      <w:r w:rsidR="00E01552">
        <w:t xml:space="preserve"> </w:t>
      </w:r>
      <w:r w:rsidR="006104EB">
        <w:t>S</w:t>
      </w:r>
      <w:r w:rsidR="00E01552">
        <w:t xml:space="preserve">tation personnel </w:t>
      </w:r>
      <w:r w:rsidR="003A04F0">
        <w:t xml:space="preserve">to </w:t>
      </w:r>
      <w:r w:rsidR="00E01552">
        <w:t xml:space="preserve">temporarily change the </w:t>
      </w:r>
      <w:r w:rsidR="006104EB">
        <w:t>S</w:t>
      </w:r>
      <w:r w:rsidR="00E01552">
        <w:t xml:space="preserve">tation operation to nighttime mode and </w:t>
      </w:r>
      <w:r w:rsidRPr="00E01552">
        <w:t xml:space="preserve">observed that </w:t>
      </w:r>
      <w:r w:rsidR="00195731">
        <w:t xml:space="preserve">the </w:t>
      </w:r>
      <w:r w:rsidRPr="00E01552">
        <w:t>Station was operating with 1600 Watts of power during the nighttime</w:t>
      </w:r>
      <w:r w:rsidR="00195731">
        <w:t>, which is</w:t>
      </w:r>
      <w:r w:rsidRPr="00E01552">
        <w:t xml:space="preserve"> 39% </w:t>
      </w:r>
      <w:r w:rsidRPr="00E01552" w:rsidR="003D272E">
        <w:t>of</w:t>
      </w:r>
      <w:r w:rsidRPr="00E01552">
        <w:t xml:space="preserve"> the authorized nighttime power of 4100 Watts.</w:t>
      </w:r>
      <w:r w:rsidR="00072932">
        <w:t xml:space="preserve">  The Station </w:t>
      </w:r>
      <w:r w:rsidR="00B869CC">
        <w:t xml:space="preserve">does not possess a Special Temporary Authority </w:t>
      </w:r>
      <w:r w:rsidR="00803E7D">
        <w:t>from the Commission authorizing</w:t>
      </w:r>
      <w:r w:rsidR="00B869CC">
        <w:t xml:space="preserve"> reduced power operations.</w:t>
      </w:r>
    </w:p>
    <w:p w:rsidR="004A5A25" w:rsidRPr="00E01552" w:rsidP="00E77254" w14:paraId="3B4569ED" w14:textId="77777777">
      <w:pPr>
        <w:pStyle w:val="ListParagraph"/>
        <w:ind w:left="1440" w:right="720"/>
      </w:pPr>
    </w:p>
    <w:p w:rsidR="00BD7658" w:rsidP="00A573C8" w14:paraId="6522482C" w14:textId="577627AA">
      <w:pPr>
        <w:pStyle w:val="ListParagraph"/>
        <w:numPr>
          <w:ilvl w:val="0"/>
          <w:numId w:val="7"/>
        </w:numPr>
        <w:ind w:right="720"/>
      </w:pPr>
      <w:r w:rsidRPr="00E01552">
        <w:t xml:space="preserve">47 CFR </w:t>
      </w:r>
      <w:r w:rsidRPr="00FB7672" w:rsidR="00C3450A">
        <w:t>§</w:t>
      </w:r>
      <w:r w:rsidRPr="00E21C4E" w:rsidR="00C3450A">
        <w:t xml:space="preserve"> 73.1225</w:t>
      </w:r>
      <w:r w:rsidR="00C3450A">
        <w:t>(c)</w:t>
      </w:r>
      <w:r w:rsidR="00A573C8">
        <w:t>:  “</w:t>
      </w:r>
      <w:r w:rsidR="00A573C8">
        <w:t>The following records shall be made available by all broadcast stations upon request by representatives of the FCC.  (1) Equipment performance measurements required by §§ 73.1590 and 73.1690.”</w:t>
      </w:r>
      <w:r w:rsidRPr="00E01552">
        <w:t xml:space="preserve"> </w:t>
      </w:r>
      <w:r w:rsidR="00A573C8">
        <w:t xml:space="preserve"> </w:t>
      </w:r>
      <w:r w:rsidRPr="00E01552">
        <w:t xml:space="preserve">At the time of inspection, Vazquez </w:t>
      </w:r>
      <w:r w:rsidR="000631B4">
        <w:t>Broadcasting</w:t>
      </w:r>
      <w:r w:rsidRPr="00E01552" w:rsidR="000631B4">
        <w:t xml:space="preserve"> </w:t>
      </w:r>
      <w:r w:rsidRPr="00E01552">
        <w:t xml:space="preserve">was unable to provide a copy of </w:t>
      </w:r>
      <w:r w:rsidR="001418EE">
        <w:t>its</w:t>
      </w:r>
      <w:r w:rsidRPr="00E01552">
        <w:t xml:space="preserve"> latest equipment performance measurements.  </w:t>
      </w:r>
    </w:p>
    <w:p w:rsidR="00D43B11" w:rsidP="00D43B11" w14:paraId="28A9BF26" w14:textId="77777777">
      <w:pPr>
        <w:pStyle w:val="ListParagraph"/>
      </w:pPr>
    </w:p>
    <w:p w:rsidR="00D43B11" w:rsidRPr="00E01552" w:rsidP="00A573C8" w14:paraId="5A7DD6E4" w14:textId="1FAB16EE">
      <w:pPr>
        <w:pStyle w:val="ListParagraph"/>
        <w:numPr>
          <w:ilvl w:val="0"/>
          <w:numId w:val="7"/>
        </w:numPr>
        <w:ind w:right="720"/>
      </w:pPr>
      <w:r w:rsidRPr="00E01552">
        <w:t xml:space="preserve">47 CFR </w:t>
      </w:r>
      <w:r w:rsidRPr="00D43B11">
        <w:t>§ 73.61</w:t>
      </w:r>
      <w:r>
        <w:t>:</w:t>
      </w:r>
      <w:r w:rsidRPr="00D43B11">
        <w:t xml:space="preserve"> </w:t>
      </w:r>
      <w:r>
        <w:t>“</w:t>
      </w:r>
      <w:r w:rsidRPr="00D43B11">
        <w:t xml:space="preserve">AM directional antenna field strength measurements. (a) Each AM station using a directional antenna with monitoring point locations specified in the instrument of authorization must make field strength measurements as often as necessary to ensure that the field at each of those points does not exceed the value specified in the station authorization. Additionally, stations not having an approved sampling system must make </w:t>
      </w:r>
      <w:r w:rsidRPr="00D43B11">
        <w:t>the measurements</w:t>
      </w:r>
      <w:r w:rsidRPr="00D43B11">
        <w:t xml:space="preserve"> once each calendar quarter at intervals not exceeding 120 days</w:t>
      </w:r>
      <w:r w:rsidRPr="00D43B11">
        <w:t xml:space="preserve">. </w:t>
      </w:r>
      <w:r w:rsidR="008E38CC">
        <w:t>. . .</w:t>
      </w:r>
      <w:r w:rsidR="008E38CC">
        <w:t xml:space="preserve"> </w:t>
      </w:r>
      <w:r w:rsidRPr="00D43B11">
        <w:t xml:space="preserve"> The results of the measurements are to be entered into the station log pursuant to the provisions of § 73.1820.</w:t>
      </w:r>
      <w:r>
        <w:t xml:space="preserve">” </w:t>
      </w:r>
      <w:r w:rsidRPr="00E01552">
        <w:t xml:space="preserve">Vazquez </w:t>
      </w:r>
      <w:r>
        <w:t>Broadcasting</w:t>
      </w:r>
      <w:r w:rsidRPr="00E01552">
        <w:t xml:space="preserve"> was unable to provide</w:t>
      </w:r>
      <w:r>
        <w:t xml:space="preserve"> any station logs indicating the required field strength measurements</w:t>
      </w:r>
      <w:r w:rsidR="006A3FA9">
        <w:t xml:space="preserve"> were performed</w:t>
      </w:r>
      <w:r>
        <w:t>.</w:t>
      </w:r>
    </w:p>
    <w:p w:rsidR="004A5A25" w:rsidRPr="00E01552" w:rsidP="006D3EF7" w14:paraId="37F6D0C8" w14:textId="77777777">
      <w:pPr>
        <w:ind w:right="720"/>
      </w:pPr>
    </w:p>
    <w:p w:rsidR="008F05EC" w:rsidRPr="00E01552" w:rsidP="006D3EF7" w14:paraId="51D9F7F8" w14:textId="71C7CA00">
      <w:pPr>
        <w:pStyle w:val="ParaNum"/>
        <w:spacing w:after="0"/>
      </w:pPr>
      <w:r w:rsidRPr="00E01552">
        <w:t xml:space="preserve">As the nation’s emergency warning system, the Emergency Alert System is critical to public safety, and we recognize the vital role that broadcasters play in ensuring </w:t>
      </w:r>
      <w:r w:rsidRPr="00E01552">
        <w:t>its</w:t>
      </w:r>
      <w:r w:rsidRPr="00E01552">
        <w:t xml:space="preserve"> success.  The Commission takes seriously any violations of its rules implementing the EAS and expects full compliance from its regulatees.  We also must investigate violations of other rules that apply to broadcast </w:t>
      </w:r>
      <w:r w:rsidRPr="00E01552">
        <w:t>licensees</w:t>
      </w:r>
      <w:r w:rsidRPr="00E01552">
        <w:t>.</w:t>
      </w:r>
    </w:p>
    <w:p w:rsidR="005D0C54" w:rsidRPr="00E01552" w:rsidP="005D0C54" w14:paraId="24EBF29C" w14:textId="77777777">
      <w:pPr>
        <w:pStyle w:val="ParaNum"/>
        <w:numPr>
          <w:ilvl w:val="0"/>
          <w:numId w:val="0"/>
        </w:numPr>
        <w:spacing w:after="0"/>
        <w:ind w:left="720"/>
      </w:pPr>
    </w:p>
    <w:p w:rsidR="008F05EC" w:rsidRPr="00E01552" w:rsidP="006D3EF7" w14:paraId="32E2E4CC" w14:textId="4E79520E">
      <w:pPr>
        <w:pStyle w:val="ParaNum"/>
        <w:spacing w:after="0"/>
      </w:pPr>
      <w:r w:rsidRPr="00E01552">
        <w:t xml:space="preserve">Pursuant to </w:t>
      </w:r>
      <w:r w:rsidRPr="00E01552" w:rsidR="009E31AD">
        <w:t>s</w:t>
      </w:r>
      <w:r w:rsidRPr="00E01552">
        <w:t xml:space="preserve">ection 308(b)of the Communications Act of 1934, as amended (Act), and </w:t>
      </w:r>
      <w:r w:rsidRPr="00E01552" w:rsidR="009E31AD">
        <w:t>s</w:t>
      </w:r>
      <w:r w:rsidRPr="00E01552">
        <w:t>ection 1.89 of the Commission’s rules, we seek additional information concerning the violations and any remedial actions taken.</w:t>
      </w:r>
      <w:r>
        <w:rPr>
          <w:rStyle w:val="FootnoteReference"/>
        </w:rPr>
        <w:footnoteReference w:id="6"/>
      </w:r>
      <w:r w:rsidRPr="00E01552">
        <w:t xml:space="preserve">  Therefore, </w:t>
      </w:r>
      <w:r w:rsidRPr="00E01552" w:rsidR="00493FBA">
        <w:t>Vazquez</w:t>
      </w:r>
      <w:r w:rsidR="000631B4">
        <w:t xml:space="preserve"> Broadcasting</w:t>
      </w:r>
      <w:r w:rsidRPr="00E01552" w:rsidR="00493FBA">
        <w:t xml:space="preserve"> </w:t>
      </w:r>
      <w:r w:rsidRPr="00E01552">
        <w:t>must submit a written statement concerning this matter within twenty (20) days of release of this Notice.  The response (i) must fully explain each violation, including all relevant surrounding facts and circumstances, (ii) must contain a statement of the specific action</w:t>
      </w:r>
      <w:r w:rsidR="00DF0EAA">
        <w:t>s</w:t>
      </w:r>
      <w:r w:rsidRPr="00E01552">
        <w:t xml:space="preserve"> taken to correct each violation and preclude recurrence, and (iii) must include a </w:t>
      </w:r>
      <w:r w:rsidRPr="00E01552">
        <w:t>time line</w:t>
      </w:r>
      <w:r w:rsidRPr="00E01552">
        <w:t xml:space="preserve"> for completion of any pending corrective action</w:t>
      </w:r>
      <w:r w:rsidR="00DF0EAA">
        <w:t>s</w:t>
      </w:r>
      <w:r w:rsidRPr="00E01552">
        <w:t xml:space="preserve">.  The response must be complete </w:t>
      </w:r>
      <w:r w:rsidRPr="00E01552">
        <w:t>in itself and</w:t>
      </w:r>
      <w:r w:rsidRPr="00E01552">
        <w:t xml:space="preserve"> must not be abbreviated by reference to other communications or answers to other notices.</w:t>
      </w:r>
      <w:r>
        <w:rPr>
          <w:rStyle w:val="FootnoteReference"/>
        </w:rPr>
        <w:footnoteReference w:id="7"/>
      </w:r>
    </w:p>
    <w:p w:rsidR="005D0C54" w:rsidRPr="00E01552" w:rsidP="005D0C54" w14:paraId="102A7CCE" w14:textId="77777777">
      <w:pPr>
        <w:pStyle w:val="ParaNum"/>
        <w:numPr>
          <w:ilvl w:val="0"/>
          <w:numId w:val="0"/>
        </w:numPr>
        <w:spacing w:after="0"/>
      </w:pPr>
    </w:p>
    <w:p w:rsidR="00AD2A9B" w:rsidRPr="00E01552" w:rsidP="006D3EF7" w14:paraId="0D0A6DF3" w14:textId="3512F4F6">
      <w:pPr>
        <w:pStyle w:val="ParaNum"/>
        <w:spacing w:after="0"/>
      </w:pPr>
      <w:r w:rsidRPr="00E01552">
        <w:t xml:space="preserve">In accordance with </w:t>
      </w:r>
      <w:r w:rsidRPr="00E01552" w:rsidR="009E31AD">
        <w:t xml:space="preserve">section </w:t>
      </w:r>
      <w:r w:rsidRPr="00E01552">
        <w:t>1.16 of the Commission’s rules, we direct</w:t>
      </w:r>
      <w:r w:rsidRPr="00E01552" w:rsidR="00F44BF8">
        <w:t xml:space="preserve"> Vazquez</w:t>
      </w:r>
      <w:r w:rsidRPr="000631B4" w:rsidR="000631B4">
        <w:t xml:space="preserve"> </w:t>
      </w:r>
      <w:r w:rsidR="000631B4">
        <w:t>Broadcasting</w:t>
      </w:r>
      <w:r w:rsidRPr="00E01552" w:rsidR="00F44BF8">
        <w:t xml:space="preserve"> </w:t>
      </w:r>
      <w:r w:rsidRPr="00E01552">
        <w:t xml:space="preserve">to support its response to this Notice with an affidavit or declaration under penalty of perjury, signed and dated by an authorized officer of </w:t>
      </w:r>
      <w:r w:rsidRPr="00E01552" w:rsidR="00F44BF8">
        <w:t xml:space="preserve">Vazquez </w:t>
      </w:r>
      <w:r w:rsidR="000631B4">
        <w:t>Broadcasting</w:t>
      </w:r>
      <w:r w:rsidRPr="00E01552" w:rsidR="000631B4">
        <w:t xml:space="preserve"> </w:t>
      </w:r>
      <w:r w:rsidRPr="00E01552">
        <w:t xml:space="preserve">with personal knowledge of the representations provided in </w:t>
      </w:r>
      <w:r w:rsidRPr="00E01552" w:rsidR="00F44BF8">
        <w:t>Vazquez</w:t>
      </w:r>
      <w:r w:rsidR="00195731">
        <w:t xml:space="preserve"> Broadcasting</w:t>
      </w:r>
      <w:r w:rsidRPr="00E01552">
        <w:t>’s response, verifying the truth and accuracy of the information therein, and confirming that all of the information requested by this Notice which is in the licensee’s possession, custody, control, or knowledge has been produced.</w:t>
      </w:r>
      <w:r>
        <w:rPr>
          <w:rStyle w:val="FootnoteReference"/>
        </w:rPr>
        <w:footnoteReference w:id="8"/>
      </w:r>
      <w:r w:rsidRPr="00E01552">
        <w:t xml:space="preserve">  To knowingly and willfully </w:t>
      </w:r>
      <w:r w:rsidRPr="00E01552">
        <w:t xml:space="preserve">make any false statement or conceal any material fact in reply to this Notice is punishable by fine or imprisonment under </w:t>
      </w:r>
      <w:r w:rsidRPr="00E01552" w:rsidR="009E31AD">
        <w:t xml:space="preserve">title </w:t>
      </w:r>
      <w:r w:rsidRPr="00E01552">
        <w:t>18 of the U.S. Code.</w:t>
      </w:r>
      <w:r>
        <w:rPr>
          <w:rStyle w:val="FootnoteReference"/>
        </w:rPr>
        <w:footnoteReference w:id="9"/>
      </w:r>
    </w:p>
    <w:p w:rsidR="00034236" w:rsidRPr="00E01552" w:rsidP="005D0C54" w14:paraId="1634454F" w14:textId="77777777">
      <w:pPr>
        <w:pStyle w:val="ParaNum"/>
        <w:numPr>
          <w:ilvl w:val="0"/>
          <w:numId w:val="0"/>
        </w:numPr>
        <w:spacing w:after="0"/>
      </w:pPr>
    </w:p>
    <w:p w:rsidR="00D55FBC" w:rsidRPr="00E01552" w:rsidP="006D3EF7" w14:paraId="54687F56" w14:textId="6F6EE059">
      <w:pPr>
        <w:pStyle w:val="ParaNum"/>
        <w:spacing w:after="0"/>
      </w:pPr>
      <w:r w:rsidRPr="00E01552">
        <w:t xml:space="preserve">All replies and documentation sent in response to this Notice should be marked with the File </w:t>
      </w:r>
      <w:r w:rsidRPr="00E01552" w:rsidR="00051DB5">
        <w:t>Number</w:t>
      </w:r>
      <w:r w:rsidRPr="00E01552" w:rsidR="009E31AD">
        <w:t>,</w:t>
      </w:r>
      <w:r w:rsidRPr="00E01552">
        <w:t xml:space="preserve"> specified above, and mailed to the following address:</w:t>
      </w:r>
    </w:p>
    <w:p w:rsidR="005D0C54" w:rsidRPr="00E01552" w:rsidP="005D0C54" w14:paraId="4A75A1EF" w14:textId="77777777">
      <w:pPr>
        <w:pStyle w:val="ParaNum"/>
        <w:numPr>
          <w:ilvl w:val="0"/>
          <w:numId w:val="0"/>
        </w:numPr>
        <w:spacing w:after="0"/>
        <w:ind w:firstLine="720"/>
      </w:pPr>
    </w:p>
    <w:p w:rsidR="00D55FBC" w:rsidRPr="00E01552" w:rsidP="006D3EF7" w14:paraId="4CA45B79" w14:textId="7C3FC165">
      <w:pPr>
        <w:ind w:left="2160"/>
      </w:pPr>
      <w:r w:rsidRPr="00E01552">
        <w:t>Federal Communications Commission</w:t>
      </w:r>
    </w:p>
    <w:p w:rsidR="00D55FBC" w:rsidRPr="00E01552" w:rsidP="006D3EF7" w14:paraId="34EB3B79" w14:textId="7B99E230">
      <w:pPr>
        <w:ind w:left="2160"/>
      </w:pPr>
      <w:r w:rsidRPr="00E01552">
        <w:t xml:space="preserve">EB </w:t>
      </w:r>
      <w:r w:rsidRPr="00E01552">
        <w:t>Columbia Regional Office</w:t>
      </w:r>
    </w:p>
    <w:p w:rsidR="007F1DAF" w:rsidRPr="00E01552" w:rsidP="006D3EF7" w14:paraId="7B885FD1" w14:textId="77777777">
      <w:pPr>
        <w:ind w:left="2160"/>
      </w:pPr>
      <w:r w:rsidRPr="00E01552">
        <w:t>9050 Junction Drive</w:t>
      </w:r>
    </w:p>
    <w:p w:rsidR="007F1DAF" w:rsidRPr="00E01552" w:rsidP="006D3EF7" w14:paraId="252F41C3" w14:textId="7B62376B">
      <w:pPr>
        <w:ind w:left="2160"/>
      </w:pPr>
      <w:r w:rsidRPr="00E01552">
        <w:t>Annapolis Junction, Maryland 20701</w:t>
      </w:r>
    </w:p>
    <w:p w:rsidR="007F1DAF" w:rsidRPr="00E01552" w:rsidP="006D3EF7" w14:paraId="106A6867" w14:textId="77777777">
      <w:pPr>
        <w:ind w:left="2160"/>
      </w:pPr>
    </w:p>
    <w:p w:rsidR="00D55FBC" w:rsidP="006D3EF7" w14:paraId="532EE6AF" w14:textId="5A11A257">
      <w:pPr>
        <w:pStyle w:val="ParaNum"/>
        <w:spacing w:after="0"/>
      </w:pPr>
      <w:r w:rsidRPr="00E01552">
        <w:t xml:space="preserve">This Notice shall be sent to </w:t>
      </w:r>
      <w:r w:rsidRPr="00E01552" w:rsidR="007F1DAF">
        <w:t xml:space="preserve">Vazquez Broadcasting Corporation </w:t>
      </w:r>
      <w:r w:rsidRPr="00E01552">
        <w:t>at its</w:t>
      </w:r>
      <w:r w:rsidRPr="00E01552" w:rsidR="007F1DAF">
        <w:t xml:space="preserve"> </w:t>
      </w:r>
      <w:r w:rsidRPr="00E01552">
        <w:t xml:space="preserve">address of record and to </w:t>
      </w:r>
      <w:r w:rsidRPr="00E01552" w:rsidR="001A2C60">
        <w:t>Vazquez</w:t>
      </w:r>
      <w:r w:rsidR="00195731">
        <w:t xml:space="preserve"> Broadcasting</w:t>
      </w:r>
      <w:r w:rsidRPr="00E01552">
        <w:t xml:space="preserve">’s counsel, </w:t>
      </w:r>
      <w:r w:rsidRPr="00E01552" w:rsidR="001A2C60">
        <w:t>John C. Trent, Esq. at Put</w:t>
      </w:r>
      <w:r w:rsidRPr="00E01552" w:rsidR="001C14E9">
        <w:t xml:space="preserve">brese, Hunsaker and Trent, PC., </w:t>
      </w:r>
      <w:r w:rsidR="00276E40">
        <w:t>422 Forest View Road, Edinburg, VA 22824</w:t>
      </w:r>
      <w:r w:rsidRPr="00E01552" w:rsidR="001C14E9">
        <w:t xml:space="preserve">.  </w:t>
      </w:r>
    </w:p>
    <w:p w:rsidR="005D0C54" w:rsidRPr="00E01552" w:rsidP="005D0C54" w14:paraId="0D9D68D5" w14:textId="77777777">
      <w:pPr>
        <w:pStyle w:val="ParaNum"/>
        <w:numPr>
          <w:ilvl w:val="0"/>
          <w:numId w:val="0"/>
        </w:numPr>
        <w:spacing w:after="0"/>
      </w:pPr>
    </w:p>
    <w:p w:rsidR="00D55FBC" w:rsidRPr="00E01552" w:rsidP="006D3EF7" w14:paraId="23DFCC19" w14:textId="22B4DD25">
      <w:pPr>
        <w:pStyle w:val="ParaNum"/>
        <w:keepNext/>
        <w:spacing w:after="0"/>
      </w:pPr>
      <w:r w:rsidRPr="00E01552">
        <w:t>The Privacy Act of 1974</w:t>
      </w:r>
      <w:r>
        <w:rPr>
          <w:rStyle w:val="FootnoteReference"/>
        </w:rPr>
        <w:footnoteReference w:id="10"/>
      </w:r>
      <w:r w:rsidRPr="00E01552">
        <w:t xml:space="preserve"> requires that we advise you that the Commission will use all relevant material information before it, including any information disclosed in your reply, to determine what, if any, enforcement action is required to ensure compliance.  </w:t>
      </w:r>
    </w:p>
    <w:p w:rsidR="005D0C54" w:rsidRPr="00E01552" w:rsidP="006D3EF7" w14:paraId="16896481" w14:textId="77777777">
      <w:pPr>
        <w:keepNext/>
      </w:pPr>
    </w:p>
    <w:p w:rsidR="005D0C54" w:rsidRPr="00E01552" w:rsidP="006D3EF7" w14:paraId="739A8788" w14:textId="77777777">
      <w:pPr>
        <w:keepNext/>
      </w:pPr>
    </w:p>
    <w:p w:rsidR="00D55FBC" w:rsidRPr="00E01552" w:rsidP="006D3EF7" w14:paraId="167DDF59" w14:textId="6ACB5BB0">
      <w:pPr>
        <w:keepNext/>
      </w:pPr>
      <w:r w:rsidRPr="00E01552">
        <w:tab/>
      </w:r>
      <w:r w:rsidRPr="00E01552">
        <w:tab/>
      </w:r>
      <w:r w:rsidRPr="00E01552">
        <w:tab/>
      </w:r>
      <w:r w:rsidRPr="00E01552">
        <w:tab/>
      </w:r>
      <w:r w:rsidRPr="00E01552">
        <w:tab/>
      </w:r>
      <w:r w:rsidRPr="00E01552">
        <w:tab/>
        <w:t>FEDERAL COMMUNICATIONS COMMISSION</w:t>
      </w:r>
    </w:p>
    <w:p w:rsidR="00D55FBC" w:rsidRPr="00E01552" w:rsidP="006D3EF7" w14:paraId="75EE0756" w14:textId="77777777">
      <w:pPr>
        <w:keepNext/>
      </w:pPr>
    </w:p>
    <w:p w:rsidR="00D55FBC" w:rsidRPr="00E01552" w:rsidP="006D3EF7" w14:paraId="479C5C50" w14:textId="77777777">
      <w:pPr>
        <w:keepNext/>
      </w:pPr>
    </w:p>
    <w:p w:rsidR="00D55FBC" w:rsidRPr="00E01552" w:rsidP="006D3EF7" w14:paraId="548E3C75" w14:textId="77777777">
      <w:pPr>
        <w:keepNext/>
      </w:pPr>
    </w:p>
    <w:p w:rsidR="00D55FBC" w:rsidRPr="00E01552" w:rsidP="006D3EF7" w14:paraId="6FB234B6" w14:textId="77777777">
      <w:pPr>
        <w:keepNext/>
      </w:pPr>
    </w:p>
    <w:p w:rsidR="00D55FBC" w:rsidRPr="00E01552" w:rsidP="006D3EF7" w14:paraId="229D0CA6" w14:textId="74615689">
      <w:pPr>
        <w:keepNext/>
      </w:pPr>
      <w:r w:rsidRPr="00E01552">
        <w:tab/>
      </w:r>
      <w:r w:rsidRPr="00E01552">
        <w:tab/>
      </w:r>
      <w:r w:rsidRPr="00E01552">
        <w:tab/>
      </w:r>
      <w:r w:rsidRPr="00E01552">
        <w:tab/>
      </w:r>
      <w:r w:rsidRPr="00E01552">
        <w:tab/>
      </w:r>
      <w:r w:rsidRPr="00E01552">
        <w:tab/>
      </w:r>
      <w:r w:rsidRPr="00E01552" w:rsidR="001C14E9">
        <w:t>David C. Dombrowski</w:t>
      </w:r>
    </w:p>
    <w:p w:rsidR="001C14E9" w:rsidRPr="00E01552" w:rsidP="006D3EF7" w14:paraId="14CFFF73" w14:textId="77777777">
      <w:pPr>
        <w:keepNext/>
      </w:pPr>
      <w:r w:rsidRPr="00E01552">
        <w:tab/>
      </w:r>
      <w:r w:rsidRPr="00E01552">
        <w:tab/>
      </w:r>
      <w:r w:rsidRPr="00E01552">
        <w:tab/>
      </w:r>
      <w:r w:rsidRPr="00E01552">
        <w:tab/>
      </w:r>
      <w:r w:rsidRPr="00E01552">
        <w:tab/>
      </w:r>
      <w:r w:rsidRPr="00E01552">
        <w:tab/>
        <w:t xml:space="preserve">Regional Director, Region </w:t>
      </w:r>
      <w:r w:rsidRPr="00E01552">
        <w:t>One</w:t>
      </w:r>
    </w:p>
    <w:p w:rsidR="00D55FBC" w:rsidRPr="00D55FBC" w:rsidP="006D3EF7" w14:paraId="625594D4" w14:textId="24FA788A">
      <w:pPr>
        <w:keepNext/>
      </w:pPr>
      <w:r w:rsidRPr="00E01552">
        <w:tab/>
      </w:r>
      <w:r w:rsidRPr="00E01552">
        <w:tab/>
      </w:r>
      <w:r w:rsidRPr="00E01552">
        <w:tab/>
      </w:r>
      <w:r w:rsidRPr="00E01552">
        <w:tab/>
      </w:r>
      <w:r w:rsidRPr="00E01552">
        <w:tab/>
      </w:r>
      <w:r w:rsidRPr="00E01552">
        <w:tab/>
        <w:t>Enforcement Bureau</w:t>
      </w:r>
    </w:p>
    <w:p w:rsidR="00D55FBC" w:rsidRPr="00AD2A9B" w:rsidP="006D3EF7" w14:paraId="0F94A91D" w14:textId="77777777"/>
    <w:sectPr w:rsidSect="0055614C">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169EF" w14:paraId="6293070B" w14:textId="77777777">
      <w:pPr>
        <w:spacing w:line="20" w:lineRule="exact"/>
      </w:pPr>
    </w:p>
  </w:endnote>
  <w:endnote w:type="continuationSeparator" w:id="1">
    <w:p w:rsidR="006169EF" w14:paraId="41E939C6" w14:textId="77777777">
      <w:r>
        <w:t xml:space="preserve"> </w:t>
      </w:r>
    </w:p>
  </w:endnote>
  <w:endnote w:type="continuationNotice" w:id="2">
    <w:p w:rsidR="006169EF" w14:paraId="4164D407"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6FC5D076"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12DB204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5EEB5AF1" w14:textId="77777777">
    <w:pPr>
      <w:pStyle w:val="Footer"/>
      <w:framePr w:wrap="around" w:vAnchor="text" w:hAnchor="margin" w:xAlign="center" w:y="1"/>
    </w:pPr>
    <w:r>
      <w:fldChar w:fldCharType="begin"/>
    </w:r>
    <w:r>
      <w:instrText xml:space="preserve">PAGE  </w:instrText>
    </w:r>
    <w:r>
      <w:fldChar w:fldCharType="separate"/>
    </w:r>
    <w:r w:rsidR="005E14C2">
      <w:rPr>
        <w:noProof/>
      </w:rPr>
      <w:t>2</w:t>
    </w:r>
    <w:r>
      <w:fldChar w:fldCharType="end"/>
    </w:r>
  </w:p>
  <w:p w:rsidR="00D25FB5" w14:paraId="060CC3C5" w14:textId="77777777">
    <w:pPr>
      <w:suppressAutoHyphens/>
      <w:spacing w:line="227"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0479F73B"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169EF" w14:paraId="47867CBF" w14:textId="77777777">
      <w:r>
        <w:separator/>
      </w:r>
    </w:p>
  </w:footnote>
  <w:footnote w:type="continuationSeparator" w:id="1">
    <w:p w:rsidR="006169EF" w:rsidP="00C721AC" w14:paraId="156868F4" w14:textId="77777777">
      <w:pPr>
        <w:spacing w:before="120"/>
        <w:rPr>
          <w:sz w:val="20"/>
        </w:rPr>
      </w:pPr>
      <w:r>
        <w:rPr>
          <w:sz w:val="20"/>
        </w:rPr>
        <w:t xml:space="preserve">(Continued from previous page)  </w:t>
      </w:r>
      <w:r>
        <w:rPr>
          <w:sz w:val="20"/>
        </w:rPr>
        <w:separator/>
      </w:r>
    </w:p>
  </w:footnote>
  <w:footnote w:type="continuationNotice" w:id="2">
    <w:p w:rsidR="006169EF" w:rsidP="00C721AC" w14:paraId="4B4BC47B" w14:textId="77777777">
      <w:pPr>
        <w:jc w:val="right"/>
        <w:rPr>
          <w:sz w:val="20"/>
        </w:rPr>
      </w:pPr>
      <w:r>
        <w:rPr>
          <w:sz w:val="20"/>
        </w:rPr>
        <w:t>(</w:t>
      </w:r>
      <w:r>
        <w:rPr>
          <w:sz w:val="20"/>
        </w:rPr>
        <w:t>continued</w:t>
      </w:r>
      <w:r>
        <w:rPr>
          <w:sz w:val="20"/>
        </w:rPr>
        <w:t>….)</w:t>
      </w:r>
    </w:p>
  </w:footnote>
  <w:footnote w:id="3">
    <w:p w:rsidR="00AD2A9B" w14:paraId="1FD3986F" w14:textId="4AE72D2A">
      <w:pPr>
        <w:pStyle w:val="FootnoteText"/>
      </w:pPr>
      <w:r>
        <w:rPr>
          <w:rStyle w:val="FootnoteReference"/>
        </w:rPr>
        <w:footnoteRef/>
      </w:r>
      <w:r>
        <w:t xml:space="preserve"> 47 CFR § 1.89.</w:t>
      </w:r>
    </w:p>
  </w:footnote>
  <w:footnote w:id="4">
    <w:p w:rsidR="008F05EC" w14:paraId="75AC50CE" w14:textId="241B9196">
      <w:pPr>
        <w:pStyle w:val="FootnoteText"/>
      </w:pPr>
      <w:r>
        <w:rPr>
          <w:rStyle w:val="FootnoteReference"/>
        </w:rPr>
        <w:footnoteRef/>
      </w:r>
      <w:r>
        <w:t xml:space="preserve"> 47 CFR § 1.89(a).</w:t>
      </w:r>
    </w:p>
  </w:footnote>
  <w:footnote w:id="5">
    <w:p w:rsidR="00E643D6" w:rsidP="00E643D6" w14:paraId="7EDE8E26" w14:textId="718DB846">
      <w:pPr>
        <w:pStyle w:val="FootnoteText"/>
      </w:pPr>
      <w:r>
        <w:rPr>
          <w:rStyle w:val="FootnoteReference"/>
        </w:rPr>
        <w:footnoteRef/>
      </w:r>
      <w:r>
        <w:t xml:space="preserve">  </w:t>
      </w:r>
      <w:r w:rsidRPr="00985A05">
        <w:t>Any log required to be kept by </w:t>
      </w:r>
      <w:r w:rsidRPr="001C7401">
        <w:t>station</w:t>
      </w:r>
      <w:r w:rsidRPr="00985A05">
        <w:t xml:space="preserve"> licensees shall be retained by them for a period of </w:t>
      </w:r>
      <w:r w:rsidR="006A3FA9">
        <w:t>two</w:t>
      </w:r>
      <w:r w:rsidRPr="00985A05">
        <w:t xml:space="preserve"> years</w:t>
      </w:r>
      <w:r>
        <w:t xml:space="preserve"> and must be </w:t>
      </w:r>
      <w:r w:rsidRPr="00F911D1">
        <w:t>made available by all broadcast</w:t>
      </w:r>
      <w:r>
        <w:t xml:space="preserve"> stations</w:t>
      </w:r>
      <w:r w:rsidRPr="00F911D1">
        <w:t> upon request by representatives of the FCC</w:t>
      </w:r>
      <w:r>
        <w:t xml:space="preserve">. 47 CFR </w:t>
      </w:r>
      <w:r w:rsidRPr="00FB7672">
        <w:t>§</w:t>
      </w:r>
      <w:r w:rsidRPr="00E21C4E">
        <w:t xml:space="preserve">§ </w:t>
      </w:r>
      <w:r w:rsidRPr="00FB7672">
        <w:t>73.1840</w:t>
      </w:r>
      <w:r>
        <w:t xml:space="preserve">, </w:t>
      </w:r>
      <w:r w:rsidRPr="00E21C4E">
        <w:t>73.1225</w:t>
      </w:r>
      <w:r>
        <w:t xml:space="preserve">. </w:t>
      </w:r>
    </w:p>
  </w:footnote>
  <w:footnote w:id="6">
    <w:p w:rsidR="008F05EC" w:rsidRPr="008F05EC" w14:paraId="38A560B6" w14:textId="63530A7F">
      <w:pPr>
        <w:pStyle w:val="FootnoteText"/>
      </w:pPr>
      <w:r>
        <w:rPr>
          <w:rStyle w:val="FootnoteReference"/>
        </w:rPr>
        <w:footnoteRef/>
      </w:r>
      <w:r>
        <w:t xml:space="preserve"> 47 U.S.C. </w:t>
      </w:r>
      <w:r w:rsidR="009E31AD">
        <w:t xml:space="preserve">§ </w:t>
      </w:r>
      <w:r>
        <w:t>308(b); 47 CFR § 1.89.</w:t>
      </w:r>
    </w:p>
  </w:footnote>
  <w:footnote w:id="7">
    <w:p w:rsidR="00D55FBC" w14:paraId="26AEBABE" w14:textId="75A21E36">
      <w:pPr>
        <w:pStyle w:val="FootnoteText"/>
      </w:pPr>
      <w:r>
        <w:rPr>
          <w:rStyle w:val="FootnoteReference"/>
        </w:rPr>
        <w:footnoteRef/>
      </w:r>
      <w:r>
        <w:t xml:space="preserve"> 47 CFR § 1.89(c).</w:t>
      </w:r>
    </w:p>
  </w:footnote>
  <w:footnote w:id="8">
    <w:p w:rsidR="00D55FBC" w14:paraId="0A081617" w14:textId="26BC59B5">
      <w:pPr>
        <w:pStyle w:val="FootnoteText"/>
      </w:pPr>
      <w:r>
        <w:rPr>
          <w:rStyle w:val="FootnoteReference"/>
        </w:rPr>
        <w:footnoteRef/>
      </w:r>
      <w:r>
        <w:t xml:space="preserve"> </w:t>
      </w:r>
      <w:r w:rsidRPr="00D55FBC">
        <w:t xml:space="preserve">Section 1.16 of the </w:t>
      </w:r>
      <w:r>
        <w:t>Commission’s r</w:t>
      </w:r>
      <w:r w:rsidRPr="00D55FBC">
        <w:t xml:space="preserve">ules provides that “[a]ny document to be filed with the Federal Communications Commission and which is required by any law, rule or other regulation of the United States to be supported, evidenced, established or proved by a written sworn declaration, verification, certificate, statement, oath or affidavit by the person making the same, may be supported, evidenced, established or proved by the unsworn declaration, certification, verification, or statement in writing of such person . . . .  Such declaration shall be subscribed by the declarant as true under penalty of perjury, and dated, in substantially the following form </w:t>
      </w:r>
      <w:r w:rsidRPr="00D55FBC">
        <w:t>. . . :</w:t>
      </w:r>
      <w:r w:rsidRPr="00D55FBC">
        <w:t xml:space="preserve">  ‘I declare (or certify, verify, or state) under penalty of perjury that the foregoing is true and correct.  Executed on (date).  (Signature)’.”  47 CFR § 1.16.</w:t>
      </w:r>
    </w:p>
  </w:footnote>
  <w:footnote w:id="9">
    <w:p w:rsidR="00D55FBC" w:rsidRPr="00D55FBC" w14:paraId="00C93D63" w14:textId="367D66E6">
      <w:pPr>
        <w:pStyle w:val="FootnoteText"/>
      </w:pPr>
      <w:r>
        <w:rPr>
          <w:rStyle w:val="FootnoteReference"/>
        </w:rPr>
        <w:footnoteRef/>
      </w:r>
      <w:r>
        <w:t xml:space="preserve"> 18 U.S.C. §§ 1001, </w:t>
      </w:r>
      <w:r w:rsidRPr="00D55FBC">
        <w:rPr>
          <w:i/>
        </w:rPr>
        <w:t>et seq</w:t>
      </w:r>
      <w:r>
        <w:t xml:space="preserve">.; </w:t>
      </w:r>
      <w:r>
        <w:rPr>
          <w:i/>
        </w:rPr>
        <w:t xml:space="preserve">see also </w:t>
      </w:r>
      <w:r>
        <w:t>47 CFR § 1.17.</w:t>
      </w:r>
    </w:p>
  </w:footnote>
  <w:footnote w:id="10">
    <w:p w:rsidR="00D55FBC" w14:paraId="7FF56E3F" w14:textId="0EC124FE">
      <w:pPr>
        <w:pStyle w:val="FootnoteText"/>
      </w:pPr>
      <w:r>
        <w:rPr>
          <w:rStyle w:val="FootnoteReference"/>
        </w:rPr>
        <w:footnoteRef/>
      </w:r>
      <w:r>
        <w:t xml:space="preserve"> </w:t>
      </w:r>
      <w:r w:rsidRPr="00D55FBC">
        <w:t>5 U.S.C. § 552a(e)(3).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7B7872BD" w14:textId="7010B0D8">
    <w:pPr>
      <w:pStyle w:val="Header"/>
      <w:rPr>
        <w:b w:val="0"/>
      </w:rPr>
    </w:pPr>
    <w:r>
      <w:tab/>
      <w:t>Federal Communications Commission</w:t>
    </w:r>
    <w:r>
      <w:tab/>
    </w:r>
  </w:p>
  <w:p w:rsidR="00D25FB5" w14:paraId="56D6C3C1" w14:textId="7D4B0D57">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D25FB5" w14:paraId="0820B023"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6541F9E7" w14:textId="7DEADB42">
    <w:pPr>
      <w:pStyle w:val="Header"/>
      <w:rPr>
        <w:b w:val="0"/>
      </w:rPr>
    </w:pPr>
    <w:r>
      <w:rPr>
        <w:noProof/>
      </w:rPr>
      <mc:AlternateContent>
        <mc:Choice Requires="wps">
          <w:drawing>
            <wp:anchor distT="0" distB="0" distL="114300" distR="114300" simplePos="0" relativeHeight="251660288" behindDoc="1" locked="0" layoutInCell="0" allowOverlap="1">
              <wp:simplePos x="0" y="0"/>
              <wp:positionH relativeFrom="margin">
                <wp:posOffset>7620</wp:posOffset>
              </wp:positionH>
              <wp:positionV relativeFrom="paragraph">
                <wp:posOffset>160655</wp:posOffset>
              </wp:positionV>
              <wp:extent cx="5943600" cy="12065"/>
              <wp:effectExtent l="0" t="0" r="0" b="0"/>
              <wp:wrapNone/>
              <wp:docPr id="1"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2050"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5168" o:allowincell="f" fillcolor="black" stroked="f" strokeweight="0.05pt">
              <w10:wrap anchorx="margin"/>
            </v:rect>
          </w:pict>
        </mc:Fallback>
      </mc:AlternateContent>
    </w:r>
    <w:r>
      <w:tab/>
      <w:t>Federal Communications Commission</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3D7C11CA"/>
    <w:multiLevelType w:val="hybridMultilevel"/>
    <w:tmpl w:val="38129D86"/>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1410925643">
    <w:abstractNumId w:val="1"/>
  </w:num>
  <w:num w:numId="2" w16cid:durableId="678893315">
    <w:abstractNumId w:val="6"/>
  </w:num>
  <w:num w:numId="3" w16cid:durableId="1928147400">
    <w:abstractNumId w:val="3"/>
  </w:num>
  <w:num w:numId="4" w16cid:durableId="921261961">
    <w:abstractNumId w:val="5"/>
  </w:num>
  <w:num w:numId="5" w16cid:durableId="1417481038">
    <w:abstractNumId w:val="2"/>
  </w:num>
  <w:num w:numId="6" w16cid:durableId="1508715945">
    <w:abstractNumId w:val="0"/>
  </w:num>
  <w:num w:numId="7" w16cid:durableId="4150591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C51"/>
    <w:rsid w:val="00011386"/>
    <w:rsid w:val="0001153E"/>
    <w:rsid w:val="0001488D"/>
    <w:rsid w:val="0002182D"/>
    <w:rsid w:val="00023443"/>
    <w:rsid w:val="00023560"/>
    <w:rsid w:val="00031220"/>
    <w:rsid w:val="00034236"/>
    <w:rsid w:val="00034E7A"/>
    <w:rsid w:val="00036039"/>
    <w:rsid w:val="00037F90"/>
    <w:rsid w:val="0004330F"/>
    <w:rsid w:val="00045D75"/>
    <w:rsid w:val="00051DB5"/>
    <w:rsid w:val="000531A4"/>
    <w:rsid w:val="000537C8"/>
    <w:rsid w:val="00056766"/>
    <w:rsid w:val="00060F24"/>
    <w:rsid w:val="000631B4"/>
    <w:rsid w:val="00067F29"/>
    <w:rsid w:val="0007173F"/>
    <w:rsid w:val="00072932"/>
    <w:rsid w:val="00073D26"/>
    <w:rsid w:val="000875BF"/>
    <w:rsid w:val="000923F4"/>
    <w:rsid w:val="0009475D"/>
    <w:rsid w:val="00096D8C"/>
    <w:rsid w:val="000A5CD3"/>
    <w:rsid w:val="000A754C"/>
    <w:rsid w:val="000B25C5"/>
    <w:rsid w:val="000B54FF"/>
    <w:rsid w:val="000C0B65"/>
    <w:rsid w:val="000D7EC9"/>
    <w:rsid w:val="000E05FE"/>
    <w:rsid w:val="000E2E92"/>
    <w:rsid w:val="000E3D42"/>
    <w:rsid w:val="000F2A32"/>
    <w:rsid w:val="00122BD5"/>
    <w:rsid w:val="00123F6E"/>
    <w:rsid w:val="00125993"/>
    <w:rsid w:val="00133F79"/>
    <w:rsid w:val="0014105B"/>
    <w:rsid w:val="001418EE"/>
    <w:rsid w:val="00156D45"/>
    <w:rsid w:val="001619EE"/>
    <w:rsid w:val="00162804"/>
    <w:rsid w:val="00167C3F"/>
    <w:rsid w:val="0017031E"/>
    <w:rsid w:val="00173314"/>
    <w:rsid w:val="00192F5D"/>
    <w:rsid w:val="00194A66"/>
    <w:rsid w:val="00195731"/>
    <w:rsid w:val="00195DA2"/>
    <w:rsid w:val="0019687B"/>
    <w:rsid w:val="001A1BB7"/>
    <w:rsid w:val="001A2C60"/>
    <w:rsid w:val="001A2D9F"/>
    <w:rsid w:val="001A3F35"/>
    <w:rsid w:val="001B76EA"/>
    <w:rsid w:val="001C14E9"/>
    <w:rsid w:val="001C18B6"/>
    <w:rsid w:val="001C5202"/>
    <w:rsid w:val="001C7401"/>
    <w:rsid w:val="001D3342"/>
    <w:rsid w:val="001D52AC"/>
    <w:rsid w:val="001D6BCF"/>
    <w:rsid w:val="001D7E27"/>
    <w:rsid w:val="001E01CA"/>
    <w:rsid w:val="001E2200"/>
    <w:rsid w:val="001F7C93"/>
    <w:rsid w:val="00215D8C"/>
    <w:rsid w:val="00222754"/>
    <w:rsid w:val="002236F4"/>
    <w:rsid w:val="00231318"/>
    <w:rsid w:val="00234127"/>
    <w:rsid w:val="002420B2"/>
    <w:rsid w:val="0024438F"/>
    <w:rsid w:val="00272CB4"/>
    <w:rsid w:val="00273C7E"/>
    <w:rsid w:val="00275CF5"/>
    <w:rsid w:val="00276E40"/>
    <w:rsid w:val="0028301F"/>
    <w:rsid w:val="00285017"/>
    <w:rsid w:val="002856A4"/>
    <w:rsid w:val="00293D1E"/>
    <w:rsid w:val="0029661C"/>
    <w:rsid w:val="002A2D2E"/>
    <w:rsid w:val="002A3D65"/>
    <w:rsid w:val="002A775E"/>
    <w:rsid w:val="002A7AC2"/>
    <w:rsid w:val="002C00E8"/>
    <w:rsid w:val="002D186E"/>
    <w:rsid w:val="002D2AE4"/>
    <w:rsid w:val="002E7C29"/>
    <w:rsid w:val="002F4DE0"/>
    <w:rsid w:val="00301FD5"/>
    <w:rsid w:val="003235AC"/>
    <w:rsid w:val="00335477"/>
    <w:rsid w:val="0033564A"/>
    <w:rsid w:val="00343749"/>
    <w:rsid w:val="00350E88"/>
    <w:rsid w:val="0035507A"/>
    <w:rsid w:val="00357658"/>
    <w:rsid w:val="003660ED"/>
    <w:rsid w:val="003743F2"/>
    <w:rsid w:val="00374DD7"/>
    <w:rsid w:val="0038192C"/>
    <w:rsid w:val="003913B9"/>
    <w:rsid w:val="00391B9B"/>
    <w:rsid w:val="003A04F0"/>
    <w:rsid w:val="003B0550"/>
    <w:rsid w:val="003B0986"/>
    <w:rsid w:val="003B5091"/>
    <w:rsid w:val="003B694F"/>
    <w:rsid w:val="003D272E"/>
    <w:rsid w:val="003E3030"/>
    <w:rsid w:val="003E7446"/>
    <w:rsid w:val="003F171C"/>
    <w:rsid w:val="003F280C"/>
    <w:rsid w:val="003F53F1"/>
    <w:rsid w:val="00412FC5"/>
    <w:rsid w:val="00422276"/>
    <w:rsid w:val="004242F1"/>
    <w:rsid w:val="0044464E"/>
    <w:rsid w:val="00445A00"/>
    <w:rsid w:val="00445E0F"/>
    <w:rsid w:val="00451B0F"/>
    <w:rsid w:val="0046065D"/>
    <w:rsid w:val="00461D52"/>
    <w:rsid w:val="004634C0"/>
    <w:rsid w:val="00477C66"/>
    <w:rsid w:val="00481518"/>
    <w:rsid w:val="004865FF"/>
    <w:rsid w:val="00493FBA"/>
    <w:rsid w:val="004A3BF2"/>
    <w:rsid w:val="004A4604"/>
    <w:rsid w:val="004A5A25"/>
    <w:rsid w:val="004B3059"/>
    <w:rsid w:val="004C24D6"/>
    <w:rsid w:val="004C2EE3"/>
    <w:rsid w:val="004D299C"/>
    <w:rsid w:val="004D65B1"/>
    <w:rsid w:val="004E2573"/>
    <w:rsid w:val="004E4A22"/>
    <w:rsid w:val="004E6208"/>
    <w:rsid w:val="004E6E30"/>
    <w:rsid w:val="00502F1F"/>
    <w:rsid w:val="00505970"/>
    <w:rsid w:val="00507DE3"/>
    <w:rsid w:val="00511968"/>
    <w:rsid w:val="00512C98"/>
    <w:rsid w:val="005133F8"/>
    <w:rsid w:val="0051502B"/>
    <w:rsid w:val="00520637"/>
    <w:rsid w:val="00532DC5"/>
    <w:rsid w:val="005423CF"/>
    <w:rsid w:val="00546B55"/>
    <w:rsid w:val="0055366D"/>
    <w:rsid w:val="00553D7C"/>
    <w:rsid w:val="0055614C"/>
    <w:rsid w:val="0057504F"/>
    <w:rsid w:val="005823F6"/>
    <w:rsid w:val="0058476E"/>
    <w:rsid w:val="005907D2"/>
    <w:rsid w:val="005A0324"/>
    <w:rsid w:val="005A5ADC"/>
    <w:rsid w:val="005B091C"/>
    <w:rsid w:val="005C6536"/>
    <w:rsid w:val="005D0C54"/>
    <w:rsid w:val="005D3521"/>
    <w:rsid w:val="005E0878"/>
    <w:rsid w:val="005E14C2"/>
    <w:rsid w:val="005E16CD"/>
    <w:rsid w:val="00607BA5"/>
    <w:rsid w:val="006104EB"/>
    <w:rsid w:val="0061180A"/>
    <w:rsid w:val="006169EF"/>
    <w:rsid w:val="00626EB6"/>
    <w:rsid w:val="00642EFC"/>
    <w:rsid w:val="00655D03"/>
    <w:rsid w:val="00663E8D"/>
    <w:rsid w:val="006652AA"/>
    <w:rsid w:val="006718CF"/>
    <w:rsid w:val="00677EBB"/>
    <w:rsid w:val="00682EFD"/>
    <w:rsid w:val="00683388"/>
    <w:rsid w:val="00683F84"/>
    <w:rsid w:val="006A3FA9"/>
    <w:rsid w:val="006A6A81"/>
    <w:rsid w:val="006B2A3B"/>
    <w:rsid w:val="006B78AC"/>
    <w:rsid w:val="006D3EF7"/>
    <w:rsid w:val="006D5E99"/>
    <w:rsid w:val="006F7393"/>
    <w:rsid w:val="00700379"/>
    <w:rsid w:val="0070224F"/>
    <w:rsid w:val="007115F7"/>
    <w:rsid w:val="00732EF0"/>
    <w:rsid w:val="00735D56"/>
    <w:rsid w:val="00775F93"/>
    <w:rsid w:val="00777A5D"/>
    <w:rsid w:val="00784AC6"/>
    <w:rsid w:val="00785689"/>
    <w:rsid w:val="007969DC"/>
    <w:rsid w:val="0079735A"/>
    <w:rsid w:val="0079754B"/>
    <w:rsid w:val="007A1E6D"/>
    <w:rsid w:val="007B0EB2"/>
    <w:rsid w:val="007C282F"/>
    <w:rsid w:val="007C6F71"/>
    <w:rsid w:val="007D390D"/>
    <w:rsid w:val="007D4809"/>
    <w:rsid w:val="007D4E16"/>
    <w:rsid w:val="007E0472"/>
    <w:rsid w:val="007E52B3"/>
    <w:rsid w:val="007F1DAF"/>
    <w:rsid w:val="0080377C"/>
    <w:rsid w:val="00803E7D"/>
    <w:rsid w:val="00806F4F"/>
    <w:rsid w:val="008071FB"/>
    <w:rsid w:val="00810B6F"/>
    <w:rsid w:val="0082277D"/>
    <w:rsid w:val="00822C51"/>
    <w:rsid w:val="00822CE0"/>
    <w:rsid w:val="00841AB1"/>
    <w:rsid w:val="0085590D"/>
    <w:rsid w:val="00870A7B"/>
    <w:rsid w:val="00871D85"/>
    <w:rsid w:val="008729A9"/>
    <w:rsid w:val="00882459"/>
    <w:rsid w:val="00897AE5"/>
    <w:rsid w:val="008C19AE"/>
    <w:rsid w:val="008C68F1"/>
    <w:rsid w:val="008D040B"/>
    <w:rsid w:val="008E3369"/>
    <w:rsid w:val="008E38CC"/>
    <w:rsid w:val="008E432B"/>
    <w:rsid w:val="008F05EC"/>
    <w:rsid w:val="008F0C61"/>
    <w:rsid w:val="008F4095"/>
    <w:rsid w:val="00902388"/>
    <w:rsid w:val="00903F76"/>
    <w:rsid w:val="00910925"/>
    <w:rsid w:val="00916E1F"/>
    <w:rsid w:val="0092099C"/>
    <w:rsid w:val="00921803"/>
    <w:rsid w:val="00923507"/>
    <w:rsid w:val="00926503"/>
    <w:rsid w:val="00940E38"/>
    <w:rsid w:val="00947900"/>
    <w:rsid w:val="00950BD9"/>
    <w:rsid w:val="00964B41"/>
    <w:rsid w:val="009726D8"/>
    <w:rsid w:val="0097513A"/>
    <w:rsid w:val="00975AFD"/>
    <w:rsid w:val="00976C09"/>
    <w:rsid w:val="009825C4"/>
    <w:rsid w:val="00985A05"/>
    <w:rsid w:val="009A036B"/>
    <w:rsid w:val="009C128F"/>
    <w:rsid w:val="009C31BA"/>
    <w:rsid w:val="009D0D62"/>
    <w:rsid w:val="009D62C4"/>
    <w:rsid w:val="009E31AD"/>
    <w:rsid w:val="009E33A3"/>
    <w:rsid w:val="009F1A2A"/>
    <w:rsid w:val="009F5167"/>
    <w:rsid w:val="009F76DB"/>
    <w:rsid w:val="00A10E13"/>
    <w:rsid w:val="00A11F8F"/>
    <w:rsid w:val="00A3098B"/>
    <w:rsid w:val="00A32C3B"/>
    <w:rsid w:val="00A446FA"/>
    <w:rsid w:val="00A45F4F"/>
    <w:rsid w:val="00A57070"/>
    <w:rsid w:val="00A573C8"/>
    <w:rsid w:val="00A600A9"/>
    <w:rsid w:val="00A67DC7"/>
    <w:rsid w:val="00A82649"/>
    <w:rsid w:val="00AA0073"/>
    <w:rsid w:val="00AA2806"/>
    <w:rsid w:val="00AA55B7"/>
    <w:rsid w:val="00AA5B9E"/>
    <w:rsid w:val="00AB2407"/>
    <w:rsid w:val="00AB53DF"/>
    <w:rsid w:val="00AB6524"/>
    <w:rsid w:val="00AC0BB0"/>
    <w:rsid w:val="00AD17B3"/>
    <w:rsid w:val="00AD2A9B"/>
    <w:rsid w:val="00AD63AD"/>
    <w:rsid w:val="00AD6DFD"/>
    <w:rsid w:val="00AF1C98"/>
    <w:rsid w:val="00B0108A"/>
    <w:rsid w:val="00B02243"/>
    <w:rsid w:val="00B04C80"/>
    <w:rsid w:val="00B05D37"/>
    <w:rsid w:val="00B07E5C"/>
    <w:rsid w:val="00B10C3C"/>
    <w:rsid w:val="00B16E48"/>
    <w:rsid w:val="00B26C42"/>
    <w:rsid w:val="00B2703B"/>
    <w:rsid w:val="00B4422B"/>
    <w:rsid w:val="00B513A4"/>
    <w:rsid w:val="00B51973"/>
    <w:rsid w:val="00B811F7"/>
    <w:rsid w:val="00B82B47"/>
    <w:rsid w:val="00B869CC"/>
    <w:rsid w:val="00B86A3D"/>
    <w:rsid w:val="00B91F40"/>
    <w:rsid w:val="00B929A6"/>
    <w:rsid w:val="00B93BC3"/>
    <w:rsid w:val="00BA5DC6"/>
    <w:rsid w:val="00BA6196"/>
    <w:rsid w:val="00BB730C"/>
    <w:rsid w:val="00BB7F14"/>
    <w:rsid w:val="00BC6D8C"/>
    <w:rsid w:val="00BD4778"/>
    <w:rsid w:val="00BD47D3"/>
    <w:rsid w:val="00BD5B9B"/>
    <w:rsid w:val="00BD6512"/>
    <w:rsid w:val="00BD7658"/>
    <w:rsid w:val="00BF4D66"/>
    <w:rsid w:val="00C129D6"/>
    <w:rsid w:val="00C34006"/>
    <w:rsid w:val="00C3450A"/>
    <w:rsid w:val="00C426B1"/>
    <w:rsid w:val="00C47753"/>
    <w:rsid w:val="00C5574C"/>
    <w:rsid w:val="00C60606"/>
    <w:rsid w:val="00C622B3"/>
    <w:rsid w:val="00C65838"/>
    <w:rsid w:val="00C66160"/>
    <w:rsid w:val="00C721AC"/>
    <w:rsid w:val="00C87377"/>
    <w:rsid w:val="00C90D6A"/>
    <w:rsid w:val="00C976B2"/>
    <w:rsid w:val="00CA247E"/>
    <w:rsid w:val="00CA720D"/>
    <w:rsid w:val="00CB3FDD"/>
    <w:rsid w:val="00CC69CB"/>
    <w:rsid w:val="00CC72B6"/>
    <w:rsid w:val="00CC7C49"/>
    <w:rsid w:val="00CD4C43"/>
    <w:rsid w:val="00CE302C"/>
    <w:rsid w:val="00D0218D"/>
    <w:rsid w:val="00D248C1"/>
    <w:rsid w:val="00D25E0E"/>
    <w:rsid w:val="00D25FB5"/>
    <w:rsid w:val="00D354E6"/>
    <w:rsid w:val="00D43B11"/>
    <w:rsid w:val="00D44223"/>
    <w:rsid w:val="00D55FBC"/>
    <w:rsid w:val="00D56354"/>
    <w:rsid w:val="00D6435B"/>
    <w:rsid w:val="00D73CB1"/>
    <w:rsid w:val="00D93210"/>
    <w:rsid w:val="00DA2529"/>
    <w:rsid w:val="00DB130A"/>
    <w:rsid w:val="00DB2EBB"/>
    <w:rsid w:val="00DC10A1"/>
    <w:rsid w:val="00DC655F"/>
    <w:rsid w:val="00DD0B59"/>
    <w:rsid w:val="00DD40AE"/>
    <w:rsid w:val="00DD7042"/>
    <w:rsid w:val="00DD7EBD"/>
    <w:rsid w:val="00DE1BA1"/>
    <w:rsid w:val="00DE42F9"/>
    <w:rsid w:val="00DF00FA"/>
    <w:rsid w:val="00DF0EAA"/>
    <w:rsid w:val="00DF1118"/>
    <w:rsid w:val="00DF1894"/>
    <w:rsid w:val="00DF62B6"/>
    <w:rsid w:val="00DF680E"/>
    <w:rsid w:val="00E01552"/>
    <w:rsid w:val="00E02168"/>
    <w:rsid w:val="00E07225"/>
    <w:rsid w:val="00E16347"/>
    <w:rsid w:val="00E21B7E"/>
    <w:rsid w:val="00E21C4E"/>
    <w:rsid w:val="00E3076A"/>
    <w:rsid w:val="00E47961"/>
    <w:rsid w:val="00E5409F"/>
    <w:rsid w:val="00E61C12"/>
    <w:rsid w:val="00E643D6"/>
    <w:rsid w:val="00E65793"/>
    <w:rsid w:val="00E66062"/>
    <w:rsid w:val="00E67EB2"/>
    <w:rsid w:val="00E77254"/>
    <w:rsid w:val="00E77509"/>
    <w:rsid w:val="00E815C9"/>
    <w:rsid w:val="00E91B59"/>
    <w:rsid w:val="00E94ED0"/>
    <w:rsid w:val="00E9522B"/>
    <w:rsid w:val="00EC5CFB"/>
    <w:rsid w:val="00ED4640"/>
    <w:rsid w:val="00ED7A0D"/>
    <w:rsid w:val="00EE07FA"/>
    <w:rsid w:val="00EE2ABA"/>
    <w:rsid w:val="00EE6488"/>
    <w:rsid w:val="00EF370C"/>
    <w:rsid w:val="00F01240"/>
    <w:rsid w:val="00F021FA"/>
    <w:rsid w:val="00F10A3E"/>
    <w:rsid w:val="00F11CF8"/>
    <w:rsid w:val="00F148C3"/>
    <w:rsid w:val="00F174E3"/>
    <w:rsid w:val="00F2279B"/>
    <w:rsid w:val="00F253ED"/>
    <w:rsid w:val="00F44BF8"/>
    <w:rsid w:val="00F5127B"/>
    <w:rsid w:val="00F57937"/>
    <w:rsid w:val="00F62E97"/>
    <w:rsid w:val="00F64209"/>
    <w:rsid w:val="00F82370"/>
    <w:rsid w:val="00F82B3A"/>
    <w:rsid w:val="00F86D70"/>
    <w:rsid w:val="00F911D1"/>
    <w:rsid w:val="00F933D7"/>
    <w:rsid w:val="00F93BF5"/>
    <w:rsid w:val="00FA018B"/>
    <w:rsid w:val="00FB15E3"/>
    <w:rsid w:val="00FB553B"/>
    <w:rsid w:val="00FB7316"/>
    <w:rsid w:val="00FB7672"/>
    <w:rsid w:val="00FC4F7F"/>
    <w:rsid w:val="00FF0A09"/>
    <w:rsid w:val="2F3FB1A5"/>
    <w:rsid w:val="6081D8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2991303"/>
  <w15:chartTrackingRefBased/>
  <w15:docId w15:val="{E412582A-93E7-4E1F-B37D-A6E6DC0DC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5FB5"/>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link w:val="FootnoteTextChar"/>
    <w:uiPriority w:val="99"/>
    <w:rsid w:val="000E3D42"/>
    <w:pPr>
      <w:spacing w:after="120"/>
    </w:pPr>
  </w:style>
  <w:style w:type="character" w:styleId="FootnoteReference">
    <w:name w:val="footnote reference"/>
    <w:uiPriority w:val="99"/>
    <w:rsid w:val="00A32C3B"/>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paragraph" w:styleId="ListParagraph">
    <w:name w:val="List Paragraph"/>
    <w:basedOn w:val="Normal"/>
    <w:uiPriority w:val="34"/>
    <w:qFormat/>
    <w:rsid w:val="008E3369"/>
    <w:pPr>
      <w:ind w:left="720"/>
      <w:contextualSpacing/>
    </w:pPr>
  </w:style>
  <w:style w:type="character" w:customStyle="1" w:styleId="FootnoteTextChar">
    <w:name w:val="Footnote Text Char"/>
    <w:basedOn w:val="DefaultParagraphFont"/>
    <w:link w:val="FootnoteText"/>
    <w:uiPriority w:val="99"/>
    <w:rsid w:val="0057504F"/>
  </w:style>
  <w:style w:type="paragraph" w:styleId="Revision">
    <w:name w:val="Revision"/>
    <w:hidden/>
    <w:uiPriority w:val="99"/>
    <w:semiHidden/>
    <w:rsid w:val="00AA2806"/>
    <w:rPr>
      <w:snapToGrid w:val="0"/>
      <w:kern w:val="28"/>
      <w:sz w:val="22"/>
    </w:rPr>
  </w:style>
  <w:style w:type="character" w:styleId="CommentReference">
    <w:name w:val="annotation reference"/>
    <w:basedOn w:val="DefaultParagraphFont"/>
    <w:rsid w:val="00AA2806"/>
    <w:rPr>
      <w:sz w:val="16"/>
      <w:szCs w:val="16"/>
    </w:rPr>
  </w:style>
  <w:style w:type="paragraph" w:styleId="CommentText">
    <w:name w:val="annotation text"/>
    <w:basedOn w:val="Normal"/>
    <w:link w:val="CommentTextChar"/>
    <w:rsid w:val="00AA2806"/>
    <w:rPr>
      <w:sz w:val="20"/>
    </w:rPr>
  </w:style>
  <w:style w:type="character" w:customStyle="1" w:styleId="CommentTextChar">
    <w:name w:val="Comment Text Char"/>
    <w:basedOn w:val="DefaultParagraphFont"/>
    <w:link w:val="CommentText"/>
    <w:rsid w:val="00AA2806"/>
    <w:rPr>
      <w:snapToGrid w:val="0"/>
      <w:kern w:val="28"/>
    </w:rPr>
  </w:style>
  <w:style w:type="paragraph" w:styleId="CommentSubject">
    <w:name w:val="annotation subject"/>
    <w:basedOn w:val="CommentText"/>
    <w:next w:val="CommentText"/>
    <w:link w:val="CommentSubjectChar"/>
    <w:rsid w:val="00AA2806"/>
    <w:rPr>
      <w:b/>
      <w:bCs/>
    </w:rPr>
  </w:style>
  <w:style w:type="character" w:customStyle="1" w:styleId="CommentSubjectChar">
    <w:name w:val="Comment Subject Char"/>
    <w:basedOn w:val="CommentTextChar"/>
    <w:link w:val="CommentSubject"/>
    <w:rsid w:val="00AA2806"/>
    <w:rPr>
      <w:b/>
      <w:bCs/>
      <w:snapToGrid w:val="0"/>
      <w:kern w:val="28"/>
    </w:rPr>
  </w:style>
  <w:style w:type="character" w:styleId="UnresolvedMention">
    <w:name w:val="Unresolved Mention"/>
    <w:basedOn w:val="DefaultParagraphFont"/>
    <w:uiPriority w:val="99"/>
    <w:semiHidden/>
    <w:unhideWhenUsed/>
    <w:rsid w:val="00167C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