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RPr="00FF105E" w:rsidP="000776CE" w14:paraId="769EAFEC" w14:textId="6EB5460E">
            <w:pPr>
              <w:jc w:val="center"/>
              <w:rPr>
                <w:i/>
                <w:iCs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221ACC">
              <w:rPr>
                <w:b/>
                <w:bCs/>
                <w:sz w:val="28"/>
                <w:szCs w:val="28"/>
              </w:rPr>
              <w:t xml:space="preserve">Advances </w:t>
            </w:r>
            <w:r w:rsidR="00221ACC">
              <w:rPr>
                <w:b/>
                <w:bCs/>
                <w:sz w:val="28"/>
                <w:szCs w:val="28"/>
              </w:rPr>
              <w:t xml:space="preserve">Transition to All-IP </w:t>
            </w:r>
            <w:r w:rsidR="00221ACC">
              <w:rPr>
                <w:b/>
                <w:bCs/>
                <w:sz w:val="28"/>
                <w:szCs w:val="28"/>
              </w:rPr>
              <w:t>by</w:t>
            </w:r>
            <w:r w:rsidR="00082B98">
              <w:rPr>
                <w:b/>
                <w:bCs/>
                <w:sz w:val="28"/>
                <w:szCs w:val="28"/>
              </w:rPr>
              <w:t xml:space="preserve"> Exploring Updates to </w:t>
            </w:r>
            <w:r w:rsidR="009469FE">
              <w:rPr>
                <w:b/>
                <w:bCs/>
                <w:sz w:val="28"/>
                <w:szCs w:val="28"/>
              </w:rPr>
              <w:t>Intercarrier Compensation Regime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P="00F60AFC" w14:paraId="0D68C818" w14:textId="66D5E206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165E65">
              <w:rPr>
                <w:sz w:val="22"/>
                <w:szCs w:val="22"/>
              </w:rPr>
              <w:t>February 18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>
              <w:rPr>
                <w:sz w:val="22"/>
                <w:szCs w:val="22"/>
              </w:rPr>
              <w:t xml:space="preserve">Today, the </w:t>
            </w:r>
            <w:r w:rsidR="00AB542E">
              <w:rPr>
                <w:sz w:val="22"/>
                <w:szCs w:val="22"/>
              </w:rPr>
              <w:t xml:space="preserve">Federal Communications Commission voted </w:t>
            </w:r>
            <w:r w:rsidR="00C60C93">
              <w:rPr>
                <w:sz w:val="22"/>
                <w:szCs w:val="22"/>
              </w:rPr>
              <w:t xml:space="preserve">on proposals that would explore how to successfully </w:t>
            </w:r>
            <w:r w:rsidR="007C64A1">
              <w:rPr>
                <w:sz w:val="22"/>
                <w:szCs w:val="22"/>
              </w:rPr>
              <w:t>phase</w:t>
            </w:r>
            <w:r w:rsidR="00081DE0">
              <w:rPr>
                <w:sz w:val="22"/>
                <w:szCs w:val="22"/>
              </w:rPr>
              <w:t>-</w:t>
            </w:r>
            <w:r w:rsidR="007C64A1">
              <w:rPr>
                <w:sz w:val="22"/>
                <w:szCs w:val="22"/>
              </w:rPr>
              <w:t>ou</w:t>
            </w:r>
            <w:r w:rsidR="003479EE">
              <w:rPr>
                <w:sz w:val="22"/>
                <w:szCs w:val="22"/>
              </w:rPr>
              <w:t>t</w:t>
            </w:r>
            <w:r w:rsidR="007C64A1">
              <w:rPr>
                <w:sz w:val="22"/>
                <w:szCs w:val="22"/>
              </w:rPr>
              <w:t xml:space="preserve"> </w:t>
            </w:r>
            <w:r w:rsidR="00884EEE">
              <w:rPr>
                <w:sz w:val="22"/>
                <w:szCs w:val="22"/>
              </w:rPr>
              <w:t xml:space="preserve">the </w:t>
            </w:r>
            <w:r w:rsidR="007C64A1">
              <w:rPr>
                <w:sz w:val="22"/>
                <w:szCs w:val="22"/>
              </w:rPr>
              <w:t xml:space="preserve">intercarrier compensation regime for </w:t>
            </w:r>
            <w:r w:rsidR="00630B1C">
              <w:rPr>
                <w:sz w:val="22"/>
                <w:szCs w:val="22"/>
              </w:rPr>
              <w:t xml:space="preserve">voice telecommunications </w:t>
            </w:r>
            <w:r w:rsidR="00E34202">
              <w:rPr>
                <w:sz w:val="22"/>
                <w:szCs w:val="22"/>
              </w:rPr>
              <w:t>providers</w:t>
            </w:r>
            <w:r w:rsidR="007C64A1">
              <w:rPr>
                <w:sz w:val="22"/>
                <w:szCs w:val="22"/>
              </w:rPr>
              <w:t xml:space="preserve">.  This is the latest FCC effort to </w:t>
            </w:r>
            <w:r w:rsidR="008B2330">
              <w:rPr>
                <w:sz w:val="22"/>
                <w:szCs w:val="22"/>
              </w:rPr>
              <w:t xml:space="preserve">move America’s networks to </w:t>
            </w:r>
            <w:r w:rsidR="009B4D23">
              <w:rPr>
                <w:sz w:val="22"/>
                <w:szCs w:val="22"/>
              </w:rPr>
              <w:t>Internet Protocol</w:t>
            </w:r>
            <w:r w:rsidR="007B736C">
              <w:rPr>
                <w:sz w:val="22"/>
                <w:szCs w:val="22"/>
              </w:rPr>
              <w:t xml:space="preserve"> </w:t>
            </w:r>
            <w:r w:rsidR="009B4D23">
              <w:rPr>
                <w:sz w:val="22"/>
                <w:szCs w:val="22"/>
              </w:rPr>
              <w:t>(</w:t>
            </w:r>
            <w:r w:rsidR="008B2330">
              <w:rPr>
                <w:sz w:val="22"/>
                <w:szCs w:val="22"/>
              </w:rPr>
              <w:t>IP</w:t>
            </w:r>
            <w:r w:rsidR="009B4D23">
              <w:rPr>
                <w:sz w:val="22"/>
                <w:szCs w:val="22"/>
              </w:rPr>
              <w:t>)</w:t>
            </w:r>
            <w:r w:rsidR="008B2330">
              <w:rPr>
                <w:sz w:val="22"/>
                <w:szCs w:val="22"/>
              </w:rPr>
              <w:t xml:space="preserve"> technology and address the </w:t>
            </w:r>
            <w:r w:rsidR="00165E65">
              <w:rPr>
                <w:sz w:val="22"/>
                <w:szCs w:val="22"/>
              </w:rPr>
              <w:t>outdated</w:t>
            </w:r>
            <w:r w:rsidRPr="00820F6B" w:rsidR="00131FA8">
              <w:rPr>
                <w:sz w:val="22"/>
                <w:szCs w:val="22"/>
              </w:rPr>
              <w:t xml:space="preserve"> rules that keep Americans on </w:t>
            </w:r>
            <w:r w:rsidR="006B67E7">
              <w:rPr>
                <w:sz w:val="22"/>
                <w:szCs w:val="22"/>
              </w:rPr>
              <w:t>legacy</w:t>
            </w:r>
            <w:r w:rsidR="009B4D23">
              <w:rPr>
                <w:sz w:val="22"/>
                <w:szCs w:val="22"/>
              </w:rPr>
              <w:t xml:space="preserve"> Time-Division Multiplexing</w:t>
            </w:r>
            <w:r w:rsidR="006B67E7">
              <w:rPr>
                <w:sz w:val="22"/>
                <w:szCs w:val="22"/>
              </w:rPr>
              <w:t xml:space="preserve"> </w:t>
            </w:r>
            <w:r w:rsidR="009B4D23">
              <w:rPr>
                <w:sz w:val="22"/>
                <w:szCs w:val="22"/>
              </w:rPr>
              <w:t>(</w:t>
            </w:r>
            <w:r w:rsidR="004561ED">
              <w:rPr>
                <w:sz w:val="22"/>
                <w:szCs w:val="22"/>
              </w:rPr>
              <w:t>TDM</w:t>
            </w:r>
            <w:r w:rsidR="009B4D23">
              <w:rPr>
                <w:sz w:val="22"/>
                <w:szCs w:val="22"/>
              </w:rPr>
              <w:t>)</w:t>
            </w:r>
            <w:r w:rsidR="004561ED">
              <w:rPr>
                <w:sz w:val="22"/>
                <w:szCs w:val="22"/>
              </w:rPr>
              <w:t xml:space="preserve"> </w:t>
            </w:r>
            <w:r w:rsidR="006B67E7">
              <w:rPr>
                <w:sz w:val="22"/>
                <w:szCs w:val="22"/>
              </w:rPr>
              <w:t>technology</w:t>
            </w:r>
            <w:r w:rsidR="00131FA8">
              <w:rPr>
                <w:sz w:val="22"/>
                <w:szCs w:val="22"/>
              </w:rPr>
              <w:t>.</w:t>
            </w:r>
          </w:p>
          <w:p w:rsidR="00165E65" w:rsidP="00F60AFC" w14:paraId="4CB1E664" w14:textId="77777777">
            <w:pPr>
              <w:ind w:right="-77"/>
              <w:rPr>
                <w:sz w:val="22"/>
                <w:szCs w:val="22"/>
              </w:rPr>
            </w:pPr>
          </w:p>
          <w:p w:rsidR="00165E65" w:rsidRPr="00F60AFC" w:rsidP="00F60AFC" w14:paraId="3D6CE2EF" w14:textId="643264A4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While IP-based network technology </w:t>
            </w:r>
            <w:r w:rsidR="00E03591">
              <w:rPr>
                <w:sz w:val="22"/>
                <w:szCs w:val="22"/>
              </w:rPr>
              <w:t xml:space="preserve">has been widely </w:t>
            </w:r>
            <w:r w:rsidR="008D335C">
              <w:rPr>
                <w:sz w:val="22"/>
                <w:szCs w:val="22"/>
              </w:rPr>
              <w:t>deployed</w:t>
            </w:r>
            <w:r w:rsidR="00E03591">
              <w:rPr>
                <w:sz w:val="22"/>
                <w:szCs w:val="22"/>
              </w:rPr>
              <w:t xml:space="preserve">, </w:t>
            </w:r>
            <w:r w:rsidR="0036494B">
              <w:rPr>
                <w:sz w:val="22"/>
                <w:szCs w:val="22"/>
              </w:rPr>
              <w:t xml:space="preserve">some providers continue to </w:t>
            </w:r>
            <w:r w:rsidR="00632F6A">
              <w:rPr>
                <w:sz w:val="22"/>
                <w:szCs w:val="22"/>
              </w:rPr>
              <w:t>maintain</w:t>
            </w:r>
            <w:r w:rsidR="0036494B">
              <w:rPr>
                <w:sz w:val="22"/>
                <w:szCs w:val="22"/>
              </w:rPr>
              <w:t xml:space="preserve"> older </w:t>
            </w:r>
            <w:r w:rsidR="00B7361F">
              <w:rPr>
                <w:sz w:val="22"/>
                <w:szCs w:val="22"/>
              </w:rPr>
              <w:t>TDM</w:t>
            </w:r>
            <w:r w:rsidR="00632F6A">
              <w:rPr>
                <w:sz w:val="22"/>
                <w:szCs w:val="22"/>
              </w:rPr>
              <w:t>-based</w:t>
            </w:r>
            <w:r w:rsidR="00B7361F">
              <w:rPr>
                <w:sz w:val="22"/>
                <w:szCs w:val="22"/>
              </w:rPr>
              <w:t xml:space="preserve"> </w:t>
            </w:r>
            <w:r w:rsidR="00632F6A">
              <w:rPr>
                <w:sz w:val="22"/>
                <w:szCs w:val="22"/>
              </w:rPr>
              <w:t>networks</w:t>
            </w:r>
            <w:r w:rsidR="00B7361F">
              <w:rPr>
                <w:sz w:val="22"/>
                <w:szCs w:val="22"/>
              </w:rPr>
              <w:t xml:space="preserve">, in part due to </w:t>
            </w:r>
            <w:r w:rsidR="00ED543C">
              <w:rPr>
                <w:sz w:val="22"/>
                <w:szCs w:val="22"/>
              </w:rPr>
              <w:t xml:space="preserve">outdated </w:t>
            </w:r>
            <w:r w:rsidR="00B7361F">
              <w:rPr>
                <w:sz w:val="22"/>
                <w:szCs w:val="22"/>
              </w:rPr>
              <w:t xml:space="preserve">regulatory regimes which, decades ago, successfully sought to </w:t>
            </w:r>
            <w:r w:rsidR="00603854">
              <w:rPr>
                <w:sz w:val="22"/>
                <w:szCs w:val="22"/>
              </w:rPr>
              <w:t xml:space="preserve">incentivize the buildout of </w:t>
            </w:r>
            <w:r w:rsidR="001376E1">
              <w:rPr>
                <w:sz w:val="22"/>
                <w:szCs w:val="22"/>
              </w:rPr>
              <w:t>tele</w:t>
            </w:r>
            <w:r w:rsidR="00603854">
              <w:rPr>
                <w:sz w:val="22"/>
                <w:szCs w:val="22"/>
              </w:rPr>
              <w:t xml:space="preserve">phone networks but, today, too often disincentivize network modernization.  </w:t>
            </w:r>
            <w:r w:rsidRPr="00165E65">
              <w:rPr>
                <w:sz w:val="22"/>
                <w:szCs w:val="22"/>
              </w:rPr>
              <w:t>C</w:t>
            </w:r>
            <w:r w:rsidRPr="00165E65">
              <w:rPr>
                <w:sz w:val="22"/>
                <w:szCs w:val="22"/>
              </w:rPr>
              <w:t>ompleting the transition to IP</w:t>
            </w:r>
            <w:r w:rsidR="009B4D23">
              <w:rPr>
                <w:sz w:val="22"/>
                <w:szCs w:val="22"/>
              </w:rPr>
              <w:t>-based networks</w:t>
            </w:r>
            <w:r w:rsidRPr="00165E65">
              <w:rPr>
                <w:sz w:val="22"/>
                <w:szCs w:val="22"/>
              </w:rPr>
              <w:t xml:space="preserve"> will promote technological modernization</w:t>
            </w:r>
            <w:r w:rsidR="007F7A73">
              <w:rPr>
                <w:sz w:val="22"/>
                <w:szCs w:val="22"/>
              </w:rPr>
              <w:t xml:space="preserve">, </w:t>
            </w:r>
            <w:r w:rsidRPr="00165E65">
              <w:rPr>
                <w:sz w:val="22"/>
                <w:szCs w:val="22"/>
              </w:rPr>
              <w:t>public safety</w:t>
            </w:r>
            <w:r w:rsidR="007F7A73">
              <w:rPr>
                <w:sz w:val="22"/>
                <w:szCs w:val="22"/>
              </w:rPr>
              <w:t>,</w:t>
            </w:r>
            <w:r w:rsidRPr="00165E65">
              <w:rPr>
                <w:sz w:val="22"/>
                <w:szCs w:val="22"/>
              </w:rPr>
              <w:t xml:space="preserve"> and consumer protection benefits</w:t>
            </w:r>
            <w:r w:rsidR="007F7A73">
              <w:rPr>
                <w:sz w:val="22"/>
                <w:szCs w:val="22"/>
              </w:rPr>
              <w:t xml:space="preserve"> while</w:t>
            </w:r>
            <w:r w:rsidRPr="00165E65">
              <w:rPr>
                <w:sz w:val="22"/>
                <w:szCs w:val="22"/>
              </w:rPr>
              <w:t xml:space="preserve"> enhanc</w:t>
            </w:r>
            <w:r w:rsidR="007F7A73">
              <w:rPr>
                <w:sz w:val="22"/>
                <w:szCs w:val="22"/>
              </w:rPr>
              <w:t>ing</w:t>
            </w:r>
            <w:r w:rsidRPr="00165E65">
              <w:rPr>
                <w:sz w:val="22"/>
                <w:szCs w:val="22"/>
              </w:rPr>
              <w:t xml:space="preserve"> long-term competition and service quality for consumers</w:t>
            </w:r>
            <w:r w:rsidRPr="00165E65">
              <w:rPr>
                <w:sz w:val="22"/>
                <w:szCs w:val="22"/>
              </w:rPr>
              <w:t xml:space="preserve"> and </w:t>
            </w:r>
            <w:r w:rsidR="00C80EC2">
              <w:rPr>
                <w:sz w:val="22"/>
                <w:szCs w:val="22"/>
              </w:rPr>
              <w:t>lowering operating</w:t>
            </w:r>
            <w:r w:rsidRPr="00165E65">
              <w:rPr>
                <w:sz w:val="22"/>
                <w:szCs w:val="22"/>
              </w:rPr>
              <w:t xml:space="preserve"> expenses for </w:t>
            </w:r>
            <w:r w:rsidRPr="00165E65">
              <w:rPr>
                <w:sz w:val="22"/>
                <w:szCs w:val="22"/>
              </w:rPr>
              <w:t>providers</w:t>
            </w:r>
            <w:r w:rsidRPr="00165E65">
              <w:rPr>
                <w:sz w:val="22"/>
                <w:szCs w:val="22"/>
              </w:rPr>
              <w:t>.</w:t>
            </w:r>
          </w:p>
          <w:p w:rsidR="00F60AFC" w:rsidRPr="00820F6B" w:rsidP="00F60AFC" w14:paraId="453C0F56" w14:textId="54FC38F3">
            <w:pPr>
              <w:ind w:right="-77"/>
              <w:rPr>
                <w:sz w:val="22"/>
                <w:szCs w:val="22"/>
              </w:rPr>
            </w:pPr>
          </w:p>
          <w:p w:rsidR="0099543C" w:rsidP="00BD561D" w14:paraId="55E05E6E" w14:textId="260548DF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FCC is working to</w:t>
            </w:r>
            <w:r w:rsidR="00A965C0">
              <w:rPr>
                <w:sz w:val="22"/>
                <w:szCs w:val="22"/>
              </w:rPr>
              <w:t xml:space="preserve"> thoughtfully</w:t>
            </w:r>
            <w:r>
              <w:rPr>
                <w:sz w:val="22"/>
                <w:szCs w:val="22"/>
              </w:rPr>
              <w:t xml:space="preserve"> create</w:t>
            </w:r>
            <w:r w:rsidRPr="00820F6B" w:rsidR="00820F6B">
              <w:rPr>
                <w:sz w:val="22"/>
                <w:szCs w:val="22"/>
              </w:rPr>
              <w:t xml:space="preserve"> the right incentives for providers to </w:t>
            </w:r>
            <w:r w:rsidRPr="00820F6B" w:rsidR="00617BEC">
              <w:rPr>
                <w:sz w:val="22"/>
                <w:szCs w:val="22"/>
              </w:rPr>
              <w:t>up</w:t>
            </w:r>
            <w:r w:rsidR="00617BEC">
              <w:rPr>
                <w:sz w:val="22"/>
                <w:szCs w:val="22"/>
              </w:rPr>
              <w:t>grade</w:t>
            </w:r>
            <w:r w:rsidRPr="00820F6B" w:rsidR="00617BEC">
              <w:rPr>
                <w:sz w:val="22"/>
                <w:szCs w:val="22"/>
              </w:rPr>
              <w:t xml:space="preserve"> </w:t>
            </w:r>
            <w:r w:rsidRPr="00820F6B" w:rsidR="00820F6B">
              <w:rPr>
                <w:sz w:val="22"/>
                <w:szCs w:val="22"/>
              </w:rPr>
              <w:t xml:space="preserve">to modern, high-speed </w:t>
            </w:r>
            <w:r w:rsidR="005C7C03">
              <w:rPr>
                <w:sz w:val="22"/>
                <w:szCs w:val="22"/>
              </w:rPr>
              <w:t>networks</w:t>
            </w:r>
            <w:r w:rsidRPr="00820F6B" w:rsidR="00820F6B">
              <w:rPr>
                <w:sz w:val="22"/>
                <w:szCs w:val="22"/>
              </w:rPr>
              <w:t xml:space="preserve">.  </w:t>
            </w:r>
            <w:r w:rsidR="008C4474">
              <w:rPr>
                <w:sz w:val="22"/>
                <w:szCs w:val="22"/>
              </w:rPr>
              <w:t>A</w:t>
            </w:r>
            <w:r w:rsidR="002612D2">
              <w:rPr>
                <w:sz w:val="22"/>
                <w:szCs w:val="22"/>
              </w:rPr>
              <w:t xml:space="preserve">s part of that effort, </w:t>
            </w:r>
            <w:r w:rsidR="00D61DF5">
              <w:rPr>
                <w:sz w:val="22"/>
                <w:szCs w:val="22"/>
              </w:rPr>
              <w:t>the agency</w:t>
            </w:r>
            <w:r w:rsidR="002612D2">
              <w:rPr>
                <w:sz w:val="22"/>
                <w:szCs w:val="22"/>
              </w:rPr>
              <w:t xml:space="preserve"> seeks</w:t>
            </w:r>
            <w:r w:rsidR="00D61DF5">
              <w:rPr>
                <w:sz w:val="22"/>
                <w:szCs w:val="22"/>
              </w:rPr>
              <w:t xml:space="preserve"> t</w:t>
            </w:r>
            <w:r w:rsidR="002612D2">
              <w:rPr>
                <w:sz w:val="22"/>
                <w:szCs w:val="22"/>
              </w:rPr>
              <w:t>o</w:t>
            </w:r>
            <w:r w:rsidR="00D61DF5">
              <w:rPr>
                <w:sz w:val="22"/>
                <w:szCs w:val="22"/>
              </w:rPr>
              <w:t xml:space="preserve"> </w:t>
            </w:r>
            <w:r w:rsidRPr="00820F6B" w:rsidR="00820F6B">
              <w:rPr>
                <w:sz w:val="22"/>
                <w:szCs w:val="22"/>
              </w:rPr>
              <w:t xml:space="preserve">eliminate </w:t>
            </w:r>
            <w:r w:rsidR="002612D2">
              <w:rPr>
                <w:sz w:val="22"/>
                <w:szCs w:val="22"/>
              </w:rPr>
              <w:t xml:space="preserve">intercarrier compensation </w:t>
            </w:r>
            <w:r w:rsidR="00C27F1C">
              <w:rPr>
                <w:sz w:val="22"/>
                <w:szCs w:val="22"/>
              </w:rPr>
              <w:t xml:space="preserve">regulations </w:t>
            </w:r>
            <w:r w:rsidRPr="00820F6B" w:rsidR="00820F6B">
              <w:rPr>
                <w:sz w:val="22"/>
                <w:szCs w:val="22"/>
              </w:rPr>
              <w:t xml:space="preserve">that </w:t>
            </w:r>
            <w:r w:rsidR="00DB7056">
              <w:rPr>
                <w:sz w:val="22"/>
                <w:szCs w:val="22"/>
              </w:rPr>
              <w:t xml:space="preserve">may </w:t>
            </w:r>
            <w:r w:rsidR="00943559">
              <w:rPr>
                <w:sz w:val="22"/>
                <w:szCs w:val="22"/>
              </w:rPr>
              <w:t xml:space="preserve">encourage </w:t>
            </w:r>
            <w:r w:rsidR="00355128">
              <w:rPr>
                <w:sz w:val="22"/>
                <w:szCs w:val="22"/>
              </w:rPr>
              <w:t xml:space="preserve">providers to continue </w:t>
            </w:r>
            <w:r w:rsidR="0072269C">
              <w:rPr>
                <w:sz w:val="22"/>
                <w:szCs w:val="22"/>
              </w:rPr>
              <w:t>us</w:t>
            </w:r>
            <w:r w:rsidR="005C5E63">
              <w:rPr>
                <w:sz w:val="22"/>
                <w:szCs w:val="22"/>
              </w:rPr>
              <w:t>ing</w:t>
            </w:r>
            <w:r w:rsidR="001F7401">
              <w:rPr>
                <w:sz w:val="22"/>
                <w:szCs w:val="22"/>
              </w:rPr>
              <w:t xml:space="preserve"> </w:t>
            </w:r>
            <w:r w:rsidR="00553D0C">
              <w:rPr>
                <w:sz w:val="22"/>
                <w:szCs w:val="22"/>
              </w:rPr>
              <w:t xml:space="preserve">TDM </w:t>
            </w:r>
            <w:r w:rsidR="00D61DF5">
              <w:rPr>
                <w:sz w:val="22"/>
                <w:szCs w:val="22"/>
              </w:rPr>
              <w:t>networks</w:t>
            </w:r>
            <w:r w:rsidRPr="00820F6B" w:rsidR="00820F6B">
              <w:rPr>
                <w:sz w:val="22"/>
                <w:szCs w:val="22"/>
              </w:rPr>
              <w:t xml:space="preserve">. </w:t>
            </w:r>
            <w:r w:rsidR="00BD5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Notice of Proposed Rulemaking adopted today will </w:t>
            </w:r>
            <w:r w:rsidR="00F47912">
              <w:rPr>
                <w:sz w:val="22"/>
                <w:szCs w:val="22"/>
              </w:rPr>
              <w:t>begin</w:t>
            </w:r>
            <w:r>
              <w:rPr>
                <w:sz w:val="22"/>
                <w:szCs w:val="22"/>
              </w:rPr>
              <w:t xml:space="preserve"> a thorough review of the intercarrier compensation rules</w:t>
            </w:r>
            <w:r w:rsidR="00632F6A">
              <w:rPr>
                <w:sz w:val="22"/>
                <w:szCs w:val="22"/>
              </w:rPr>
              <w:t>, proposing to sunset</w:t>
            </w:r>
            <w:r>
              <w:rPr>
                <w:sz w:val="22"/>
                <w:szCs w:val="22"/>
              </w:rPr>
              <w:t xml:space="preserve"> </w:t>
            </w:r>
            <w:r w:rsidR="00334352">
              <w:rPr>
                <w:sz w:val="22"/>
                <w:szCs w:val="22"/>
              </w:rPr>
              <w:t xml:space="preserve">any </w:t>
            </w:r>
            <w:r w:rsidR="001247F5">
              <w:rPr>
                <w:sz w:val="22"/>
                <w:szCs w:val="22"/>
              </w:rPr>
              <w:t>outdated</w:t>
            </w:r>
            <w:r w:rsidR="00334352">
              <w:rPr>
                <w:sz w:val="22"/>
                <w:szCs w:val="22"/>
              </w:rPr>
              <w:t xml:space="preserve"> regulation</w:t>
            </w:r>
            <w:r w:rsidR="00632F6A">
              <w:rPr>
                <w:sz w:val="22"/>
                <w:szCs w:val="22"/>
              </w:rPr>
              <w:t>s</w:t>
            </w:r>
            <w:r w:rsidR="00334352">
              <w:rPr>
                <w:sz w:val="22"/>
                <w:szCs w:val="22"/>
              </w:rPr>
              <w:t xml:space="preserve"> </w:t>
            </w:r>
            <w:r w:rsidR="001C3CD3">
              <w:rPr>
                <w:sz w:val="22"/>
                <w:szCs w:val="22"/>
              </w:rPr>
              <w:t xml:space="preserve">while </w:t>
            </w:r>
            <w:r w:rsidR="004C11B3">
              <w:rPr>
                <w:sz w:val="22"/>
                <w:szCs w:val="22"/>
              </w:rPr>
              <w:t xml:space="preserve">being </w:t>
            </w:r>
            <w:r w:rsidRPr="0099543C">
              <w:rPr>
                <w:sz w:val="22"/>
                <w:szCs w:val="22"/>
              </w:rPr>
              <w:t>mindful of the complex issues, transition timelines, and paramount connectivity goals.</w:t>
            </w:r>
            <w:r w:rsidR="00F15AAB">
              <w:rPr>
                <w:sz w:val="22"/>
                <w:szCs w:val="22"/>
              </w:rPr>
              <w:t xml:space="preserve">  </w:t>
            </w:r>
            <w:r w:rsidR="00606A7D">
              <w:rPr>
                <w:sz w:val="22"/>
                <w:szCs w:val="22"/>
              </w:rPr>
              <w:t>It</w:t>
            </w:r>
            <w:r w:rsidR="00606A7D">
              <w:rPr>
                <w:sz w:val="22"/>
                <w:szCs w:val="22"/>
              </w:rPr>
              <w:t xml:space="preserve"> </w:t>
            </w:r>
            <w:r w:rsidRPr="00F15AAB" w:rsidR="00F15AAB">
              <w:rPr>
                <w:sz w:val="22"/>
                <w:szCs w:val="22"/>
              </w:rPr>
              <w:t>build</w:t>
            </w:r>
            <w:r w:rsidR="00606A7D">
              <w:rPr>
                <w:sz w:val="22"/>
                <w:szCs w:val="22"/>
              </w:rPr>
              <w:t>s</w:t>
            </w:r>
            <w:r w:rsidRPr="00F15AAB" w:rsidR="00F15AAB">
              <w:rPr>
                <w:sz w:val="22"/>
                <w:szCs w:val="22"/>
              </w:rPr>
              <w:t xml:space="preserve"> upon the Commission’s longstanding efforts to reform the legacy intercarrier compensation framework</w:t>
            </w:r>
            <w:r w:rsidR="001723A1">
              <w:rPr>
                <w:sz w:val="22"/>
                <w:szCs w:val="22"/>
              </w:rPr>
              <w:t xml:space="preserve"> </w:t>
            </w:r>
            <w:r w:rsidR="00190424">
              <w:rPr>
                <w:sz w:val="22"/>
                <w:szCs w:val="22"/>
              </w:rPr>
              <w:t>as part of its</w:t>
            </w:r>
            <w:r w:rsidR="00E0160D">
              <w:rPr>
                <w:sz w:val="22"/>
                <w:szCs w:val="22"/>
              </w:rPr>
              <w:t xml:space="preserve"> broader</w:t>
            </w:r>
            <w:r w:rsidR="00190424">
              <w:rPr>
                <w:sz w:val="22"/>
                <w:szCs w:val="22"/>
              </w:rPr>
              <w:t xml:space="preserve"> </w:t>
            </w:r>
            <w:r w:rsidR="005F537A">
              <w:rPr>
                <w:sz w:val="22"/>
                <w:szCs w:val="22"/>
              </w:rPr>
              <w:t>g</w:t>
            </w:r>
            <w:r w:rsidR="00D36ABE">
              <w:rPr>
                <w:sz w:val="22"/>
                <w:szCs w:val="22"/>
              </w:rPr>
              <w:t>oal</w:t>
            </w:r>
            <w:r w:rsidR="00190424">
              <w:rPr>
                <w:sz w:val="22"/>
                <w:szCs w:val="22"/>
              </w:rPr>
              <w:t xml:space="preserve"> </w:t>
            </w:r>
            <w:r w:rsidR="0068541D">
              <w:rPr>
                <w:sz w:val="22"/>
                <w:szCs w:val="22"/>
              </w:rPr>
              <w:t xml:space="preserve">to </w:t>
            </w:r>
            <w:r w:rsidRPr="00C8374F" w:rsidR="00C8374F">
              <w:rPr>
                <w:sz w:val="22"/>
                <w:szCs w:val="22"/>
              </w:rPr>
              <w:t xml:space="preserve">transition networks to more efficient all-IP </w:t>
            </w:r>
            <w:r w:rsidR="001247F5">
              <w:rPr>
                <w:sz w:val="22"/>
                <w:szCs w:val="22"/>
              </w:rPr>
              <w:t>technology</w:t>
            </w:r>
            <w:r w:rsidR="0064227C">
              <w:rPr>
                <w:sz w:val="22"/>
                <w:szCs w:val="22"/>
              </w:rPr>
              <w:t>.  Specifically, the Notice proposes</w:t>
            </w:r>
            <w:r w:rsidR="008104B0">
              <w:rPr>
                <w:sz w:val="22"/>
                <w:szCs w:val="22"/>
              </w:rPr>
              <w:t xml:space="preserve"> to </w:t>
            </w:r>
            <w:r w:rsidR="00790B1F">
              <w:rPr>
                <w:sz w:val="22"/>
                <w:szCs w:val="22"/>
              </w:rPr>
              <w:t xml:space="preserve">complete the </w:t>
            </w:r>
            <w:r w:rsidRPr="00C8374F" w:rsidR="00C8374F">
              <w:rPr>
                <w:sz w:val="22"/>
                <w:szCs w:val="22"/>
              </w:rPr>
              <w:t xml:space="preserve">transition </w:t>
            </w:r>
            <w:r w:rsidR="00790B1F">
              <w:rPr>
                <w:sz w:val="22"/>
                <w:szCs w:val="22"/>
              </w:rPr>
              <w:t>of</w:t>
            </w:r>
            <w:r w:rsidRPr="00C8374F" w:rsidR="00C8374F">
              <w:rPr>
                <w:sz w:val="22"/>
                <w:szCs w:val="22"/>
              </w:rPr>
              <w:t xml:space="preserve"> </w:t>
            </w:r>
            <w:r w:rsidR="00BE4656">
              <w:rPr>
                <w:sz w:val="22"/>
                <w:szCs w:val="22"/>
              </w:rPr>
              <w:t>all</w:t>
            </w:r>
            <w:r w:rsidRPr="00C8374F" w:rsidR="00C8374F">
              <w:rPr>
                <w:sz w:val="22"/>
                <w:szCs w:val="22"/>
              </w:rPr>
              <w:t xml:space="preserve"> remaining access charges to bill-and-keep,</w:t>
            </w:r>
            <w:r w:rsidR="001247F5">
              <w:rPr>
                <w:sz w:val="22"/>
                <w:szCs w:val="22"/>
              </w:rPr>
              <w:t xml:space="preserve"> </w:t>
            </w:r>
            <w:r w:rsidR="006F6708">
              <w:rPr>
                <w:sz w:val="22"/>
                <w:szCs w:val="22"/>
              </w:rPr>
              <w:t xml:space="preserve">seeks comment on any cost recovery needed to accomplish this goal, </w:t>
            </w:r>
            <w:r w:rsidR="00EF36D4">
              <w:rPr>
                <w:sz w:val="22"/>
                <w:szCs w:val="22"/>
              </w:rPr>
              <w:t>further proposes</w:t>
            </w:r>
            <w:r w:rsidR="006F6708">
              <w:rPr>
                <w:sz w:val="22"/>
                <w:szCs w:val="22"/>
              </w:rPr>
              <w:t xml:space="preserve"> </w:t>
            </w:r>
            <w:r w:rsidRPr="00C8374F" w:rsidR="00C8374F">
              <w:rPr>
                <w:sz w:val="22"/>
                <w:szCs w:val="22"/>
              </w:rPr>
              <w:t>detariffing those charges, and deregulating and detariffing end-user charges</w:t>
            </w:r>
            <w:r w:rsidR="008D3EE9">
              <w:rPr>
                <w:sz w:val="22"/>
                <w:szCs w:val="22"/>
              </w:rPr>
              <w:t xml:space="preserve"> and interexchange services</w:t>
            </w:r>
            <w:r w:rsidR="001F13A2">
              <w:rPr>
                <w:sz w:val="22"/>
                <w:szCs w:val="22"/>
              </w:rPr>
              <w:t>,</w:t>
            </w:r>
            <w:r w:rsidR="008D3EE9">
              <w:rPr>
                <w:sz w:val="22"/>
                <w:szCs w:val="22"/>
              </w:rPr>
              <w:t xml:space="preserve"> </w:t>
            </w:r>
            <w:r w:rsidR="001F13A2">
              <w:rPr>
                <w:sz w:val="22"/>
                <w:szCs w:val="22"/>
              </w:rPr>
              <w:t>among other reforms</w:t>
            </w:r>
            <w:r w:rsidRPr="00C8374F" w:rsidR="00C8374F">
              <w:rPr>
                <w:sz w:val="22"/>
                <w:szCs w:val="22"/>
              </w:rPr>
              <w:t>.</w:t>
            </w:r>
            <w:r w:rsidR="00286FBE">
              <w:rPr>
                <w:sz w:val="22"/>
                <w:szCs w:val="22"/>
              </w:rPr>
              <w:t xml:space="preserve"> </w:t>
            </w:r>
            <w:r w:rsidR="0059110B">
              <w:rPr>
                <w:sz w:val="22"/>
                <w:szCs w:val="22"/>
              </w:rPr>
              <w:t xml:space="preserve"> </w:t>
            </w:r>
            <w:r w:rsidR="00CB3FCB">
              <w:rPr>
                <w:sz w:val="22"/>
                <w:szCs w:val="22"/>
              </w:rPr>
              <w:t xml:space="preserve">Recognizing the </w:t>
            </w:r>
            <w:r w:rsidRPr="00BA5166" w:rsidR="00CB3FCB">
              <w:rPr>
                <w:sz w:val="22"/>
                <w:szCs w:val="22"/>
              </w:rPr>
              <w:t>importance of industry collaboration and input</w:t>
            </w:r>
            <w:r w:rsidRPr="00BA5166" w:rsidR="00DC6280">
              <w:rPr>
                <w:sz w:val="22"/>
                <w:szCs w:val="22"/>
              </w:rPr>
              <w:t>, t</w:t>
            </w:r>
            <w:r w:rsidR="0059110B">
              <w:rPr>
                <w:sz w:val="22"/>
                <w:szCs w:val="22"/>
              </w:rPr>
              <w:t xml:space="preserve">he </w:t>
            </w:r>
            <w:r w:rsidR="00DC6280">
              <w:rPr>
                <w:sz w:val="22"/>
                <w:szCs w:val="22"/>
              </w:rPr>
              <w:t>N</w:t>
            </w:r>
            <w:r w:rsidR="0059110B">
              <w:rPr>
                <w:sz w:val="22"/>
                <w:szCs w:val="22"/>
              </w:rPr>
              <w:t>otice also</w:t>
            </w:r>
            <w:r w:rsidR="0069123A">
              <w:rPr>
                <w:sz w:val="22"/>
                <w:szCs w:val="22"/>
              </w:rPr>
              <w:t xml:space="preserve"> encourages </w:t>
            </w:r>
            <w:r w:rsidR="009676F8">
              <w:rPr>
                <w:sz w:val="22"/>
                <w:szCs w:val="22"/>
              </w:rPr>
              <w:t xml:space="preserve">industry collaboration to develop </w:t>
            </w:r>
            <w:r w:rsidRPr="00BA5166" w:rsidR="00CB3FCB">
              <w:rPr>
                <w:sz w:val="22"/>
                <w:szCs w:val="22"/>
              </w:rPr>
              <w:t>the most effective and efficient strategies for transitioning carriers to bill-and-keep and all-IP networks</w:t>
            </w:r>
            <w:r w:rsidRPr="00BA5166" w:rsidR="00906FFB">
              <w:rPr>
                <w:sz w:val="22"/>
                <w:szCs w:val="22"/>
              </w:rPr>
              <w:t>.</w:t>
            </w:r>
          </w:p>
          <w:p w:rsidR="0099543C" w:rsidP="00F60AFC" w14:paraId="043D966F" w14:textId="77777777">
            <w:pPr>
              <w:rPr>
                <w:sz w:val="22"/>
                <w:szCs w:val="22"/>
              </w:rPr>
            </w:pPr>
          </w:p>
          <w:p w:rsidR="00D4117B" w:rsidRPr="00D4117B" w:rsidP="00D4117B" w14:paraId="20C2C52F" w14:textId="7BA995EF">
            <w:pPr>
              <w:rPr>
                <w:sz w:val="22"/>
                <w:szCs w:val="22"/>
              </w:rPr>
            </w:pPr>
            <w:r w:rsidRPr="00D4117B">
              <w:rPr>
                <w:sz w:val="22"/>
                <w:szCs w:val="22"/>
              </w:rPr>
              <w:t xml:space="preserve">Action by the Commission February 18, </w:t>
            </w:r>
            <w:r w:rsidRPr="00D4117B">
              <w:rPr>
                <w:sz w:val="22"/>
                <w:szCs w:val="22"/>
              </w:rPr>
              <w:t>2026</w:t>
            </w:r>
            <w:r w:rsidRPr="00D4117B">
              <w:rPr>
                <w:sz w:val="22"/>
                <w:szCs w:val="22"/>
              </w:rPr>
              <w:t xml:space="preserve"> by Notice of Proposed Rulemaking (FCC 26-11).  Chairman Carr</w:t>
            </w:r>
            <w:r>
              <w:rPr>
                <w:sz w:val="22"/>
                <w:szCs w:val="22"/>
              </w:rPr>
              <w:t xml:space="preserve">, </w:t>
            </w:r>
            <w:r w:rsidRPr="00D4117B">
              <w:rPr>
                <w:sz w:val="22"/>
                <w:szCs w:val="22"/>
              </w:rPr>
              <w:t>Commissioners Gomez and Trusty approving.  Chairman Carr</w:t>
            </w:r>
            <w:r w:rsidR="00C34ADD">
              <w:rPr>
                <w:sz w:val="22"/>
                <w:szCs w:val="22"/>
              </w:rPr>
              <w:t xml:space="preserve"> and </w:t>
            </w:r>
            <w:r w:rsidRPr="00D4117B">
              <w:rPr>
                <w:sz w:val="22"/>
                <w:szCs w:val="22"/>
              </w:rPr>
              <w:t>Commissioner issuing separate statements.</w:t>
            </w:r>
          </w:p>
          <w:p w:rsidR="00D4117B" w:rsidRPr="00D4117B" w:rsidP="00D4117B" w14:paraId="6B135C83" w14:textId="77777777">
            <w:pPr>
              <w:rPr>
                <w:sz w:val="22"/>
                <w:szCs w:val="22"/>
              </w:rPr>
            </w:pPr>
          </w:p>
          <w:p w:rsidR="00D4117B" w:rsidP="00D4117B" w14:paraId="196530A4" w14:textId="60D0EF85">
            <w:pPr>
              <w:rPr>
                <w:sz w:val="22"/>
                <w:szCs w:val="22"/>
              </w:rPr>
            </w:pPr>
            <w:r w:rsidRPr="00D4117B">
              <w:rPr>
                <w:sz w:val="22"/>
                <w:szCs w:val="22"/>
              </w:rPr>
              <w:t>WC Docket Nos. 25-311, 25-208</w:t>
            </w:r>
          </w:p>
          <w:p w:rsidR="00D4117B" w:rsidRPr="002E165B" w:rsidP="00D4117B" w14:paraId="407C1F7B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C13A94C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hyperlink r:id="rId5" w:history="1">
              <w:r w:rsidRPr="00831020" w:rsidR="00323F63">
                <w:rPr>
                  <w:rStyle w:val="Hyperlink"/>
                  <w:b/>
                  <w:bCs/>
                  <w:sz w:val="22"/>
                  <w:szCs w:val="22"/>
                </w:rPr>
                <w:t>www.fcc.gov</w:t>
              </w:r>
            </w:hyperlink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02585"/>
    <w:rsid w:val="000034C4"/>
    <w:rsid w:val="00012186"/>
    <w:rsid w:val="00013E6B"/>
    <w:rsid w:val="00014F48"/>
    <w:rsid w:val="00021FF4"/>
    <w:rsid w:val="0002436F"/>
    <w:rsid w:val="00024512"/>
    <w:rsid w:val="0002500C"/>
    <w:rsid w:val="000311FC"/>
    <w:rsid w:val="00040127"/>
    <w:rsid w:val="000428C6"/>
    <w:rsid w:val="00046988"/>
    <w:rsid w:val="00046FF5"/>
    <w:rsid w:val="00051359"/>
    <w:rsid w:val="00052EE2"/>
    <w:rsid w:val="00057509"/>
    <w:rsid w:val="00065E2D"/>
    <w:rsid w:val="000748FE"/>
    <w:rsid w:val="00075EE7"/>
    <w:rsid w:val="000776CE"/>
    <w:rsid w:val="00081232"/>
    <w:rsid w:val="00081DE0"/>
    <w:rsid w:val="00082B98"/>
    <w:rsid w:val="00090A21"/>
    <w:rsid w:val="00091E65"/>
    <w:rsid w:val="00096D4A"/>
    <w:rsid w:val="00096D97"/>
    <w:rsid w:val="000A0A99"/>
    <w:rsid w:val="000A3783"/>
    <w:rsid w:val="000A38EA"/>
    <w:rsid w:val="000B375A"/>
    <w:rsid w:val="000B38BE"/>
    <w:rsid w:val="000C1E47"/>
    <w:rsid w:val="000C26F3"/>
    <w:rsid w:val="000C47D7"/>
    <w:rsid w:val="000D4846"/>
    <w:rsid w:val="000D7832"/>
    <w:rsid w:val="000E049E"/>
    <w:rsid w:val="000E0B1A"/>
    <w:rsid w:val="000F32A9"/>
    <w:rsid w:val="00103A22"/>
    <w:rsid w:val="00104B0D"/>
    <w:rsid w:val="0010799B"/>
    <w:rsid w:val="00113F86"/>
    <w:rsid w:val="00114196"/>
    <w:rsid w:val="00117DB2"/>
    <w:rsid w:val="001219EC"/>
    <w:rsid w:val="00123ED2"/>
    <w:rsid w:val="00123FB4"/>
    <w:rsid w:val="001247F5"/>
    <w:rsid w:val="00125BE0"/>
    <w:rsid w:val="00131FA8"/>
    <w:rsid w:val="00134408"/>
    <w:rsid w:val="00134A4A"/>
    <w:rsid w:val="00134BC7"/>
    <w:rsid w:val="001376E1"/>
    <w:rsid w:val="00142C13"/>
    <w:rsid w:val="00142C8E"/>
    <w:rsid w:val="00142D2E"/>
    <w:rsid w:val="00143274"/>
    <w:rsid w:val="0014742A"/>
    <w:rsid w:val="00150380"/>
    <w:rsid w:val="00152776"/>
    <w:rsid w:val="00153222"/>
    <w:rsid w:val="001577D3"/>
    <w:rsid w:val="00165E65"/>
    <w:rsid w:val="0016736F"/>
    <w:rsid w:val="00170E8D"/>
    <w:rsid w:val="001723A1"/>
    <w:rsid w:val="001733A6"/>
    <w:rsid w:val="001865A9"/>
    <w:rsid w:val="00187DB2"/>
    <w:rsid w:val="00190424"/>
    <w:rsid w:val="001B030B"/>
    <w:rsid w:val="001B20BB"/>
    <w:rsid w:val="001C2257"/>
    <w:rsid w:val="001C3CD3"/>
    <w:rsid w:val="001C4370"/>
    <w:rsid w:val="001D2398"/>
    <w:rsid w:val="001D3779"/>
    <w:rsid w:val="001D603B"/>
    <w:rsid w:val="001F0469"/>
    <w:rsid w:val="001F13A2"/>
    <w:rsid w:val="001F209C"/>
    <w:rsid w:val="001F7401"/>
    <w:rsid w:val="00202EF3"/>
    <w:rsid w:val="00203A98"/>
    <w:rsid w:val="002047EB"/>
    <w:rsid w:val="00206EDD"/>
    <w:rsid w:val="0021247E"/>
    <w:rsid w:val="002146F6"/>
    <w:rsid w:val="00221278"/>
    <w:rsid w:val="00221ACC"/>
    <w:rsid w:val="00227A38"/>
    <w:rsid w:val="00231C32"/>
    <w:rsid w:val="00234E61"/>
    <w:rsid w:val="00240345"/>
    <w:rsid w:val="002421F0"/>
    <w:rsid w:val="00247274"/>
    <w:rsid w:val="00254E0E"/>
    <w:rsid w:val="00260288"/>
    <w:rsid w:val="002612D2"/>
    <w:rsid w:val="002633DD"/>
    <w:rsid w:val="00265E04"/>
    <w:rsid w:val="00266966"/>
    <w:rsid w:val="002723F4"/>
    <w:rsid w:val="00282685"/>
    <w:rsid w:val="00285C36"/>
    <w:rsid w:val="00286596"/>
    <w:rsid w:val="002868C2"/>
    <w:rsid w:val="00286FBE"/>
    <w:rsid w:val="00291CAE"/>
    <w:rsid w:val="00291CD1"/>
    <w:rsid w:val="00294C0C"/>
    <w:rsid w:val="00297C2A"/>
    <w:rsid w:val="002A016A"/>
    <w:rsid w:val="002A0934"/>
    <w:rsid w:val="002B1013"/>
    <w:rsid w:val="002C0B0D"/>
    <w:rsid w:val="002C4377"/>
    <w:rsid w:val="002D03E5"/>
    <w:rsid w:val="002D0BEA"/>
    <w:rsid w:val="002D1E91"/>
    <w:rsid w:val="002D4180"/>
    <w:rsid w:val="002E12C1"/>
    <w:rsid w:val="002E165B"/>
    <w:rsid w:val="002E3F1D"/>
    <w:rsid w:val="002F31D0"/>
    <w:rsid w:val="002F6AEB"/>
    <w:rsid w:val="0030014F"/>
    <w:rsid w:val="00300359"/>
    <w:rsid w:val="003037BD"/>
    <w:rsid w:val="0031131E"/>
    <w:rsid w:val="00312DEF"/>
    <w:rsid w:val="00313452"/>
    <w:rsid w:val="0031773E"/>
    <w:rsid w:val="003230CE"/>
    <w:rsid w:val="00323F63"/>
    <w:rsid w:val="003255E8"/>
    <w:rsid w:val="00333871"/>
    <w:rsid w:val="00334352"/>
    <w:rsid w:val="00340C97"/>
    <w:rsid w:val="003427CE"/>
    <w:rsid w:val="00347716"/>
    <w:rsid w:val="003479EE"/>
    <w:rsid w:val="00347E30"/>
    <w:rsid w:val="003506E1"/>
    <w:rsid w:val="00353B95"/>
    <w:rsid w:val="00355128"/>
    <w:rsid w:val="003628EF"/>
    <w:rsid w:val="0036494B"/>
    <w:rsid w:val="003727E3"/>
    <w:rsid w:val="00372E36"/>
    <w:rsid w:val="00374AE5"/>
    <w:rsid w:val="00374C73"/>
    <w:rsid w:val="0037558A"/>
    <w:rsid w:val="00376378"/>
    <w:rsid w:val="0037639A"/>
    <w:rsid w:val="00384A1B"/>
    <w:rsid w:val="00385A93"/>
    <w:rsid w:val="003910F1"/>
    <w:rsid w:val="003A3939"/>
    <w:rsid w:val="003A4F95"/>
    <w:rsid w:val="003A68D5"/>
    <w:rsid w:val="003B1B02"/>
    <w:rsid w:val="003B4268"/>
    <w:rsid w:val="003B6AAF"/>
    <w:rsid w:val="003D3BB0"/>
    <w:rsid w:val="003D5DCE"/>
    <w:rsid w:val="003D7499"/>
    <w:rsid w:val="003E42FC"/>
    <w:rsid w:val="003E5991"/>
    <w:rsid w:val="003F2135"/>
    <w:rsid w:val="003F344A"/>
    <w:rsid w:val="003F591F"/>
    <w:rsid w:val="003F7B46"/>
    <w:rsid w:val="004001D0"/>
    <w:rsid w:val="00401F89"/>
    <w:rsid w:val="00403FF0"/>
    <w:rsid w:val="0041464A"/>
    <w:rsid w:val="0042046D"/>
    <w:rsid w:val="00420C14"/>
    <w:rsid w:val="0042116E"/>
    <w:rsid w:val="004218B7"/>
    <w:rsid w:val="00424252"/>
    <w:rsid w:val="00424B52"/>
    <w:rsid w:val="00425AEF"/>
    <w:rsid w:val="00426518"/>
    <w:rsid w:val="00427B06"/>
    <w:rsid w:val="004371FA"/>
    <w:rsid w:val="0044092E"/>
    <w:rsid w:val="004418C8"/>
    <w:rsid w:val="00441F59"/>
    <w:rsid w:val="00442BCC"/>
    <w:rsid w:val="00444E07"/>
    <w:rsid w:val="00444FA9"/>
    <w:rsid w:val="00445272"/>
    <w:rsid w:val="004518A9"/>
    <w:rsid w:val="004561ED"/>
    <w:rsid w:val="00461FB3"/>
    <w:rsid w:val="00463DF5"/>
    <w:rsid w:val="00467458"/>
    <w:rsid w:val="00473E9C"/>
    <w:rsid w:val="00474016"/>
    <w:rsid w:val="0047402B"/>
    <w:rsid w:val="004745B2"/>
    <w:rsid w:val="00480099"/>
    <w:rsid w:val="00482B04"/>
    <w:rsid w:val="00483B4D"/>
    <w:rsid w:val="004941A2"/>
    <w:rsid w:val="00497858"/>
    <w:rsid w:val="004A729A"/>
    <w:rsid w:val="004B254B"/>
    <w:rsid w:val="004B2FB3"/>
    <w:rsid w:val="004B4FEA"/>
    <w:rsid w:val="004C05E2"/>
    <w:rsid w:val="004C0ADA"/>
    <w:rsid w:val="004C11B3"/>
    <w:rsid w:val="004C3057"/>
    <w:rsid w:val="004C31B4"/>
    <w:rsid w:val="004C433E"/>
    <w:rsid w:val="004C4512"/>
    <w:rsid w:val="004C4F36"/>
    <w:rsid w:val="004D3D85"/>
    <w:rsid w:val="004E2BD8"/>
    <w:rsid w:val="004E459F"/>
    <w:rsid w:val="004E61EC"/>
    <w:rsid w:val="004F0F1F"/>
    <w:rsid w:val="00500E42"/>
    <w:rsid w:val="005017DC"/>
    <w:rsid w:val="005022AA"/>
    <w:rsid w:val="0050311A"/>
    <w:rsid w:val="0050425E"/>
    <w:rsid w:val="00504845"/>
    <w:rsid w:val="00504D9A"/>
    <w:rsid w:val="00505FB7"/>
    <w:rsid w:val="0050757F"/>
    <w:rsid w:val="0051333C"/>
    <w:rsid w:val="00516AD2"/>
    <w:rsid w:val="00525B0F"/>
    <w:rsid w:val="005337D4"/>
    <w:rsid w:val="00534203"/>
    <w:rsid w:val="00541069"/>
    <w:rsid w:val="00545DAE"/>
    <w:rsid w:val="005514B3"/>
    <w:rsid w:val="005517FE"/>
    <w:rsid w:val="00553D0C"/>
    <w:rsid w:val="00562B89"/>
    <w:rsid w:val="00565650"/>
    <w:rsid w:val="00567F7C"/>
    <w:rsid w:val="00570604"/>
    <w:rsid w:val="00571B83"/>
    <w:rsid w:val="00574BE5"/>
    <w:rsid w:val="005751B6"/>
    <w:rsid w:val="00575A00"/>
    <w:rsid w:val="00581A04"/>
    <w:rsid w:val="00586417"/>
    <w:rsid w:val="0058673C"/>
    <w:rsid w:val="0059110B"/>
    <w:rsid w:val="0059423B"/>
    <w:rsid w:val="00594504"/>
    <w:rsid w:val="005A0F70"/>
    <w:rsid w:val="005A14C1"/>
    <w:rsid w:val="005A6A4D"/>
    <w:rsid w:val="005A7972"/>
    <w:rsid w:val="005B0B66"/>
    <w:rsid w:val="005B10AF"/>
    <w:rsid w:val="005B1688"/>
    <w:rsid w:val="005B17E7"/>
    <w:rsid w:val="005B2643"/>
    <w:rsid w:val="005B338F"/>
    <w:rsid w:val="005C0172"/>
    <w:rsid w:val="005C5E63"/>
    <w:rsid w:val="005C7C03"/>
    <w:rsid w:val="005D0298"/>
    <w:rsid w:val="005D17FD"/>
    <w:rsid w:val="005D2D2C"/>
    <w:rsid w:val="005E2CB0"/>
    <w:rsid w:val="005E3734"/>
    <w:rsid w:val="005F0D55"/>
    <w:rsid w:val="005F183E"/>
    <w:rsid w:val="005F537A"/>
    <w:rsid w:val="00600DDA"/>
    <w:rsid w:val="00603854"/>
    <w:rsid w:val="00603A30"/>
    <w:rsid w:val="00604211"/>
    <w:rsid w:val="00606A7D"/>
    <w:rsid w:val="00613498"/>
    <w:rsid w:val="00617B94"/>
    <w:rsid w:val="00617BEC"/>
    <w:rsid w:val="00620BED"/>
    <w:rsid w:val="00622F00"/>
    <w:rsid w:val="00626FFF"/>
    <w:rsid w:val="0062772A"/>
    <w:rsid w:val="00630B1C"/>
    <w:rsid w:val="00630EFB"/>
    <w:rsid w:val="00631540"/>
    <w:rsid w:val="00632F6A"/>
    <w:rsid w:val="006330B2"/>
    <w:rsid w:val="00634A41"/>
    <w:rsid w:val="006415B4"/>
    <w:rsid w:val="0064227C"/>
    <w:rsid w:val="00644E3D"/>
    <w:rsid w:val="00651B9E"/>
    <w:rsid w:val="00652019"/>
    <w:rsid w:val="00653355"/>
    <w:rsid w:val="006550CC"/>
    <w:rsid w:val="00657EC9"/>
    <w:rsid w:val="0066091F"/>
    <w:rsid w:val="00665633"/>
    <w:rsid w:val="00671813"/>
    <w:rsid w:val="00674C86"/>
    <w:rsid w:val="00675A44"/>
    <w:rsid w:val="00675CD1"/>
    <w:rsid w:val="0068015E"/>
    <w:rsid w:val="006833A2"/>
    <w:rsid w:val="0068541D"/>
    <w:rsid w:val="006861AB"/>
    <w:rsid w:val="00686924"/>
    <w:rsid w:val="00686A76"/>
    <w:rsid w:val="00686B89"/>
    <w:rsid w:val="0069123A"/>
    <w:rsid w:val="0069420F"/>
    <w:rsid w:val="006A03F6"/>
    <w:rsid w:val="006A0EF2"/>
    <w:rsid w:val="006A2FC5"/>
    <w:rsid w:val="006A7D75"/>
    <w:rsid w:val="006B0A70"/>
    <w:rsid w:val="006B5E35"/>
    <w:rsid w:val="006B606A"/>
    <w:rsid w:val="006B67E7"/>
    <w:rsid w:val="006C33AF"/>
    <w:rsid w:val="006D16EF"/>
    <w:rsid w:val="006D5D22"/>
    <w:rsid w:val="006D65A9"/>
    <w:rsid w:val="006D748C"/>
    <w:rsid w:val="006D78E7"/>
    <w:rsid w:val="006E0324"/>
    <w:rsid w:val="006E4A76"/>
    <w:rsid w:val="006F1DBD"/>
    <w:rsid w:val="006F6708"/>
    <w:rsid w:val="006F7EE9"/>
    <w:rsid w:val="00700556"/>
    <w:rsid w:val="0070589A"/>
    <w:rsid w:val="007058BC"/>
    <w:rsid w:val="007167DD"/>
    <w:rsid w:val="007178C6"/>
    <w:rsid w:val="0072269C"/>
    <w:rsid w:val="0072478B"/>
    <w:rsid w:val="00731D33"/>
    <w:rsid w:val="0073414D"/>
    <w:rsid w:val="00741106"/>
    <w:rsid w:val="00741A74"/>
    <w:rsid w:val="007475A1"/>
    <w:rsid w:val="00750A11"/>
    <w:rsid w:val="0075235E"/>
    <w:rsid w:val="007528A5"/>
    <w:rsid w:val="0076029F"/>
    <w:rsid w:val="0076440D"/>
    <w:rsid w:val="00765BFA"/>
    <w:rsid w:val="00766B0D"/>
    <w:rsid w:val="00771692"/>
    <w:rsid w:val="007732CC"/>
    <w:rsid w:val="00774079"/>
    <w:rsid w:val="0077752B"/>
    <w:rsid w:val="00784508"/>
    <w:rsid w:val="00790B1F"/>
    <w:rsid w:val="007926F8"/>
    <w:rsid w:val="007930FA"/>
    <w:rsid w:val="007937FF"/>
    <w:rsid w:val="00793D6F"/>
    <w:rsid w:val="00794090"/>
    <w:rsid w:val="007A44F8"/>
    <w:rsid w:val="007B41C7"/>
    <w:rsid w:val="007B736C"/>
    <w:rsid w:val="007C64A1"/>
    <w:rsid w:val="007D1736"/>
    <w:rsid w:val="007D21BF"/>
    <w:rsid w:val="007F1F21"/>
    <w:rsid w:val="007F3C12"/>
    <w:rsid w:val="007F418E"/>
    <w:rsid w:val="007F5205"/>
    <w:rsid w:val="007F66AC"/>
    <w:rsid w:val="007F7A73"/>
    <w:rsid w:val="007F7DCC"/>
    <w:rsid w:val="0080486B"/>
    <w:rsid w:val="0080585D"/>
    <w:rsid w:val="008104B0"/>
    <w:rsid w:val="00811B69"/>
    <w:rsid w:val="00817F58"/>
    <w:rsid w:val="00820F6B"/>
    <w:rsid w:val="00821467"/>
    <w:rsid w:val="008215E7"/>
    <w:rsid w:val="0082295C"/>
    <w:rsid w:val="00826A56"/>
    <w:rsid w:val="00826A69"/>
    <w:rsid w:val="00830B6D"/>
    <w:rsid w:val="00830FC6"/>
    <w:rsid w:val="00831020"/>
    <w:rsid w:val="008355A2"/>
    <w:rsid w:val="00837B08"/>
    <w:rsid w:val="00850E26"/>
    <w:rsid w:val="00852BF6"/>
    <w:rsid w:val="00856BB4"/>
    <w:rsid w:val="0086367C"/>
    <w:rsid w:val="00865EAA"/>
    <w:rsid w:val="00866F06"/>
    <w:rsid w:val="008728F5"/>
    <w:rsid w:val="008746AF"/>
    <w:rsid w:val="00881C28"/>
    <w:rsid w:val="008824C2"/>
    <w:rsid w:val="0088490A"/>
    <w:rsid w:val="00884EEE"/>
    <w:rsid w:val="00892708"/>
    <w:rsid w:val="008960E4"/>
    <w:rsid w:val="008967F4"/>
    <w:rsid w:val="00896F74"/>
    <w:rsid w:val="008A10A5"/>
    <w:rsid w:val="008A1D7B"/>
    <w:rsid w:val="008A3502"/>
    <w:rsid w:val="008A3940"/>
    <w:rsid w:val="008A5C99"/>
    <w:rsid w:val="008A630E"/>
    <w:rsid w:val="008A6807"/>
    <w:rsid w:val="008B13C9"/>
    <w:rsid w:val="008B2330"/>
    <w:rsid w:val="008B74C3"/>
    <w:rsid w:val="008C248C"/>
    <w:rsid w:val="008C4474"/>
    <w:rsid w:val="008C5432"/>
    <w:rsid w:val="008C7BF1"/>
    <w:rsid w:val="008D00D6"/>
    <w:rsid w:val="008D238A"/>
    <w:rsid w:val="008D335C"/>
    <w:rsid w:val="008D3EE9"/>
    <w:rsid w:val="008D484B"/>
    <w:rsid w:val="008D4D00"/>
    <w:rsid w:val="008D4E5E"/>
    <w:rsid w:val="008D7ABD"/>
    <w:rsid w:val="008E0883"/>
    <w:rsid w:val="008E55A2"/>
    <w:rsid w:val="008E69BD"/>
    <w:rsid w:val="008F1609"/>
    <w:rsid w:val="008F231E"/>
    <w:rsid w:val="008F4127"/>
    <w:rsid w:val="008F78D8"/>
    <w:rsid w:val="00906FFB"/>
    <w:rsid w:val="0093373C"/>
    <w:rsid w:val="00933977"/>
    <w:rsid w:val="00936CC6"/>
    <w:rsid w:val="00943559"/>
    <w:rsid w:val="009469FE"/>
    <w:rsid w:val="00947AB4"/>
    <w:rsid w:val="00947FE1"/>
    <w:rsid w:val="0095235B"/>
    <w:rsid w:val="00954C62"/>
    <w:rsid w:val="00960584"/>
    <w:rsid w:val="00961620"/>
    <w:rsid w:val="009627C4"/>
    <w:rsid w:val="00966815"/>
    <w:rsid w:val="009676F8"/>
    <w:rsid w:val="009734B6"/>
    <w:rsid w:val="00976CDF"/>
    <w:rsid w:val="0098096F"/>
    <w:rsid w:val="0098437A"/>
    <w:rsid w:val="00986C92"/>
    <w:rsid w:val="00991F54"/>
    <w:rsid w:val="00993709"/>
    <w:rsid w:val="00993C47"/>
    <w:rsid w:val="0099543C"/>
    <w:rsid w:val="0099545E"/>
    <w:rsid w:val="0099684B"/>
    <w:rsid w:val="00996C64"/>
    <w:rsid w:val="009972BC"/>
    <w:rsid w:val="009A49C3"/>
    <w:rsid w:val="009A5C52"/>
    <w:rsid w:val="009B07DE"/>
    <w:rsid w:val="009B4B16"/>
    <w:rsid w:val="009B4D23"/>
    <w:rsid w:val="009B7F2E"/>
    <w:rsid w:val="009C1AC6"/>
    <w:rsid w:val="009C3F96"/>
    <w:rsid w:val="009D110B"/>
    <w:rsid w:val="009D4230"/>
    <w:rsid w:val="009D6098"/>
    <w:rsid w:val="009D69EC"/>
    <w:rsid w:val="009E0EB6"/>
    <w:rsid w:val="009E54A1"/>
    <w:rsid w:val="009E5F77"/>
    <w:rsid w:val="009F0DAE"/>
    <w:rsid w:val="009F4E25"/>
    <w:rsid w:val="009F5B1F"/>
    <w:rsid w:val="009F7E7A"/>
    <w:rsid w:val="00A0042C"/>
    <w:rsid w:val="00A14E92"/>
    <w:rsid w:val="00A1513D"/>
    <w:rsid w:val="00A225A9"/>
    <w:rsid w:val="00A32135"/>
    <w:rsid w:val="00A3308E"/>
    <w:rsid w:val="00A34EF6"/>
    <w:rsid w:val="00A35757"/>
    <w:rsid w:val="00A35DFD"/>
    <w:rsid w:val="00A36ECD"/>
    <w:rsid w:val="00A441E5"/>
    <w:rsid w:val="00A50722"/>
    <w:rsid w:val="00A51BFB"/>
    <w:rsid w:val="00A54392"/>
    <w:rsid w:val="00A61C3D"/>
    <w:rsid w:val="00A6714A"/>
    <w:rsid w:val="00A702DF"/>
    <w:rsid w:val="00A72E1D"/>
    <w:rsid w:val="00A73547"/>
    <w:rsid w:val="00A775A3"/>
    <w:rsid w:val="00A81700"/>
    <w:rsid w:val="00A81B5B"/>
    <w:rsid w:val="00A82FAD"/>
    <w:rsid w:val="00A9119F"/>
    <w:rsid w:val="00A921B7"/>
    <w:rsid w:val="00A965C0"/>
    <w:rsid w:val="00A9673A"/>
    <w:rsid w:val="00A96EF2"/>
    <w:rsid w:val="00A973B8"/>
    <w:rsid w:val="00AA5C35"/>
    <w:rsid w:val="00AA5ED9"/>
    <w:rsid w:val="00AB542E"/>
    <w:rsid w:val="00AC0A38"/>
    <w:rsid w:val="00AC4274"/>
    <w:rsid w:val="00AC4E0E"/>
    <w:rsid w:val="00AC517B"/>
    <w:rsid w:val="00AD054A"/>
    <w:rsid w:val="00AD0D19"/>
    <w:rsid w:val="00AD2669"/>
    <w:rsid w:val="00AD351C"/>
    <w:rsid w:val="00AD4184"/>
    <w:rsid w:val="00AD452E"/>
    <w:rsid w:val="00AD4A62"/>
    <w:rsid w:val="00AE1C20"/>
    <w:rsid w:val="00AE524D"/>
    <w:rsid w:val="00AE6EB7"/>
    <w:rsid w:val="00AE7DE6"/>
    <w:rsid w:val="00AF051B"/>
    <w:rsid w:val="00AF7CE1"/>
    <w:rsid w:val="00B037A2"/>
    <w:rsid w:val="00B04F6E"/>
    <w:rsid w:val="00B05D2A"/>
    <w:rsid w:val="00B06D15"/>
    <w:rsid w:val="00B2275F"/>
    <w:rsid w:val="00B23D99"/>
    <w:rsid w:val="00B24B93"/>
    <w:rsid w:val="00B31870"/>
    <w:rsid w:val="00B320B8"/>
    <w:rsid w:val="00B35569"/>
    <w:rsid w:val="00B35EE2"/>
    <w:rsid w:val="00B36DEF"/>
    <w:rsid w:val="00B36F08"/>
    <w:rsid w:val="00B37E93"/>
    <w:rsid w:val="00B50304"/>
    <w:rsid w:val="00B526FE"/>
    <w:rsid w:val="00B53454"/>
    <w:rsid w:val="00B57131"/>
    <w:rsid w:val="00B62EB9"/>
    <w:rsid w:val="00B62F2C"/>
    <w:rsid w:val="00B6476A"/>
    <w:rsid w:val="00B64E54"/>
    <w:rsid w:val="00B70283"/>
    <w:rsid w:val="00B71F1C"/>
    <w:rsid w:val="00B72307"/>
    <w:rsid w:val="00B727C9"/>
    <w:rsid w:val="00B735C8"/>
    <w:rsid w:val="00B7361F"/>
    <w:rsid w:val="00B76A63"/>
    <w:rsid w:val="00B818BB"/>
    <w:rsid w:val="00B82616"/>
    <w:rsid w:val="00B832DF"/>
    <w:rsid w:val="00B93B67"/>
    <w:rsid w:val="00B93B90"/>
    <w:rsid w:val="00B97126"/>
    <w:rsid w:val="00BA5166"/>
    <w:rsid w:val="00BA6350"/>
    <w:rsid w:val="00BB167A"/>
    <w:rsid w:val="00BB2866"/>
    <w:rsid w:val="00BB3F0A"/>
    <w:rsid w:val="00BB4E29"/>
    <w:rsid w:val="00BB74C9"/>
    <w:rsid w:val="00BC1B3F"/>
    <w:rsid w:val="00BC3AB6"/>
    <w:rsid w:val="00BC3C28"/>
    <w:rsid w:val="00BC6C52"/>
    <w:rsid w:val="00BD19E8"/>
    <w:rsid w:val="00BD2C93"/>
    <w:rsid w:val="00BD4273"/>
    <w:rsid w:val="00BD561D"/>
    <w:rsid w:val="00BD6C9E"/>
    <w:rsid w:val="00BE07B7"/>
    <w:rsid w:val="00BE4656"/>
    <w:rsid w:val="00BF0B1C"/>
    <w:rsid w:val="00BF2BDA"/>
    <w:rsid w:val="00C0698F"/>
    <w:rsid w:val="00C15B61"/>
    <w:rsid w:val="00C27F1C"/>
    <w:rsid w:val="00C31ED8"/>
    <w:rsid w:val="00C321B1"/>
    <w:rsid w:val="00C34ADD"/>
    <w:rsid w:val="00C432E4"/>
    <w:rsid w:val="00C44516"/>
    <w:rsid w:val="00C45ADA"/>
    <w:rsid w:val="00C513DA"/>
    <w:rsid w:val="00C515C2"/>
    <w:rsid w:val="00C60C93"/>
    <w:rsid w:val="00C647E8"/>
    <w:rsid w:val="00C65A3C"/>
    <w:rsid w:val="00C66F16"/>
    <w:rsid w:val="00C70C26"/>
    <w:rsid w:val="00C72001"/>
    <w:rsid w:val="00C7593B"/>
    <w:rsid w:val="00C75B3B"/>
    <w:rsid w:val="00C772B7"/>
    <w:rsid w:val="00C77D75"/>
    <w:rsid w:val="00C80347"/>
    <w:rsid w:val="00C80553"/>
    <w:rsid w:val="00C80EC2"/>
    <w:rsid w:val="00C819F3"/>
    <w:rsid w:val="00C8374F"/>
    <w:rsid w:val="00C85B09"/>
    <w:rsid w:val="00C870AC"/>
    <w:rsid w:val="00C92512"/>
    <w:rsid w:val="00C93066"/>
    <w:rsid w:val="00CB24D2"/>
    <w:rsid w:val="00CB3FCB"/>
    <w:rsid w:val="00CB685B"/>
    <w:rsid w:val="00CB7C1A"/>
    <w:rsid w:val="00CC0538"/>
    <w:rsid w:val="00CC5E08"/>
    <w:rsid w:val="00CC72B0"/>
    <w:rsid w:val="00CD0E60"/>
    <w:rsid w:val="00CD2D53"/>
    <w:rsid w:val="00CD3787"/>
    <w:rsid w:val="00CD4E6B"/>
    <w:rsid w:val="00CE14FD"/>
    <w:rsid w:val="00CE29D0"/>
    <w:rsid w:val="00CF1AB1"/>
    <w:rsid w:val="00CF6860"/>
    <w:rsid w:val="00D02AC6"/>
    <w:rsid w:val="00D03F0C"/>
    <w:rsid w:val="00D04312"/>
    <w:rsid w:val="00D051A1"/>
    <w:rsid w:val="00D10C27"/>
    <w:rsid w:val="00D10FF2"/>
    <w:rsid w:val="00D16A7F"/>
    <w:rsid w:val="00D16AD2"/>
    <w:rsid w:val="00D1700E"/>
    <w:rsid w:val="00D22596"/>
    <w:rsid w:val="00D22691"/>
    <w:rsid w:val="00D24C3D"/>
    <w:rsid w:val="00D36ABE"/>
    <w:rsid w:val="00D4117B"/>
    <w:rsid w:val="00D46CB1"/>
    <w:rsid w:val="00D50B34"/>
    <w:rsid w:val="00D54D54"/>
    <w:rsid w:val="00D61DF5"/>
    <w:rsid w:val="00D62485"/>
    <w:rsid w:val="00D7157B"/>
    <w:rsid w:val="00D71DAB"/>
    <w:rsid w:val="00D723F0"/>
    <w:rsid w:val="00D80B18"/>
    <w:rsid w:val="00D8133F"/>
    <w:rsid w:val="00D861EE"/>
    <w:rsid w:val="00D863C7"/>
    <w:rsid w:val="00D91649"/>
    <w:rsid w:val="00D91653"/>
    <w:rsid w:val="00D95B05"/>
    <w:rsid w:val="00D97E2D"/>
    <w:rsid w:val="00DA0D27"/>
    <w:rsid w:val="00DA103D"/>
    <w:rsid w:val="00DA45D3"/>
    <w:rsid w:val="00DA4772"/>
    <w:rsid w:val="00DA57B2"/>
    <w:rsid w:val="00DA6483"/>
    <w:rsid w:val="00DA7B44"/>
    <w:rsid w:val="00DB2667"/>
    <w:rsid w:val="00DB67B7"/>
    <w:rsid w:val="00DB7056"/>
    <w:rsid w:val="00DC15A9"/>
    <w:rsid w:val="00DC2B03"/>
    <w:rsid w:val="00DC40AA"/>
    <w:rsid w:val="00DC555E"/>
    <w:rsid w:val="00DC6280"/>
    <w:rsid w:val="00DD171D"/>
    <w:rsid w:val="00DD1750"/>
    <w:rsid w:val="00DD320D"/>
    <w:rsid w:val="00DD6C13"/>
    <w:rsid w:val="00DE2EE5"/>
    <w:rsid w:val="00DF4681"/>
    <w:rsid w:val="00E0160D"/>
    <w:rsid w:val="00E020F1"/>
    <w:rsid w:val="00E03591"/>
    <w:rsid w:val="00E1556D"/>
    <w:rsid w:val="00E155E5"/>
    <w:rsid w:val="00E17C8C"/>
    <w:rsid w:val="00E22577"/>
    <w:rsid w:val="00E24C5B"/>
    <w:rsid w:val="00E2789C"/>
    <w:rsid w:val="00E34202"/>
    <w:rsid w:val="00E349AA"/>
    <w:rsid w:val="00E37797"/>
    <w:rsid w:val="00E41390"/>
    <w:rsid w:val="00E419DD"/>
    <w:rsid w:val="00E41CA0"/>
    <w:rsid w:val="00E4366B"/>
    <w:rsid w:val="00E44212"/>
    <w:rsid w:val="00E44EB7"/>
    <w:rsid w:val="00E50612"/>
    <w:rsid w:val="00E50A4A"/>
    <w:rsid w:val="00E571A3"/>
    <w:rsid w:val="00E606DE"/>
    <w:rsid w:val="00E61C19"/>
    <w:rsid w:val="00E644FE"/>
    <w:rsid w:val="00E70D4A"/>
    <w:rsid w:val="00E72733"/>
    <w:rsid w:val="00E742FA"/>
    <w:rsid w:val="00E76816"/>
    <w:rsid w:val="00E83DBF"/>
    <w:rsid w:val="00E84F37"/>
    <w:rsid w:val="00E87764"/>
    <w:rsid w:val="00E87C13"/>
    <w:rsid w:val="00E91E04"/>
    <w:rsid w:val="00E94CD9"/>
    <w:rsid w:val="00E95401"/>
    <w:rsid w:val="00E97105"/>
    <w:rsid w:val="00EA1A76"/>
    <w:rsid w:val="00EA290B"/>
    <w:rsid w:val="00EB19D3"/>
    <w:rsid w:val="00EB2820"/>
    <w:rsid w:val="00EC6AD4"/>
    <w:rsid w:val="00ED3385"/>
    <w:rsid w:val="00ED4F6E"/>
    <w:rsid w:val="00ED543C"/>
    <w:rsid w:val="00EE0E90"/>
    <w:rsid w:val="00EE1B2D"/>
    <w:rsid w:val="00EE253E"/>
    <w:rsid w:val="00EE5D03"/>
    <w:rsid w:val="00EF36D4"/>
    <w:rsid w:val="00EF3BCA"/>
    <w:rsid w:val="00EF64AB"/>
    <w:rsid w:val="00EF729B"/>
    <w:rsid w:val="00F01B0D"/>
    <w:rsid w:val="00F0530A"/>
    <w:rsid w:val="00F06317"/>
    <w:rsid w:val="00F10E3E"/>
    <w:rsid w:val="00F1238F"/>
    <w:rsid w:val="00F15AAB"/>
    <w:rsid w:val="00F16485"/>
    <w:rsid w:val="00F228ED"/>
    <w:rsid w:val="00F26E31"/>
    <w:rsid w:val="00F27C6C"/>
    <w:rsid w:val="00F30883"/>
    <w:rsid w:val="00F31F9A"/>
    <w:rsid w:val="00F349AB"/>
    <w:rsid w:val="00F34A8D"/>
    <w:rsid w:val="00F35012"/>
    <w:rsid w:val="00F42ACC"/>
    <w:rsid w:val="00F4521B"/>
    <w:rsid w:val="00F47912"/>
    <w:rsid w:val="00F5023C"/>
    <w:rsid w:val="00F50D25"/>
    <w:rsid w:val="00F5137F"/>
    <w:rsid w:val="00F535D8"/>
    <w:rsid w:val="00F53613"/>
    <w:rsid w:val="00F60AFC"/>
    <w:rsid w:val="00F61155"/>
    <w:rsid w:val="00F61AAB"/>
    <w:rsid w:val="00F708E3"/>
    <w:rsid w:val="00F76561"/>
    <w:rsid w:val="00F83B96"/>
    <w:rsid w:val="00F84736"/>
    <w:rsid w:val="00F86AF8"/>
    <w:rsid w:val="00F93569"/>
    <w:rsid w:val="00F96C07"/>
    <w:rsid w:val="00FB6DD6"/>
    <w:rsid w:val="00FC6C29"/>
    <w:rsid w:val="00FD2718"/>
    <w:rsid w:val="00FD58E0"/>
    <w:rsid w:val="00FD5A16"/>
    <w:rsid w:val="00FD71AE"/>
    <w:rsid w:val="00FD7EC3"/>
    <w:rsid w:val="00FE0198"/>
    <w:rsid w:val="00FE32FD"/>
    <w:rsid w:val="00FE3A7C"/>
    <w:rsid w:val="00FE531A"/>
    <w:rsid w:val="00FF105E"/>
    <w:rsid w:val="00FF147F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22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B2275F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B22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227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fc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