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0C7CFB" w14:paraId="7C07340E" w14:textId="77777777">
      <w:pPr>
        <w:pStyle w:val="Title"/>
      </w:pPr>
      <w:r>
        <w:rPr>
          <w:noProof/>
        </w:rPr>
        <w:drawing>
          <wp:inline distT="0" distB="0" distL="0" distR="0">
            <wp:extent cx="66675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xmlns:r="http://schemas.openxmlformats.org/officeDocument/2006/relationships" r:embed="rId4"/>
                    <a:stretch>
                      <a:fillRect/>
                    </a:stretch>
                  </pic:blipFill>
                  <pic:spPr bwMode="auto">
                    <a:xfrm>
                      <a:off x="0" y="0"/>
                      <a:ext cx="666750" cy="666750"/>
                    </a:xfrm>
                    <a:prstGeom prst="rect">
                      <a:avLst/>
                    </a:prstGeom>
                  </pic:spPr>
                </pic:pic>
              </a:graphicData>
            </a:graphic>
          </wp:inline>
        </w:drawing>
      </w:r>
      <w:r>
        <w:rPr>
          <w:rFonts w:ascii="Arial" w:eastAsia="Arial" w:hAnsi="Arial" w:cs="Arial"/>
          <w:b/>
          <w:bCs/>
          <w:sz w:val="89"/>
          <w:szCs w:val="89"/>
        </w:rPr>
        <w:t>Public Notice</w:t>
      </w:r>
    </w:p>
    <w:tbl>
      <w:tblPr>
        <w:tblW w:w="5000" w:type="pct"/>
        <w:jc w:val="center"/>
        <w:tblBorders>
          <w:bottom w:val="single" w:sz="0" w:space="0" w:color="auto"/>
        </w:tblBorders>
        <w:tblCellMar>
          <w:left w:w="10" w:type="dxa"/>
          <w:right w:w="10" w:type="dxa"/>
        </w:tblCellMar>
        <w:tblLook w:val="0000"/>
      </w:tblPr>
      <w:tblGrid>
        <w:gridCol w:w="8372"/>
        <w:gridCol w:w="5586"/>
      </w:tblGrid>
      <w:tr w14:paraId="7C073411" w14:textId="77777777">
        <w:tblPrEx>
          <w:tblW w:w="5000" w:type="pct"/>
          <w:jc w:val="center"/>
          <w:tblLook w:val="0000"/>
        </w:tblPrEx>
        <w:trPr>
          <w:jc w:val="center"/>
        </w:trPr>
        <w:tc>
          <w:tcPr>
            <w:tcW w:w="0" w:type="auto"/>
          </w:tcPr>
          <w:p w:rsidR="000C7CFB" w14:paraId="7C07340F" w14:textId="25740133">
            <w:r>
              <w:rPr>
                <w:rFonts w:ascii="Arial" w:eastAsia="Arial" w:hAnsi="Arial" w:cs="Arial"/>
                <w:b/>
                <w:bCs/>
                <w:sz w:val="22"/>
                <w:szCs w:val="22"/>
              </w:rPr>
              <w:t>Federal Communications Commission</w:t>
            </w:r>
            <w:r>
              <w:rPr>
                <w:rFonts w:ascii="Arial" w:eastAsia="Arial" w:hAnsi="Arial" w:cs="Arial"/>
                <w:b/>
                <w:bCs/>
                <w:sz w:val="22"/>
                <w:szCs w:val="22"/>
              </w:rPr>
              <w:br/>
              <w:t xml:space="preserve">45 </w:t>
            </w:r>
            <w:r w:rsidR="00E76D8C">
              <w:rPr>
                <w:rFonts w:ascii="Arial" w:eastAsia="Arial" w:hAnsi="Arial" w:cs="Arial"/>
                <w:b/>
                <w:bCs/>
                <w:sz w:val="22"/>
                <w:szCs w:val="22"/>
              </w:rPr>
              <w:t>L</w:t>
            </w:r>
            <w:r>
              <w:rPr>
                <w:rFonts w:ascii="Arial" w:eastAsia="Arial" w:hAnsi="Arial" w:cs="Arial"/>
                <w:b/>
                <w:bCs/>
                <w:sz w:val="22"/>
                <w:szCs w:val="22"/>
              </w:rPr>
              <w:t xml:space="preserve"> St</w:t>
            </w:r>
            <w:r w:rsidR="00E76D8C">
              <w:rPr>
                <w:rFonts w:ascii="Arial" w:eastAsia="Arial" w:hAnsi="Arial" w:cs="Arial"/>
                <w:b/>
                <w:bCs/>
                <w:sz w:val="22"/>
                <w:szCs w:val="22"/>
              </w:rPr>
              <w:t>reet NE</w:t>
            </w:r>
            <w:r>
              <w:rPr>
                <w:rFonts w:ascii="Arial" w:eastAsia="Arial" w:hAnsi="Arial" w:cs="Arial"/>
                <w:b/>
                <w:bCs/>
                <w:sz w:val="22"/>
                <w:szCs w:val="22"/>
              </w:rPr>
              <w:br/>
              <w:t>Washington, D.C. 20554</w:t>
            </w:r>
          </w:p>
        </w:tc>
        <w:tc>
          <w:tcPr>
            <w:tcW w:w="0" w:type="auto"/>
          </w:tcPr>
          <w:p w:rsidR="000C7CFB" w14:paraId="7C073410" w14:textId="77777777">
            <w:pPr>
              <w:jc w:val="right"/>
            </w:pPr>
            <w:r>
              <w:rPr>
                <w:rFonts w:ascii="Arial" w:eastAsia="Arial" w:hAnsi="Arial" w:cs="Arial"/>
                <w:sz w:val="15"/>
                <w:szCs w:val="15"/>
              </w:rPr>
              <w:t>News Media Information 202 / 418-0500</w:t>
            </w:r>
            <w:r>
              <w:rPr>
                <w:rFonts w:ascii="Arial" w:eastAsia="Arial" w:hAnsi="Arial" w:cs="Arial"/>
                <w:sz w:val="15"/>
                <w:szCs w:val="15"/>
              </w:rPr>
              <w:br/>
              <w:t>Internet: https://www.fcc.gov</w:t>
            </w:r>
            <w:r>
              <w:rPr>
                <w:rFonts w:ascii="Arial" w:eastAsia="Arial" w:hAnsi="Arial" w:cs="Arial"/>
                <w:sz w:val="15"/>
                <w:szCs w:val="15"/>
              </w:rPr>
              <w:br/>
              <w:t>TTY: 1-888-835-5322</w:t>
            </w:r>
          </w:p>
        </w:tc>
      </w:tr>
      <w:tr w14:paraId="7C073414" w14:textId="77777777">
        <w:tblPrEx>
          <w:tblW w:w="5000" w:type="pct"/>
          <w:jc w:val="center"/>
          <w:tblLook w:val="0000"/>
        </w:tblPrEx>
        <w:trPr>
          <w:jc w:val="center"/>
        </w:trPr>
        <w:tc>
          <w:tcPr>
            <w:tcW w:w="0" w:type="auto"/>
          </w:tcPr>
          <w:p w:rsidR="000C7CFB" w14:paraId="7C073412" w14:textId="77777777"/>
        </w:tc>
        <w:tc>
          <w:tcPr>
            <w:tcW w:w="0" w:type="auto"/>
          </w:tcPr>
          <w:p w:rsidR="000C7CFB" w14:paraId="7C073413" w14:textId="77777777"/>
        </w:tc>
      </w:tr>
    </w:tbl>
    <w:p w:rsidR="000C7CFB" w14:paraId="7C073415" w14:textId="77777777">
      <w:pPr>
        <w:sectPr>
          <w:pgSz w:w="16838" w:h="11906" w:orient="landscape"/>
          <w:pgMar w:top="1440" w:right="1440" w:bottom="1440" w:left="1440" w:header="708" w:footer="708" w:gutter="0"/>
          <w:cols w:space="720"/>
          <w:docGrid w:linePitch="360"/>
        </w:sectPr>
      </w:pPr>
    </w:p>
    <w:tbl>
      <w:tblPr>
        <w:tblW w:w="5000" w:type="pct"/>
        <w:jc w:val="center"/>
        <w:tblCellMar>
          <w:left w:w="10" w:type="dxa"/>
          <w:right w:w="10" w:type="dxa"/>
        </w:tblCellMar>
        <w:tblLook w:val="0000"/>
      </w:tblPr>
      <w:tblGrid>
        <w:gridCol w:w="7149"/>
        <w:gridCol w:w="6809"/>
      </w:tblGrid>
      <w:tr w14:paraId="7C073418" w14:textId="77777777">
        <w:tblPrEx>
          <w:tblW w:w="5000" w:type="pct"/>
          <w:jc w:val="center"/>
          <w:tblLook w:val="0000"/>
        </w:tblPrEx>
        <w:trPr>
          <w:jc w:val="center"/>
        </w:trPr>
        <w:tc>
          <w:tcPr>
            <w:tcW w:w="0" w:type="auto"/>
          </w:tcPr>
          <w:p w:rsidR="000C7CFB" w14:paraId="7C073416" w14:textId="77777777">
            <w:r>
              <w:rPr>
                <w:b/>
                <w:bCs/>
                <w:sz w:val="26"/>
                <w:szCs w:val="26"/>
              </w:rPr>
              <w:t>Report No. 3219</w:t>
            </w:r>
          </w:p>
        </w:tc>
        <w:tc>
          <w:tcPr>
            <w:tcW w:w="0" w:type="auto"/>
          </w:tcPr>
          <w:p w:rsidR="000C7CFB" w14:paraId="7C073417" w14:textId="77777777">
            <w:pPr>
              <w:jc w:val="right"/>
            </w:pPr>
            <w:r>
              <w:rPr>
                <w:b/>
                <w:bCs/>
                <w:sz w:val="26"/>
                <w:szCs w:val="26"/>
              </w:rPr>
              <w:t>March 12, 2026</w:t>
            </w:r>
          </w:p>
        </w:tc>
      </w:tr>
    </w:tbl>
    <w:p w:rsidR="000C7CFB" w14:paraId="7C073419" w14:textId="67A916CC">
      <w:pPr>
        <w:jc w:val="center"/>
      </w:pPr>
      <w:r>
        <w:rPr>
          <w:b/>
          <w:bCs/>
          <w:sz w:val="26"/>
          <w:szCs w:val="26"/>
          <w:u w:val="single"/>
        </w:rPr>
        <w:br/>
      </w:r>
      <w:r w:rsidR="00E76D8C">
        <w:rPr>
          <w:b/>
          <w:bCs/>
          <w:sz w:val="26"/>
          <w:szCs w:val="26"/>
          <w:u w:val="single"/>
        </w:rPr>
        <w:t>MEDI</w:t>
      </w:r>
      <w:r w:rsidR="00E1192A">
        <w:rPr>
          <w:b/>
          <w:bCs/>
          <w:sz w:val="26"/>
          <w:szCs w:val="26"/>
          <w:u w:val="single"/>
        </w:rPr>
        <w:t>A</w:t>
      </w:r>
      <w:r>
        <w:rPr>
          <w:b/>
          <w:bCs/>
          <w:sz w:val="26"/>
          <w:szCs w:val="26"/>
          <w:u w:val="single"/>
        </w:rPr>
        <w:t xml:space="preserve"> BUREAU</w:t>
      </w:r>
      <w:r>
        <w:rPr>
          <w:b/>
          <w:bCs/>
          <w:sz w:val="26"/>
          <w:szCs w:val="26"/>
          <w:u w:val="single"/>
        </w:rPr>
        <w:br/>
        <w:t>REFERENCE INFORMATION CENTER</w:t>
      </w:r>
      <w:r>
        <w:rPr>
          <w:b/>
          <w:bCs/>
          <w:sz w:val="26"/>
          <w:szCs w:val="26"/>
          <w:u w:val="single"/>
        </w:rPr>
        <w:br/>
        <w:t>PETITION FOR RULE MAKING FILED</w:t>
      </w:r>
    </w:p>
    <w:p w:rsidR="000C7CFB" w14:paraId="7C07341A" w14:textId="77777777">
      <w:r>
        <w:rPr>
          <w:sz w:val="26"/>
          <w:szCs w:val="26"/>
        </w:rPr>
        <w:br/>
        <w:t>Interested parties may file statements opposing or supporting the Petition for Rulemaking listed herein within 30 days, or as noted. See Sections 1.4 and 1.405 of the Commission's rules for further information.</w:t>
      </w:r>
    </w:p>
    <w:tbl>
      <w:tblPr>
        <w:tblpPr w:leftFromText="180" w:rightFromText="180" w:vertAnchor="text" w:tblpY="1"/>
        <w:tblOverlap w:val="never"/>
        <w:tblW w:w="5000" w:type="pct"/>
        <w:tblBorders>
          <w:top w:val="single" w:sz="4" w:space="0" w:color="auto"/>
          <w:bottom w:val="single" w:sz="4" w:space="0" w:color="auto"/>
          <w:insideH w:val="single" w:sz="4" w:space="0" w:color="auto"/>
        </w:tblBorders>
        <w:tblCellMar>
          <w:left w:w="10" w:type="dxa"/>
          <w:right w:w="10" w:type="dxa"/>
        </w:tblCellMar>
        <w:tblLook w:val="0000"/>
      </w:tblPr>
      <w:tblGrid>
        <w:gridCol w:w="771"/>
        <w:gridCol w:w="1138"/>
        <w:gridCol w:w="2945"/>
        <w:gridCol w:w="1554"/>
        <w:gridCol w:w="7550"/>
      </w:tblGrid>
      <w:tr w14:paraId="7C073420" w14:textId="77777777" w:rsidTr="00F77550">
        <w:tblPrEx>
          <w:tblW w:w="5000" w:type="pct"/>
          <w:tblLook w:val="0000"/>
        </w:tblPrEx>
        <w:trPr>
          <w:trHeight w:val="320"/>
        </w:trPr>
        <w:tc>
          <w:tcPr>
            <w:tcW w:w="0" w:type="auto"/>
            <w:tcBorders>
              <w:top w:val="single" w:sz="4" w:space="0" w:color="auto"/>
              <w:bottom w:val="single" w:sz="4" w:space="0" w:color="auto"/>
            </w:tcBorders>
          </w:tcPr>
          <w:p w:rsidR="000C7CFB" w:rsidP="00F77550" w14:paraId="7C07341B" w14:textId="77777777">
            <w:r>
              <w:rPr>
                <w:b/>
                <w:bCs/>
                <w:sz w:val="26"/>
                <w:szCs w:val="26"/>
              </w:rPr>
              <w:t>RM-NO.</w:t>
            </w:r>
          </w:p>
        </w:tc>
        <w:tc>
          <w:tcPr>
            <w:tcW w:w="0" w:type="auto"/>
            <w:tcBorders>
              <w:top w:val="single" w:sz="4" w:space="0" w:color="auto"/>
              <w:bottom w:val="single" w:sz="4" w:space="0" w:color="auto"/>
            </w:tcBorders>
          </w:tcPr>
          <w:p w:rsidR="000C7CFB" w:rsidP="00F77550" w14:paraId="7C07341C" w14:textId="77777777">
            <w:r>
              <w:rPr>
                <w:b/>
                <w:bCs/>
                <w:sz w:val="26"/>
                <w:szCs w:val="26"/>
              </w:rPr>
              <w:t>RULES SEC.</w:t>
            </w:r>
          </w:p>
        </w:tc>
        <w:tc>
          <w:tcPr>
            <w:tcW w:w="0" w:type="auto"/>
            <w:tcBorders>
              <w:top w:val="single" w:sz="4" w:space="0" w:color="auto"/>
              <w:bottom w:val="single" w:sz="4" w:space="0" w:color="auto"/>
            </w:tcBorders>
          </w:tcPr>
          <w:p w:rsidR="000C7CFB" w:rsidP="00F77550" w14:paraId="7C07341D" w14:textId="77777777">
            <w:r>
              <w:rPr>
                <w:b/>
                <w:bCs/>
                <w:sz w:val="26"/>
                <w:szCs w:val="26"/>
              </w:rPr>
              <w:t>PETITIONER</w:t>
            </w:r>
          </w:p>
        </w:tc>
        <w:tc>
          <w:tcPr>
            <w:tcW w:w="0" w:type="auto"/>
            <w:tcBorders>
              <w:top w:val="single" w:sz="4" w:space="0" w:color="auto"/>
              <w:bottom w:val="single" w:sz="4" w:space="0" w:color="auto"/>
            </w:tcBorders>
          </w:tcPr>
          <w:p w:rsidR="000C7CFB" w:rsidP="00F77550" w14:paraId="7C07341E" w14:textId="77777777">
            <w:r>
              <w:rPr>
                <w:b/>
                <w:bCs/>
                <w:sz w:val="26"/>
                <w:szCs w:val="26"/>
              </w:rPr>
              <w:t>DATE RECEIVED</w:t>
            </w:r>
          </w:p>
        </w:tc>
        <w:tc>
          <w:tcPr>
            <w:tcW w:w="0" w:type="auto"/>
            <w:tcBorders>
              <w:top w:val="single" w:sz="4" w:space="0" w:color="auto"/>
              <w:bottom w:val="single" w:sz="4" w:space="0" w:color="auto"/>
            </w:tcBorders>
          </w:tcPr>
          <w:p w:rsidR="000C7CFB" w:rsidP="00F77550" w14:paraId="7C07341F" w14:textId="77777777">
            <w:r>
              <w:rPr>
                <w:b/>
                <w:bCs/>
                <w:sz w:val="26"/>
                <w:szCs w:val="26"/>
              </w:rPr>
              <w:t>NATURE OF PETITION</w:t>
            </w:r>
          </w:p>
        </w:tc>
      </w:tr>
      <w:tr w14:paraId="7C073427" w14:textId="77777777" w:rsidTr="00F77550">
        <w:tblPrEx>
          <w:tblW w:w="5000" w:type="pct"/>
          <w:tblLook w:val="0000"/>
        </w:tblPrEx>
        <w:trPr>
          <w:trHeight w:val="1800"/>
        </w:trPr>
        <w:tc>
          <w:tcPr>
            <w:tcW w:w="0" w:type="auto"/>
            <w:tcBorders>
              <w:top w:val="single" w:sz="4" w:space="0" w:color="auto"/>
              <w:bottom w:val="nil"/>
            </w:tcBorders>
          </w:tcPr>
          <w:p w:rsidR="000C7CFB" w:rsidP="00F77550" w14:paraId="7C073421" w14:textId="77777777">
            <w:r>
              <w:rPr>
                <w:sz w:val="26"/>
                <w:szCs w:val="26"/>
              </w:rPr>
              <w:t>RM-12019</w:t>
            </w:r>
          </w:p>
        </w:tc>
        <w:tc>
          <w:tcPr>
            <w:tcW w:w="0" w:type="auto"/>
            <w:tcBorders>
              <w:top w:val="single" w:sz="4" w:space="0" w:color="auto"/>
              <w:bottom w:val="nil"/>
            </w:tcBorders>
          </w:tcPr>
          <w:p w:rsidR="000C7CFB" w:rsidP="00F77550" w14:paraId="7C073422" w14:textId="77777777">
            <w:r>
              <w:rPr>
                <w:sz w:val="26"/>
                <w:szCs w:val="26"/>
              </w:rPr>
              <w:t>73.202(b)</w:t>
            </w:r>
          </w:p>
        </w:tc>
        <w:tc>
          <w:tcPr>
            <w:tcW w:w="0" w:type="auto"/>
            <w:tcBorders>
              <w:top w:val="single" w:sz="4" w:space="0" w:color="auto"/>
              <w:bottom w:val="nil"/>
            </w:tcBorders>
          </w:tcPr>
          <w:p w:rsidR="000C7CFB" w:rsidP="00F77550" w14:paraId="7C073423" w14:textId="77777777">
            <w:r>
              <w:rPr>
                <w:sz w:val="26"/>
                <w:szCs w:val="26"/>
              </w:rPr>
              <w:t>Southwest Broadcasting LLC and Estrella Broadcasting, LLC (Joint Parties)</w:t>
            </w:r>
            <w:r>
              <w:rPr>
                <w:sz w:val="26"/>
                <w:szCs w:val="26"/>
              </w:rPr>
              <w:br/>
            </w:r>
            <w:r>
              <w:rPr>
                <w:sz w:val="26"/>
                <w:szCs w:val="26"/>
              </w:rPr>
              <w:br/>
              <w:t>(Erik C. Swanson, PE. Hatfield &amp; Dawson</w:t>
            </w:r>
            <w:r>
              <w:rPr>
                <w:sz w:val="26"/>
                <w:szCs w:val="26"/>
              </w:rPr>
              <w:br/>
              <w:t>9500 Greenwood Ave N</w:t>
            </w:r>
            <w:r>
              <w:rPr>
                <w:sz w:val="26"/>
                <w:szCs w:val="26"/>
              </w:rPr>
              <w:br/>
              <w:t>Seattle WA 98103)</w:t>
            </w:r>
          </w:p>
          <w:p w:rsidR="000C7CFB" w:rsidP="00F77550" w14:paraId="7C073424" w14:textId="77777777"/>
        </w:tc>
        <w:tc>
          <w:tcPr>
            <w:tcW w:w="0" w:type="auto"/>
            <w:tcBorders>
              <w:top w:val="single" w:sz="4" w:space="0" w:color="auto"/>
              <w:bottom w:val="nil"/>
            </w:tcBorders>
          </w:tcPr>
          <w:p w:rsidR="000C7CFB" w:rsidP="00F77550" w14:paraId="7C073425" w14:textId="77777777">
            <w:r>
              <w:rPr>
                <w:sz w:val="26"/>
                <w:szCs w:val="26"/>
              </w:rPr>
              <w:t>11/18/2025</w:t>
            </w:r>
          </w:p>
        </w:tc>
        <w:tc>
          <w:tcPr>
            <w:tcW w:w="0" w:type="auto"/>
            <w:tcBorders>
              <w:top w:val="single" w:sz="4" w:space="0" w:color="auto"/>
              <w:bottom w:val="nil"/>
            </w:tcBorders>
          </w:tcPr>
          <w:p w:rsidR="0081410D" w:rsidRPr="00C474CC" w:rsidP="00F77550" w14:paraId="2744D5D4" w14:textId="77777777">
            <w:pPr>
              <w:rPr>
                <w:sz w:val="24"/>
                <w:szCs w:val="24"/>
              </w:rPr>
            </w:pPr>
            <w:r w:rsidRPr="00C474CC">
              <w:rPr>
                <w:sz w:val="24"/>
                <w:szCs w:val="24"/>
              </w:rPr>
              <w:t xml:space="preserve">The Joint Parties filed timely two contingent minor modification applications, File Nos. 0000280777 and 0000280780 that conflict with the original proposed Channel 226C3 at Enterprise, UT.  Southwest Broadcasting, LLC proposes a community of license modification for Station KXUT(FM), from Channel 227C2, Page, AZ, to Channel 226C1, Orderville, UT, as the community’s first local service.  The coordinates are 37-17-42.8 NL and 112-50-45.1 WL.  Estrella Broadcasting, LLC proposes a community of license modification for Station KXQX(FM), from Channel 223A, Tusayan, AZ, to Channel 223C2, Big Water, UT, as the community’s first local service.  The coordinates are 37-00-36.8 NL and 111-40-51.1 WL.  The reallotment of KXQX to Big Water, UT will ensure that there is no loss area associated with the reallotment of KXUT to Orderville, UT.  The Joint Parties proposes also </w:t>
            </w:r>
            <w:r w:rsidRPr="00C474CC">
              <w:rPr>
                <w:sz w:val="24"/>
                <w:szCs w:val="24"/>
              </w:rPr>
              <w:t>alternate Channel 265C3 in lieu of the proposed Channel 226C3 at Enterprise, UT at reference coordinates 37-35-27 NL and 113-54-02 WL.</w:t>
            </w:r>
          </w:p>
          <w:p w:rsidR="0081410D" w:rsidRPr="00C474CC" w:rsidP="00F77550" w14:paraId="16CBE28F" w14:textId="77777777">
            <w:pPr>
              <w:rPr>
                <w:sz w:val="24"/>
                <w:szCs w:val="24"/>
              </w:rPr>
            </w:pPr>
            <w:r w:rsidRPr="00C474CC">
              <w:rPr>
                <w:sz w:val="24"/>
                <w:szCs w:val="24"/>
              </w:rPr>
              <w:t xml:space="preserve"> </w:t>
            </w:r>
          </w:p>
          <w:p w:rsidR="00E76D8C" w:rsidP="00F77550" w14:paraId="7C073426" w14:textId="6458D450">
            <w:r w:rsidRPr="00C474CC">
              <w:rPr>
                <w:sz w:val="24"/>
                <w:szCs w:val="24"/>
              </w:rPr>
              <w:t>New proposals may not be introduced during this reply comment period.</w:t>
            </w:r>
          </w:p>
        </w:tc>
      </w:tr>
      <w:tr w14:paraId="78595C69" w14:textId="77777777" w:rsidTr="00F77550">
        <w:tblPrEx>
          <w:tblW w:w="5000" w:type="pct"/>
          <w:tblLook w:val="0000"/>
        </w:tblPrEx>
        <w:trPr>
          <w:trHeight w:val="1800"/>
        </w:trPr>
        <w:tc>
          <w:tcPr>
            <w:tcW w:w="0" w:type="auto"/>
            <w:gridSpan w:val="5"/>
            <w:tcBorders>
              <w:top w:val="nil"/>
              <w:bottom w:val="nil"/>
            </w:tcBorders>
          </w:tcPr>
          <w:p w:rsidR="00E76D8C" w:rsidP="00F77550" w14:paraId="2398EC6F" w14:textId="77777777">
            <w:pPr>
              <w:pBdr>
                <w:bottom w:val="single" w:sz="12" w:space="1" w:color="auto"/>
              </w:pBdr>
              <w:tabs>
                <w:tab w:val="left" w:pos="1440"/>
                <w:tab w:val="left" w:pos="3600"/>
                <w:tab w:val="left" w:pos="6120"/>
                <w:tab w:val="left" w:pos="6300"/>
                <w:tab w:val="left" w:pos="9090"/>
              </w:tabs>
              <w:rPr>
                <w:szCs w:val="22"/>
              </w:rPr>
            </w:pPr>
            <w:r w:rsidRPr="00F51D57">
              <w:rPr>
                <w:szCs w:val="22"/>
              </w:rPr>
              <w:t>* THE ABOVE APPLICATIONS WILL BE TREATED AS COUNTERPROPOSAL IN MB DOCKET NO. 25-243. REPLY COMMENTS TO THE COUNTERPROPOSAL SHOULD BE SUBMITTED IN THIS DOCKET NO LATER THAN 15 DAYS (RATHER THAN 30 DAYS) AFTER THE DATE OF THE PUBLIC NOTICE.</w:t>
            </w:r>
          </w:p>
          <w:p w:rsidR="00E76D8C" w:rsidRPr="00C474CC" w:rsidP="00F77550" w14:paraId="58636653" w14:textId="77777777">
            <w:pPr>
              <w:rPr>
                <w:sz w:val="24"/>
                <w:szCs w:val="24"/>
              </w:rPr>
            </w:pPr>
          </w:p>
        </w:tc>
      </w:tr>
    </w:tbl>
    <w:p w:rsidR="000C7CFB" w14:paraId="7C073428" w14:textId="6B52CDC6">
      <w:pPr>
        <w:jc w:val="center"/>
      </w:pPr>
      <w:r>
        <w:br w:type="textWrapping" w:clear="all"/>
      </w:r>
      <w:r w:rsidR="003805D1">
        <w:br/>
        <w:t>FCC</w:t>
      </w:r>
    </w:p>
    <w:sectPr>
      <w:type w:val="continuous"/>
      <w:pgSz w:w="16838" w:h="11906" w:orient="landscape"/>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6429D7"/>
    <w:multiLevelType w:val="hybridMultilevel"/>
    <w:tmpl w:val="A48E663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562638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CFB"/>
    <w:rsid w:val="000C7CFB"/>
    <w:rsid w:val="002408A6"/>
    <w:rsid w:val="0035049E"/>
    <w:rsid w:val="003805D1"/>
    <w:rsid w:val="00532A74"/>
    <w:rsid w:val="00573557"/>
    <w:rsid w:val="0081410D"/>
    <w:rsid w:val="00A53D82"/>
    <w:rsid w:val="00C474CC"/>
    <w:rsid w:val="00E1192A"/>
    <w:rsid w:val="00E76D8C"/>
    <w:rsid w:val="00E81717"/>
    <w:rsid w:val="00F51D57"/>
    <w:rsid w:val="00F77550"/>
    <w:rsid w:val="00F94E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07340E"/>
  <w15:docId w15:val="{C81DA050-BA0B-4D75-A6FF-AA6DDBF6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74CC"/>
    <w:pPr>
      <w:tabs>
        <w:tab w:val="center" w:pos="4680"/>
        <w:tab w:val="right" w:pos="9360"/>
      </w:tabs>
    </w:pPr>
  </w:style>
  <w:style w:type="character" w:customStyle="1" w:styleId="HeaderChar">
    <w:name w:val="Header Char"/>
    <w:basedOn w:val="DefaultParagraphFont"/>
    <w:link w:val="Header"/>
    <w:uiPriority w:val="99"/>
    <w:rsid w:val="00C474CC"/>
  </w:style>
  <w:style w:type="paragraph" w:styleId="Footer">
    <w:name w:val="footer"/>
    <w:basedOn w:val="Normal"/>
    <w:link w:val="FooterChar"/>
    <w:uiPriority w:val="99"/>
    <w:unhideWhenUsed/>
    <w:rsid w:val="00C474CC"/>
    <w:pPr>
      <w:tabs>
        <w:tab w:val="center" w:pos="4680"/>
        <w:tab w:val="right" w:pos="9360"/>
      </w:tabs>
    </w:pPr>
  </w:style>
  <w:style w:type="character" w:customStyle="1" w:styleId="FooterChar">
    <w:name w:val="Footer Char"/>
    <w:basedOn w:val="DefaultParagraphFont"/>
    <w:link w:val="Footer"/>
    <w:uiPriority w:val="99"/>
    <w:rsid w:val="00C47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