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5060C5D2" w14:textId="7F36A876">
      <w:pPr>
        <w:jc w:val="center"/>
        <w:rPr>
          <w:b/>
        </w:rPr>
      </w:pPr>
      <w:r w:rsidRPr="0070224F">
        <w:rPr>
          <w:rFonts w:ascii="Times New Roman Bold" w:hAnsi="Times New Roman Bold"/>
          <w:b/>
          <w:kern w:val="0"/>
          <w:szCs w:val="22"/>
        </w:rPr>
        <w:t>Before</w:t>
      </w:r>
      <w:r>
        <w:rPr>
          <w:b/>
        </w:rPr>
        <w:t xml:space="preserve"> the</w:t>
      </w:r>
    </w:p>
    <w:p w:rsidR="00921803" w:rsidP="00921803" w14:paraId="2B91F975" w14:textId="77777777">
      <w:pPr>
        <w:pStyle w:val="StyleBoldCentered"/>
      </w:pPr>
      <w:r>
        <w:t>F</w:t>
      </w:r>
      <w:r>
        <w:rPr>
          <w:caps w:val="0"/>
        </w:rPr>
        <w:t>ederal Communications Commission</w:t>
      </w:r>
    </w:p>
    <w:p w:rsidR="004C2EE3" w:rsidP="00096D8C" w14:paraId="1A1BD420" w14:textId="77777777">
      <w:pPr>
        <w:pStyle w:val="StyleBoldCentered"/>
      </w:pPr>
      <w:r>
        <w:rPr>
          <w:caps w:val="0"/>
        </w:rPr>
        <w:t>Washington, D.C. 20554</w:t>
      </w:r>
    </w:p>
    <w:p w:rsidR="004C2EE3" w:rsidP="0070224F" w14:paraId="38A58234" w14:textId="77777777"/>
    <w:p w:rsidR="004C2EE3" w:rsidP="0070224F" w14:paraId="4080CFAB" w14:textId="77777777"/>
    <w:tbl>
      <w:tblPr>
        <w:tblW w:w="0" w:type="auto"/>
        <w:tblLayout w:type="fixed"/>
        <w:tblLook w:val="0000"/>
      </w:tblPr>
      <w:tblGrid>
        <w:gridCol w:w="4698"/>
        <w:gridCol w:w="630"/>
        <w:gridCol w:w="4248"/>
      </w:tblGrid>
      <w:tr w14:paraId="292D7A95" w14:textId="77777777">
        <w:tblPrEx>
          <w:tblW w:w="0" w:type="auto"/>
          <w:tblLayout w:type="fixed"/>
          <w:tblLook w:val="0000"/>
        </w:tblPrEx>
        <w:tc>
          <w:tcPr>
            <w:tcW w:w="4698" w:type="dxa"/>
          </w:tcPr>
          <w:p w:rsidR="004C2EE3" w14:paraId="28ABB79A" w14:textId="77777777">
            <w:pPr>
              <w:tabs>
                <w:tab w:val="center" w:pos="4680"/>
              </w:tabs>
              <w:suppressAutoHyphens/>
              <w:rPr>
                <w:spacing w:val="-2"/>
              </w:rPr>
            </w:pPr>
            <w:r>
              <w:rPr>
                <w:spacing w:val="-2"/>
              </w:rPr>
              <w:t>In the Matter of</w:t>
            </w:r>
          </w:p>
          <w:p w:rsidR="004C2EE3" w14:paraId="5EAF58AC" w14:textId="77777777">
            <w:pPr>
              <w:tabs>
                <w:tab w:val="center" w:pos="4680"/>
              </w:tabs>
              <w:suppressAutoHyphens/>
              <w:rPr>
                <w:spacing w:val="-2"/>
              </w:rPr>
            </w:pPr>
          </w:p>
          <w:p w:rsidR="004C2EE3" w:rsidP="007115F7" w14:paraId="241E166B" w14:textId="31668195">
            <w:pPr>
              <w:tabs>
                <w:tab w:val="center" w:pos="4680"/>
              </w:tabs>
              <w:suppressAutoHyphens/>
              <w:rPr>
                <w:spacing w:val="-2"/>
              </w:rPr>
            </w:pPr>
            <w:r>
              <w:rPr>
                <w:spacing w:val="-2"/>
              </w:rPr>
              <w:t>A</w:t>
            </w:r>
            <w:r w:rsidR="00780956">
              <w:rPr>
                <w:spacing w:val="-2"/>
              </w:rPr>
              <w:t>rmada Media</w:t>
            </w:r>
            <w:r w:rsidR="00516806">
              <w:rPr>
                <w:spacing w:val="-2"/>
              </w:rPr>
              <w:t xml:space="preserve"> – M</w:t>
            </w:r>
            <w:r w:rsidR="00780956">
              <w:rPr>
                <w:spacing w:val="-2"/>
              </w:rPr>
              <w:t>cCook, Inc.</w:t>
            </w:r>
          </w:p>
          <w:p w:rsidR="00AD2A9B" w:rsidP="007115F7" w14:paraId="0FF0DD5B" w14:textId="3B879034">
            <w:pPr>
              <w:tabs>
                <w:tab w:val="center" w:pos="4680"/>
              </w:tabs>
              <w:suppressAutoHyphens/>
              <w:rPr>
                <w:spacing w:val="-2"/>
              </w:rPr>
            </w:pPr>
            <w:r>
              <w:rPr>
                <w:spacing w:val="-2"/>
              </w:rPr>
              <w:t>Licensee</w:t>
            </w:r>
            <w:r>
              <w:rPr>
                <w:spacing w:val="-2"/>
              </w:rPr>
              <w:t xml:space="preserve"> of Station</w:t>
            </w:r>
            <w:r w:rsidR="002D4C9C">
              <w:rPr>
                <w:spacing w:val="-2"/>
              </w:rPr>
              <w:t>s</w:t>
            </w:r>
            <w:r>
              <w:rPr>
                <w:spacing w:val="-2"/>
              </w:rPr>
              <w:t xml:space="preserve"> </w:t>
            </w:r>
            <w:r w:rsidR="00E457AC">
              <w:rPr>
                <w:spacing w:val="-2"/>
              </w:rPr>
              <w:t>K291BW</w:t>
            </w:r>
            <w:r>
              <w:rPr>
                <w:spacing w:val="-2"/>
              </w:rPr>
              <w:t xml:space="preserve"> </w:t>
            </w:r>
            <w:r w:rsidR="002D4C9C">
              <w:rPr>
                <w:spacing w:val="-2"/>
              </w:rPr>
              <w:t>and W</w:t>
            </w:r>
            <w:r w:rsidR="00A03258">
              <w:rPr>
                <w:spacing w:val="-2"/>
              </w:rPr>
              <w:t>QJS618</w:t>
            </w:r>
          </w:p>
          <w:p w:rsidR="00AD2A9B" w:rsidP="007115F7" w14:paraId="198BBC1D" w14:textId="77777777">
            <w:pPr>
              <w:tabs>
                <w:tab w:val="center" w:pos="4680"/>
              </w:tabs>
              <w:suppressAutoHyphens/>
              <w:rPr>
                <w:spacing w:val="-2"/>
              </w:rPr>
            </w:pPr>
          </w:p>
          <w:p w:rsidR="00AD2A9B" w:rsidRPr="00AD2A9B" w:rsidP="007115F7" w14:paraId="07E9B480" w14:textId="589E8CCE">
            <w:pPr>
              <w:tabs>
                <w:tab w:val="center" w:pos="4680"/>
              </w:tabs>
              <w:suppressAutoHyphens/>
              <w:rPr>
                <w:spacing w:val="-2"/>
              </w:rPr>
            </w:pPr>
            <w:r>
              <w:rPr>
                <w:spacing w:val="-2"/>
              </w:rPr>
              <w:t>Fond du Lac, Wisconsin</w:t>
            </w:r>
          </w:p>
        </w:tc>
        <w:tc>
          <w:tcPr>
            <w:tcW w:w="630" w:type="dxa"/>
          </w:tcPr>
          <w:p w:rsidR="004C2EE3" w14:paraId="2BBE4933" w14:textId="77777777">
            <w:pPr>
              <w:tabs>
                <w:tab w:val="center" w:pos="4680"/>
              </w:tabs>
              <w:suppressAutoHyphens/>
              <w:rPr>
                <w:b/>
                <w:spacing w:val="-2"/>
              </w:rPr>
            </w:pPr>
            <w:r>
              <w:rPr>
                <w:b/>
                <w:spacing w:val="-2"/>
              </w:rPr>
              <w:t>)</w:t>
            </w:r>
          </w:p>
          <w:p w:rsidR="004C2EE3" w14:paraId="3E0AF3EE" w14:textId="77777777">
            <w:pPr>
              <w:tabs>
                <w:tab w:val="center" w:pos="4680"/>
              </w:tabs>
              <w:suppressAutoHyphens/>
              <w:rPr>
                <w:b/>
                <w:spacing w:val="-2"/>
              </w:rPr>
            </w:pPr>
            <w:r>
              <w:rPr>
                <w:b/>
                <w:spacing w:val="-2"/>
              </w:rPr>
              <w:t>)</w:t>
            </w:r>
          </w:p>
          <w:p w:rsidR="004C2EE3" w14:paraId="453CD976" w14:textId="77777777">
            <w:pPr>
              <w:tabs>
                <w:tab w:val="center" w:pos="4680"/>
              </w:tabs>
              <w:suppressAutoHyphens/>
              <w:rPr>
                <w:b/>
                <w:spacing w:val="-2"/>
              </w:rPr>
            </w:pPr>
            <w:r>
              <w:rPr>
                <w:b/>
                <w:spacing w:val="-2"/>
              </w:rPr>
              <w:t>)</w:t>
            </w:r>
          </w:p>
          <w:p w:rsidR="004C2EE3" w14:paraId="4A6F6234" w14:textId="77777777">
            <w:pPr>
              <w:tabs>
                <w:tab w:val="center" w:pos="4680"/>
              </w:tabs>
              <w:suppressAutoHyphens/>
              <w:rPr>
                <w:b/>
                <w:spacing w:val="-2"/>
              </w:rPr>
            </w:pPr>
            <w:r>
              <w:rPr>
                <w:b/>
                <w:spacing w:val="-2"/>
              </w:rPr>
              <w:t>)</w:t>
            </w:r>
          </w:p>
          <w:p w:rsidR="004C2EE3" w14:paraId="2E1732AB" w14:textId="77777777">
            <w:pPr>
              <w:tabs>
                <w:tab w:val="center" w:pos="4680"/>
              </w:tabs>
              <w:suppressAutoHyphens/>
              <w:rPr>
                <w:b/>
                <w:spacing w:val="-2"/>
              </w:rPr>
            </w:pPr>
            <w:r>
              <w:rPr>
                <w:b/>
                <w:spacing w:val="-2"/>
              </w:rPr>
              <w:t>)</w:t>
            </w:r>
          </w:p>
          <w:p w:rsidR="004C2EE3" w14:paraId="4AFF926D" w14:textId="77777777">
            <w:pPr>
              <w:tabs>
                <w:tab w:val="center" w:pos="4680"/>
              </w:tabs>
              <w:suppressAutoHyphens/>
              <w:rPr>
                <w:b/>
                <w:spacing w:val="-2"/>
              </w:rPr>
            </w:pPr>
            <w:r>
              <w:rPr>
                <w:b/>
                <w:spacing w:val="-2"/>
              </w:rPr>
              <w:t>)</w:t>
            </w:r>
          </w:p>
          <w:p w:rsidR="004C2EE3" w:rsidP="0094524B" w14:paraId="2D444FF5" w14:textId="77777777">
            <w:pPr>
              <w:tabs>
                <w:tab w:val="center" w:pos="4680"/>
              </w:tabs>
              <w:suppressAutoHyphens/>
              <w:rPr>
                <w:spacing w:val="-2"/>
              </w:rPr>
            </w:pPr>
            <w:r>
              <w:rPr>
                <w:b/>
                <w:spacing w:val="-2"/>
              </w:rPr>
              <w:t>)</w:t>
            </w:r>
          </w:p>
        </w:tc>
        <w:tc>
          <w:tcPr>
            <w:tcW w:w="4248" w:type="dxa"/>
          </w:tcPr>
          <w:p w:rsidR="004C2EE3" w14:paraId="30BC4831" w14:textId="77777777">
            <w:pPr>
              <w:tabs>
                <w:tab w:val="center" w:pos="4680"/>
              </w:tabs>
              <w:suppressAutoHyphens/>
              <w:rPr>
                <w:spacing w:val="-2"/>
              </w:rPr>
            </w:pPr>
          </w:p>
          <w:p w:rsidR="004C2EE3" w14:paraId="422A3FA4" w14:textId="77777777">
            <w:pPr>
              <w:pStyle w:val="TOAHeading"/>
              <w:tabs>
                <w:tab w:val="center" w:pos="4680"/>
                <w:tab w:val="clear" w:pos="9360"/>
              </w:tabs>
              <w:rPr>
                <w:spacing w:val="-2"/>
              </w:rPr>
            </w:pPr>
          </w:p>
          <w:p w:rsidR="004C2EE3" w14:paraId="6FF97899" w14:textId="29661624">
            <w:pPr>
              <w:tabs>
                <w:tab w:val="center" w:pos="4680"/>
              </w:tabs>
              <w:suppressAutoHyphens/>
              <w:rPr>
                <w:spacing w:val="-2"/>
              </w:rPr>
            </w:pPr>
            <w:r>
              <w:rPr>
                <w:spacing w:val="-2"/>
              </w:rPr>
              <w:t xml:space="preserve">File No.: </w:t>
            </w:r>
            <w:r w:rsidR="00304670">
              <w:rPr>
                <w:spacing w:val="-2"/>
              </w:rPr>
              <w:t>EB-FIELDWR-25-000</w:t>
            </w:r>
            <w:r w:rsidR="00C604BD">
              <w:rPr>
                <w:spacing w:val="-2"/>
              </w:rPr>
              <w:t>38478</w:t>
            </w:r>
          </w:p>
          <w:p w:rsidR="008A73BF" w14:paraId="5DD6D121" w14:textId="77777777">
            <w:pPr>
              <w:tabs>
                <w:tab w:val="center" w:pos="4680"/>
              </w:tabs>
              <w:suppressAutoHyphens/>
              <w:rPr>
                <w:spacing w:val="-2"/>
              </w:rPr>
            </w:pPr>
          </w:p>
          <w:p w:rsidR="00D55FBC" w:rsidRPr="00D55FBC" w14:paraId="69D84720" w14:textId="466847B2">
            <w:pPr>
              <w:tabs>
                <w:tab w:val="center" w:pos="4680"/>
              </w:tabs>
              <w:suppressAutoHyphens/>
              <w:rPr>
                <w:spacing w:val="-2"/>
              </w:rPr>
            </w:pPr>
            <w:r>
              <w:rPr>
                <w:spacing w:val="-2"/>
              </w:rPr>
              <w:t xml:space="preserve">FRN: </w:t>
            </w:r>
            <w:r w:rsidR="002C3706">
              <w:rPr>
                <w:spacing w:val="-2"/>
              </w:rPr>
              <w:t>0016</w:t>
            </w:r>
            <w:r w:rsidR="007E05E7">
              <w:rPr>
                <w:spacing w:val="-2"/>
              </w:rPr>
              <w:t>305252</w:t>
            </w:r>
          </w:p>
        </w:tc>
      </w:tr>
    </w:tbl>
    <w:p w:rsidR="004C2EE3" w:rsidP="0070224F" w14:paraId="50C46571" w14:textId="77777777"/>
    <w:p w:rsidR="00841AB1" w:rsidP="00F021FA" w14:paraId="19748C8D" w14:textId="50CFA8F7">
      <w:pPr>
        <w:pStyle w:val="StyleBoldCentered"/>
      </w:pPr>
      <w:r>
        <w:t>Notice of violation</w:t>
      </w:r>
    </w:p>
    <w:p w:rsidR="70EF530B" w:rsidP="70EF530B" w14:paraId="1351C34B" w14:textId="00F86BC0">
      <w:pPr>
        <w:tabs>
          <w:tab w:val="left" w:pos="720"/>
          <w:tab w:val="right" w:pos="9360"/>
        </w:tabs>
        <w:spacing w:line="227" w:lineRule="auto"/>
        <w:rPr>
          <w:b/>
          <w:bCs/>
        </w:rPr>
      </w:pPr>
    </w:p>
    <w:p w:rsidR="004C2EE3" w:rsidRPr="00AD2A9B" w:rsidP="00220D70" w14:paraId="77DE93A9" w14:textId="6DE5A7F0">
      <w:pPr>
        <w:tabs>
          <w:tab w:val="left" w:pos="7200"/>
          <w:tab w:val="right" w:pos="9360"/>
        </w:tabs>
        <w:suppressAutoHyphens/>
        <w:spacing w:line="227" w:lineRule="auto"/>
        <w:jc w:val="right"/>
        <w:rPr>
          <w:b/>
          <w:bCs/>
          <w:spacing w:val="-2"/>
        </w:rPr>
      </w:pPr>
      <w:r w:rsidRPr="16A90138">
        <w:rPr>
          <w:b/>
          <w:bCs/>
          <w:spacing w:val="-2"/>
        </w:rPr>
        <w:t>R</w:t>
      </w:r>
      <w:r w:rsidRPr="16A90138" w:rsidR="00822CE0">
        <w:rPr>
          <w:b/>
          <w:bCs/>
          <w:spacing w:val="-2"/>
        </w:rPr>
        <w:t>eleased</w:t>
      </w:r>
      <w:r w:rsidRPr="16A90138">
        <w:rPr>
          <w:b/>
          <w:bCs/>
          <w:spacing w:val="-2"/>
        </w:rPr>
        <w:t>:</w:t>
      </w:r>
      <w:r w:rsidR="008A73BF">
        <w:rPr>
          <w:b/>
          <w:bCs/>
          <w:spacing w:val="-2"/>
        </w:rPr>
        <w:t xml:space="preserve"> </w:t>
      </w:r>
      <w:r w:rsidR="00220D70">
        <w:rPr>
          <w:b/>
          <w:bCs/>
          <w:spacing w:val="-2"/>
        </w:rPr>
        <w:t>March 18, 2026</w:t>
      </w:r>
    </w:p>
    <w:p w:rsidR="00822CE0" w14:paraId="30D3BF8B" w14:textId="77777777"/>
    <w:p w:rsidR="004C2EE3" w14:paraId="466808CB" w14:textId="7F9E12C1">
      <w:r>
        <w:t xml:space="preserve">By </w:t>
      </w:r>
      <w:r w:rsidR="004E4A22">
        <w:t>the</w:t>
      </w:r>
      <w:r w:rsidR="002A2D2E">
        <w:t xml:space="preserve"> </w:t>
      </w:r>
      <w:r w:rsidR="00AD2A9B">
        <w:rPr>
          <w:spacing w:val="-2"/>
        </w:rPr>
        <w:t>Regional Director, Region</w:t>
      </w:r>
      <w:r w:rsidR="051C427A">
        <w:rPr>
          <w:spacing w:val="-2"/>
        </w:rPr>
        <w:t xml:space="preserve"> </w:t>
      </w:r>
      <w:r w:rsidR="007E05E7">
        <w:rPr>
          <w:spacing w:val="-2"/>
        </w:rPr>
        <w:t>Three</w:t>
      </w:r>
      <w:r w:rsidR="00AD2A9B">
        <w:rPr>
          <w:spacing w:val="-2"/>
        </w:rPr>
        <w:t>, Enforcement Bureau</w:t>
      </w:r>
      <w:r>
        <w:rPr>
          <w:spacing w:val="-2"/>
        </w:rPr>
        <w:t>:</w:t>
      </w:r>
    </w:p>
    <w:p w:rsidR="00412FC5" w:rsidP="00412FC5" w14:paraId="74257FDC" w14:textId="77777777"/>
    <w:p w:rsidR="00C65583" w:rsidRPr="00AD2A9B" w:rsidP="0097650D" w14:paraId="5897C45B" w14:textId="2BCF511F">
      <w:pPr>
        <w:pStyle w:val="ParaNum"/>
      </w:pPr>
      <w:r w:rsidRPr="00AD2A9B">
        <w:t xml:space="preserve">This is a Notice of Violation (Notice) issued pursuant to </w:t>
      </w:r>
      <w:r w:rsidR="009E31AD">
        <w:t>s</w:t>
      </w:r>
      <w:r w:rsidRPr="00AD2A9B">
        <w:t>ection 1.89 of the Commission’s rules</w:t>
      </w:r>
      <w:r>
        <w:rPr>
          <w:rStyle w:val="FootnoteReference"/>
        </w:rPr>
        <w:footnoteReference w:id="3"/>
      </w:r>
      <w:r w:rsidRPr="00AD2A9B">
        <w:t xml:space="preserve"> to </w:t>
      </w:r>
      <w:r w:rsidR="004B0E33">
        <w:t>A</w:t>
      </w:r>
      <w:r w:rsidR="00780956">
        <w:t>rmada Media</w:t>
      </w:r>
      <w:r w:rsidR="00516806">
        <w:t xml:space="preserve"> </w:t>
      </w:r>
      <w:r w:rsidR="005075C0">
        <w:t>– M</w:t>
      </w:r>
      <w:r w:rsidR="00780956">
        <w:t>cCook, Inc.</w:t>
      </w:r>
      <w:r w:rsidR="00083BB1">
        <w:t xml:space="preserve"> (Armada Media)</w:t>
      </w:r>
      <w:r w:rsidRPr="00AD2A9B">
        <w:t xml:space="preserve">, licensee </w:t>
      </w:r>
      <w:r w:rsidRPr="00D80C6D">
        <w:t xml:space="preserve">of radio </w:t>
      </w:r>
      <w:r w:rsidRPr="00D80C6D" w:rsidR="00754BCC">
        <w:t xml:space="preserve">station </w:t>
      </w:r>
      <w:r w:rsidRPr="00D80C6D" w:rsidR="00083BB1">
        <w:t>K291BW</w:t>
      </w:r>
      <w:r>
        <w:rPr>
          <w:rStyle w:val="FootnoteReference"/>
        </w:rPr>
        <w:footnoteReference w:id="4"/>
      </w:r>
      <w:r w:rsidRPr="00D80C6D" w:rsidR="008F05EC">
        <w:t xml:space="preserve"> </w:t>
      </w:r>
      <w:r w:rsidRPr="00D80C6D" w:rsidR="00DC00B7">
        <w:t xml:space="preserve">and </w:t>
      </w:r>
      <w:r w:rsidRPr="00D80C6D" w:rsidR="00165D61">
        <w:t xml:space="preserve">radio </w:t>
      </w:r>
      <w:r w:rsidRPr="00D80C6D" w:rsidR="00754BCC">
        <w:t xml:space="preserve">station </w:t>
      </w:r>
      <w:r w:rsidRPr="00D80C6D" w:rsidR="00DC00B7">
        <w:t>WQJS618</w:t>
      </w:r>
      <w:r>
        <w:rPr>
          <w:rStyle w:val="FootnoteReference"/>
        </w:rPr>
        <w:footnoteReference w:id="5"/>
      </w:r>
      <w:r w:rsidR="00DC00B7">
        <w:t xml:space="preserve"> </w:t>
      </w:r>
      <w:r w:rsidR="00921353">
        <w:t xml:space="preserve">(Stations) </w:t>
      </w:r>
      <w:r w:rsidRPr="00AD2A9B">
        <w:t xml:space="preserve">in </w:t>
      </w:r>
      <w:r w:rsidR="0039492F">
        <w:t>North Platte, Nebraska</w:t>
      </w:r>
      <w:r w:rsidRPr="00AD2A9B">
        <w:t xml:space="preserve">.  Pursuant to </w:t>
      </w:r>
      <w:r w:rsidR="009E31AD">
        <w:t>s</w:t>
      </w:r>
      <w:r w:rsidRPr="00AD2A9B">
        <w:t xml:space="preserve">ection 1.89(a) of the </w:t>
      </w:r>
      <w:r w:rsidR="008F05EC">
        <w:t>Commission’s r</w:t>
      </w:r>
      <w:r w:rsidRPr="00AD2A9B">
        <w:t>ules, issuance of this Notice does not preclude the Enforcement Bureau from further action if warranted, including issuing a Notice of Apparent Liability for Forfeiture for the violation(s) noted herein.</w:t>
      </w:r>
      <w:r>
        <w:rPr>
          <w:rStyle w:val="FootnoteReference"/>
        </w:rPr>
        <w:footnoteReference w:id="6"/>
      </w:r>
    </w:p>
    <w:p w:rsidR="008F05EC" w:rsidRPr="008F05EC" w:rsidP="008F05EC" w14:paraId="3FF9AD5B" w14:textId="56F2B409">
      <w:pPr>
        <w:pStyle w:val="ParaNum"/>
      </w:pPr>
      <w:r w:rsidRPr="008F05EC">
        <w:t xml:space="preserve">On </w:t>
      </w:r>
      <w:r w:rsidR="00FD02BE">
        <w:t>August 21, 2025</w:t>
      </w:r>
      <w:r w:rsidRPr="008F05EC">
        <w:t xml:space="preserve">, an agent of the Enforcement Bureau’s </w:t>
      </w:r>
      <w:r w:rsidR="00FD02BE">
        <w:t>Denver</w:t>
      </w:r>
      <w:r w:rsidRPr="008F05EC">
        <w:t xml:space="preserve"> Office monitored </w:t>
      </w:r>
      <w:r w:rsidR="00EE55E5">
        <w:t>the Station</w:t>
      </w:r>
      <w:r w:rsidR="00BF2506">
        <w:t>s</w:t>
      </w:r>
      <w:r>
        <w:t xml:space="preserve"> </w:t>
      </w:r>
      <w:r w:rsidRPr="008F05EC">
        <w:t xml:space="preserve">located at </w:t>
      </w:r>
      <w:r w:rsidR="00230828">
        <w:t>307 E</w:t>
      </w:r>
      <w:r w:rsidR="0047790E">
        <w:t>.</w:t>
      </w:r>
      <w:r w:rsidR="00230828">
        <w:t xml:space="preserve"> 4</w:t>
      </w:r>
      <w:r w:rsidR="005075C0">
        <w:t>th</w:t>
      </w:r>
      <w:r w:rsidR="00230828">
        <w:t xml:space="preserve"> </w:t>
      </w:r>
      <w:r w:rsidR="00CA0437">
        <w:t>Street, North Platte, N</w:t>
      </w:r>
      <w:r w:rsidR="00AA6B0C">
        <w:t>ebraska</w:t>
      </w:r>
      <w:r w:rsidRPr="008F05EC">
        <w:t>, and observed the following violation</w:t>
      </w:r>
      <w:r w:rsidR="00EE55E5">
        <w:t>s</w:t>
      </w:r>
      <w:r w:rsidRPr="008F05EC">
        <w:t>:</w:t>
      </w:r>
    </w:p>
    <w:p w:rsidR="00C74F2B" w:rsidP="00156DA2" w14:paraId="44D15EEF" w14:textId="440E798D">
      <w:pPr>
        <w:numPr>
          <w:ilvl w:val="0"/>
          <w:numId w:val="7"/>
        </w:numPr>
        <w:spacing w:after="120"/>
      </w:pPr>
      <w:r>
        <w:t xml:space="preserve">47 CFR § </w:t>
      </w:r>
      <w:r w:rsidR="004C7252">
        <w:t>74.1236</w:t>
      </w:r>
      <w:r>
        <w:t>:</w:t>
      </w:r>
    </w:p>
    <w:p w:rsidR="00156DA2" w:rsidRPr="00156DA2" w:rsidP="00C65583" w14:paraId="681DDA27" w14:textId="77777777">
      <w:pPr>
        <w:spacing w:after="120"/>
        <w:ind w:left="1440"/>
      </w:pPr>
      <w:r w:rsidRPr="001611AE">
        <w:t xml:space="preserve">(b) Standard width FM channels will be </w:t>
      </w:r>
      <w:r w:rsidRPr="001611AE">
        <w:t>assigned</w:t>
      </w:r>
      <w:r w:rsidRPr="001611AE">
        <w:t xml:space="preserve"> and the transmitting </w:t>
      </w:r>
      <w:r w:rsidRPr="00156DA2">
        <w:t xml:space="preserve">apparatus shall be operated </w:t>
      </w:r>
      <w:r w:rsidRPr="00156DA2">
        <w:t>so as to</w:t>
      </w:r>
      <w:r w:rsidRPr="00156DA2">
        <w:t xml:space="preserve"> limit spurious emissions to the lowest practicable value. Any emissions including intermodulation products and radiofrequency harmonics which are not essential for the transmission of the desired aural information shall </w:t>
      </w:r>
      <w:r w:rsidRPr="00156DA2">
        <w:t>be considered to be</w:t>
      </w:r>
      <w:r w:rsidRPr="00156DA2">
        <w:t xml:space="preserve"> spurious emissions.</w:t>
      </w:r>
    </w:p>
    <w:p w:rsidR="00156DA2" w:rsidRPr="00156DA2" w:rsidP="00C65583" w14:paraId="5C46FA2F" w14:textId="77777777">
      <w:pPr>
        <w:spacing w:after="120"/>
        <w:ind w:left="1440"/>
      </w:pPr>
      <w:r w:rsidRPr="00156DA2">
        <w:t>(c) The power of emissions appearing outside the assigned channel shall be attenuated below the total power of the emission as follows:</w:t>
      </w:r>
    </w:p>
    <w:tbl>
      <w:tblPr>
        <w:tblW w:w="4238" w:type="pct"/>
        <w:tblCellSpacing w:w="7" w:type="dxa"/>
        <w:tblInd w:w="143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30"/>
        <w:gridCol w:w="4590"/>
      </w:tblGrid>
      <w:tr w14:paraId="5B93FBA8" w14:textId="77777777" w:rsidTr="00D80C6D">
        <w:tblPrEx>
          <w:tblW w:w="4238" w:type="pct"/>
          <w:tblInd w:w="1432" w:type="dxa"/>
          <w:tblLook w:val="04A0"/>
        </w:tblPrEx>
        <w:trPr>
          <w:tblHeader/>
        </w:trPr>
        <w:tc>
          <w:tcPr>
            <w:tcW w:w="2089" w:type="pct"/>
            <w:tcBorders>
              <w:top w:val="outset" w:sz="6" w:space="0" w:color="auto"/>
              <w:left w:val="outset" w:sz="6" w:space="0" w:color="auto"/>
              <w:bottom w:val="outset" w:sz="6" w:space="0" w:color="auto"/>
              <w:right w:val="outset" w:sz="6" w:space="0" w:color="auto"/>
            </w:tcBorders>
            <w:shd w:val="clear" w:color="auto" w:fill="ECECEC"/>
            <w:vAlign w:val="center"/>
            <w:hideMark/>
          </w:tcPr>
          <w:p w:rsidR="00156DA2" w:rsidRPr="00156DA2" w:rsidP="00867810" w14:paraId="29F8CC1F" w14:textId="77777777">
            <w:pPr>
              <w:spacing w:after="120"/>
              <w:ind w:left="45"/>
              <w:jc w:val="center"/>
              <w:rPr>
                <w:b/>
                <w:bCs/>
              </w:rPr>
            </w:pPr>
            <w:r w:rsidRPr="00156DA2">
              <w:rPr>
                <w:b/>
                <w:bCs/>
              </w:rPr>
              <w:t>Distance of emission from center frequency</w:t>
            </w:r>
          </w:p>
        </w:tc>
        <w:tc>
          <w:tcPr>
            <w:tcW w:w="2884" w:type="pct"/>
            <w:tcBorders>
              <w:top w:val="outset" w:sz="6" w:space="0" w:color="auto"/>
              <w:left w:val="outset" w:sz="6" w:space="0" w:color="auto"/>
              <w:bottom w:val="outset" w:sz="6" w:space="0" w:color="auto"/>
              <w:right w:val="outset" w:sz="6" w:space="0" w:color="auto"/>
            </w:tcBorders>
            <w:shd w:val="clear" w:color="auto" w:fill="ECECEC"/>
            <w:vAlign w:val="center"/>
            <w:hideMark/>
          </w:tcPr>
          <w:p w:rsidR="00156DA2" w:rsidRPr="00156DA2" w:rsidP="00867810" w14:paraId="48BB7C15" w14:textId="77777777">
            <w:pPr>
              <w:spacing w:after="120"/>
              <w:ind w:left="46"/>
              <w:jc w:val="center"/>
              <w:rPr>
                <w:b/>
                <w:bCs/>
              </w:rPr>
            </w:pPr>
            <w:r w:rsidRPr="00156DA2">
              <w:rPr>
                <w:b/>
                <w:bCs/>
              </w:rPr>
              <w:t>Minimum attenuation below unmodulated carrier</w:t>
            </w:r>
          </w:p>
        </w:tc>
      </w:tr>
      <w:tr w14:paraId="25091A2A" w14:textId="77777777" w:rsidTr="00D80C6D">
        <w:tblPrEx>
          <w:tblW w:w="4238" w:type="pct"/>
          <w:tblInd w:w="1432" w:type="dxa"/>
          <w:tblLook w:val="04A0"/>
        </w:tblPrEx>
        <w:tc>
          <w:tcPr>
            <w:tcW w:w="2089" w:type="pct"/>
            <w:tcBorders>
              <w:top w:val="outset" w:sz="6" w:space="0" w:color="auto"/>
              <w:left w:val="outset" w:sz="6" w:space="0" w:color="auto"/>
              <w:bottom w:val="outset" w:sz="6" w:space="0" w:color="auto"/>
              <w:right w:val="outset" w:sz="6" w:space="0" w:color="auto"/>
            </w:tcBorders>
            <w:vAlign w:val="center"/>
            <w:hideMark/>
          </w:tcPr>
          <w:p w:rsidR="00156DA2" w:rsidRPr="00156DA2" w:rsidP="00867810" w14:paraId="572A478D" w14:textId="77777777">
            <w:pPr>
              <w:spacing w:after="120"/>
              <w:ind w:left="45"/>
            </w:pPr>
            <w:r w:rsidRPr="00156DA2">
              <w:t>120 to 240 kHz</w:t>
            </w:r>
          </w:p>
        </w:tc>
        <w:tc>
          <w:tcPr>
            <w:tcW w:w="2884" w:type="pct"/>
            <w:tcBorders>
              <w:top w:val="outset" w:sz="6" w:space="0" w:color="auto"/>
              <w:left w:val="outset" w:sz="6" w:space="0" w:color="auto"/>
              <w:bottom w:val="outset" w:sz="6" w:space="0" w:color="auto"/>
              <w:right w:val="outset" w:sz="6" w:space="0" w:color="auto"/>
            </w:tcBorders>
            <w:vAlign w:val="center"/>
            <w:hideMark/>
          </w:tcPr>
          <w:p w:rsidR="00156DA2" w:rsidRPr="00156DA2" w:rsidP="00867810" w14:paraId="0C07DF2B" w14:textId="77777777">
            <w:pPr>
              <w:spacing w:after="120"/>
              <w:ind w:left="46"/>
              <w:jc w:val="center"/>
            </w:pPr>
            <w:r w:rsidRPr="00156DA2">
              <w:t>25 dB</w:t>
            </w:r>
          </w:p>
        </w:tc>
      </w:tr>
      <w:tr w14:paraId="09D74661" w14:textId="77777777" w:rsidTr="00D80C6D">
        <w:tblPrEx>
          <w:tblW w:w="4238" w:type="pct"/>
          <w:tblInd w:w="1432" w:type="dxa"/>
          <w:tblLook w:val="04A0"/>
        </w:tblPrEx>
        <w:tc>
          <w:tcPr>
            <w:tcW w:w="2089" w:type="pct"/>
            <w:tcBorders>
              <w:top w:val="outset" w:sz="6" w:space="0" w:color="auto"/>
              <w:left w:val="outset" w:sz="6" w:space="0" w:color="auto"/>
              <w:bottom w:val="outset" w:sz="6" w:space="0" w:color="auto"/>
              <w:right w:val="outset" w:sz="6" w:space="0" w:color="auto"/>
            </w:tcBorders>
            <w:vAlign w:val="center"/>
            <w:hideMark/>
          </w:tcPr>
          <w:p w:rsidR="00156DA2" w:rsidRPr="00156DA2" w:rsidP="00867810" w14:paraId="693D70CE" w14:textId="77777777">
            <w:pPr>
              <w:spacing w:after="120"/>
              <w:ind w:left="45"/>
            </w:pPr>
            <w:r w:rsidRPr="00156DA2">
              <w:t>Over 240 and up to 600 kHz</w:t>
            </w:r>
          </w:p>
        </w:tc>
        <w:tc>
          <w:tcPr>
            <w:tcW w:w="2884" w:type="pct"/>
            <w:tcBorders>
              <w:top w:val="outset" w:sz="6" w:space="0" w:color="auto"/>
              <w:left w:val="outset" w:sz="6" w:space="0" w:color="auto"/>
              <w:bottom w:val="outset" w:sz="6" w:space="0" w:color="auto"/>
              <w:right w:val="outset" w:sz="6" w:space="0" w:color="auto"/>
            </w:tcBorders>
            <w:vAlign w:val="center"/>
            <w:hideMark/>
          </w:tcPr>
          <w:p w:rsidR="00156DA2" w:rsidRPr="00156DA2" w:rsidP="00867810" w14:paraId="751D8DD6" w14:textId="77777777">
            <w:pPr>
              <w:spacing w:after="120"/>
              <w:ind w:left="46"/>
              <w:jc w:val="center"/>
            </w:pPr>
            <w:r w:rsidRPr="00156DA2">
              <w:t>35 dB</w:t>
            </w:r>
          </w:p>
        </w:tc>
      </w:tr>
      <w:tr w14:paraId="6AC279BD" w14:textId="77777777" w:rsidTr="00D80C6D">
        <w:tblPrEx>
          <w:tblW w:w="4238" w:type="pct"/>
          <w:tblInd w:w="1432" w:type="dxa"/>
          <w:tblLook w:val="04A0"/>
        </w:tblPrEx>
        <w:tc>
          <w:tcPr>
            <w:tcW w:w="2089" w:type="pct"/>
            <w:tcBorders>
              <w:top w:val="outset" w:sz="6" w:space="0" w:color="auto"/>
              <w:left w:val="outset" w:sz="6" w:space="0" w:color="auto"/>
              <w:bottom w:val="outset" w:sz="6" w:space="0" w:color="auto"/>
              <w:right w:val="outset" w:sz="6" w:space="0" w:color="auto"/>
            </w:tcBorders>
            <w:vAlign w:val="center"/>
            <w:hideMark/>
          </w:tcPr>
          <w:p w:rsidR="00156DA2" w:rsidRPr="00156DA2" w:rsidP="00867810" w14:paraId="22B39FA0" w14:textId="77777777">
            <w:pPr>
              <w:spacing w:after="120"/>
              <w:ind w:left="45"/>
            </w:pPr>
            <w:r w:rsidRPr="00156DA2">
              <w:t>Over 600 kHz</w:t>
            </w:r>
          </w:p>
        </w:tc>
        <w:tc>
          <w:tcPr>
            <w:tcW w:w="2884" w:type="pct"/>
            <w:tcBorders>
              <w:top w:val="outset" w:sz="6" w:space="0" w:color="auto"/>
              <w:left w:val="outset" w:sz="6" w:space="0" w:color="auto"/>
              <w:bottom w:val="outset" w:sz="6" w:space="0" w:color="auto"/>
              <w:right w:val="outset" w:sz="6" w:space="0" w:color="auto"/>
            </w:tcBorders>
            <w:vAlign w:val="center"/>
            <w:hideMark/>
          </w:tcPr>
          <w:p w:rsidR="00156DA2" w:rsidRPr="00156DA2" w:rsidP="00867810" w14:paraId="5FFF934A" w14:textId="77777777">
            <w:pPr>
              <w:spacing w:after="120"/>
              <w:ind w:left="46"/>
              <w:jc w:val="center"/>
            </w:pPr>
            <w:r w:rsidRPr="00156DA2">
              <w:t>60 dB</w:t>
            </w:r>
          </w:p>
        </w:tc>
      </w:tr>
    </w:tbl>
    <w:p w:rsidR="00710670" w:rsidP="00C65583" w14:paraId="2FBA691B" w14:textId="77777777">
      <w:pPr>
        <w:spacing w:after="120"/>
        <w:ind w:left="1440"/>
      </w:pPr>
    </w:p>
    <w:p w:rsidR="007D6D41" w:rsidP="00E834C2" w14:paraId="56FA3812" w14:textId="77777777">
      <w:pPr>
        <w:spacing w:after="120"/>
        <w:ind w:left="1440"/>
      </w:pPr>
      <w:r w:rsidRPr="00156DA2">
        <w:t xml:space="preserve">(d) Greater attenuation than that </w:t>
      </w:r>
      <w:r w:rsidRPr="006B5561">
        <w:t xml:space="preserve">specified in </w:t>
      </w:r>
      <w:hyperlink r:id="rId6" w:anchor="p-74.1236(c)" w:history="1">
        <w:r w:rsidRPr="00D80C6D">
          <w:rPr>
            <w:rStyle w:val="Hyperlink"/>
            <w:color w:val="auto"/>
            <w:u w:val="none"/>
          </w:rPr>
          <w:t>paragraph (c)</w:t>
        </w:r>
      </w:hyperlink>
      <w:r w:rsidRPr="006B5561">
        <w:t xml:space="preserve"> of this section may be required if interference results outside the assigned channel.</w:t>
      </w:r>
      <w:r w:rsidRPr="006B5561" w:rsidR="00910A03">
        <w:t xml:space="preserve"> </w:t>
      </w:r>
    </w:p>
    <w:p w:rsidR="008F05EC" w:rsidRPr="00D80C6D" w:rsidP="00E834C2" w14:paraId="7BA3FEFA" w14:textId="50E12462">
      <w:pPr>
        <w:spacing w:after="120"/>
        <w:ind w:left="1440"/>
      </w:pPr>
      <w:r>
        <w:t>The Agent found that an</w:t>
      </w:r>
      <w:r w:rsidRPr="006B5561">
        <w:t xml:space="preserve"> </w:t>
      </w:r>
      <w:r w:rsidRPr="006B5561" w:rsidR="00910A03">
        <w:t xml:space="preserve">intermodulation </w:t>
      </w:r>
      <w:r w:rsidR="00910A03">
        <w:t>product</w:t>
      </w:r>
      <w:r w:rsidR="00FD7C5F">
        <w:t xml:space="preserve">, </w:t>
      </w:r>
      <w:r w:rsidR="00910A03">
        <w:t>measured at 839.39 MHz</w:t>
      </w:r>
      <w:r w:rsidR="00FD7C5F">
        <w:t>,</w:t>
      </w:r>
      <w:r w:rsidR="00515FB7">
        <w:t xml:space="preserve"> was </w:t>
      </w:r>
      <w:r w:rsidR="00515FB7">
        <w:t>transmitting</w:t>
      </w:r>
      <w:r w:rsidR="00515FB7">
        <w:t xml:space="preserve"> from</w:t>
      </w:r>
      <w:r w:rsidR="00532041">
        <w:t xml:space="preserve"> </w:t>
      </w:r>
      <w:r w:rsidR="00EE55E5">
        <w:t xml:space="preserve">the </w:t>
      </w:r>
      <w:r w:rsidR="00921353">
        <w:t>Armada Media’s</w:t>
      </w:r>
      <w:r w:rsidR="00921353">
        <w:t xml:space="preserve"> </w:t>
      </w:r>
      <w:r w:rsidR="00532041">
        <w:t>rooftop equipment</w:t>
      </w:r>
      <w:r w:rsidR="00FD7C5F">
        <w:t xml:space="preserve">, </w:t>
      </w:r>
      <w:r w:rsidR="00D00612">
        <w:t xml:space="preserve">was </w:t>
      </w:r>
      <w:r>
        <w:t>greater than 600</w:t>
      </w:r>
      <w:r w:rsidR="00921353">
        <w:t> </w:t>
      </w:r>
      <w:r>
        <w:t xml:space="preserve">kHz </w:t>
      </w:r>
      <w:r w:rsidRPr="00D80C6D">
        <w:t xml:space="preserve">from </w:t>
      </w:r>
      <w:r w:rsidRPr="00D80C6D" w:rsidR="00921353">
        <w:t xml:space="preserve">the </w:t>
      </w:r>
      <w:r w:rsidRPr="00D80C6D" w:rsidR="00165D61">
        <w:t xml:space="preserve">K291BW </w:t>
      </w:r>
      <w:r w:rsidRPr="00D80C6D" w:rsidR="0078567B">
        <w:t xml:space="preserve">center frequency </w:t>
      </w:r>
      <w:r w:rsidRPr="00D80C6D" w:rsidR="00CC0D56">
        <w:t xml:space="preserve">of </w:t>
      </w:r>
      <w:r w:rsidRPr="00D80C6D" w:rsidR="00C36C61">
        <w:t>106.1 MHz</w:t>
      </w:r>
      <w:r w:rsidRPr="00D80C6D">
        <w:t>, and was not attenuated by the required minimum 60</w:t>
      </w:r>
      <w:r w:rsidR="0085672A">
        <w:t xml:space="preserve"> </w:t>
      </w:r>
      <w:r w:rsidRPr="00D80C6D">
        <w:t>dB</w:t>
      </w:r>
      <w:r w:rsidRPr="00D80C6D" w:rsidR="006933DB">
        <w:t>.</w:t>
      </w:r>
    </w:p>
    <w:p w:rsidR="001B4B48" w:rsidRPr="00D80C6D" w:rsidP="001B4B48" w14:paraId="5EFD9DF3" w14:textId="7247E31B">
      <w:pPr>
        <w:pStyle w:val="ListParagraph"/>
        <w:numPr>
          <w:ilvl w:val="0"/>
          <w:numId w:val="7"/>
        </w:numPr>
        <w:spacing w:after="120"/>
      </w:pPr>
      <w:r w:rsidRPr="00D80C6D">
        <w:t>74.535(a)(iii): “</w:t>
      </w:r>
      <w:r w:rsidRPr="00D80C6D" w:rsidR="006D11BD">
        <w:t xml:space="preserve">The mean power </w:t>
      </w:r>
      <w:r w:rsidRPr="00D80C6D" w:rsidR="00541FC8">
        <w:t>of emissions shall be attenuated below the mean transmitter power (P</w:t>
      </w:r>
      <w:r w:rsidRPr="00D80C6D" w:rsidR="00541FC8">
        <w:rPr>
          <w:vertAlign w:val="subscript"/>
        </w:rPr>
        <w:t>MEAN</w:t>
      </w:r>
      <w:r w:rsidRPr="00D80C6D" w:rsidR="00541FC8">
        <w:t>)</w:t>
      </w:r>
      <w:r w:rsidRPr="00D80C6D" w:rsidR="00B628A1">
        <w:t xml:space="preserve"> in accordance with the following schedule…(</w:t>
      </w:r>
      <w:r w:rsidRPr="00D80C6D" w:rsidR="00752258">
        <w:t>1</w:t>
      </w:r>
      <w:r w:rsidRPr="00D80C6D" w:rsidR="00B628A1">
        <w:t xml:space="preserve">) </w:t>
      </w:r>
      <w:r w:rsidRPr="00D80C6D" w:rsidR="00E371A6">
        <w:t>[</w:t>
      </w:r>
      <w:r w:rsidRPr="00D80C6D" w:rsidR="00B628A1">
        <w:t>w</w:t>
      </w:r>
      <w:r w:rsidRPr="00D80C6D" w:rsidR="00E371A6">
        <w:t>]</w:t>
      </w:r>
      <w:r w:rsidRPr="00D80C6D" w:rsidR="00B628A1">
        <w:t xml:space="preserve">hen using </w:t>
      </w:r>
      <w:r w:rsidRPr="00D80C6D" w:rsidR="00752258">
        <w:t>frequency modulation</w:t>
      </w:r>
      <w:r w:rsidRPr="00D80C6D" w:rsidR="00E371A6">
        <w:t>…(iii) [o]</w:t>
      </w:r>
      <w:r w:rsidRPr="00D80C6D">
        <w:t>n any frequency removed from the assigned (center) frequency by more than 250% of the authorized bandwidth: At least 43 + 10 log</w:t>
      </w:r>
      <w:r w:rsidRPr="00D80C6D">
        <w:rPr>
          <w:vertAlign w:val="subscript"/>
        </w:rPr>
        <w:t>10</w:t>
      </w:r>
      <w:r w:rsidRPr="00D80C6D">
        <w:t xml:space="preserve"> (P</w:t>
      </w:r>
      <w:r w:rsidRPr="00D80C6D">
        <w:rPr>
          <w:vertAlign w:val="subscript"/>
        </w:rPr>
        <w:t>MEAN</w:t>
      </w:r>
      <w:r w:rsidRPr="00D80C6D">
        <w:t xml:space="preserve"> in watts) dB, or 80 dB, whichever is the lesser attenuation, in any 100 kHz reference bandwidth.” An intermodulation product, measured at 839.39 MHz</w:t>
      </w:r>
      <w:r w:rsidRPr="00D80C6D" w:rsidR="000E51C8">
        <w:t xml:space="preserve"> (which is </w:t>
      </w:r>
      <w:r w:rsidRPr="00D80C6D" w:rsidR="00230806">
        <w:t xml:space="preserve">removed from </w:t>
      </w:r>
      <w:r w:rsidRPr="00D80C6D" w:rsidR="00921353">
        <w:t xml:space="preserve">the </w:t>
      </w:r>
      <w:r w:rsidRPr="00D80C6D" w:rsidR="00CC0D56">
        <w:t>WQJS618</w:t>
      </w:r>
      <w:r w:rsidRPr="00D80C6D" w:rsidR="00230806">
        <w:t xml:space="preserve"> </w:t>
      </w:r>
      <w:r w:rsidRPr="00D80C6D" w:rsidR="00A16360">
        <w:t xml:space="preserve">center </w:t>
      </w:r>
      <w:r w:rsidRPr="00D80C6D" w:rsidR="00230806">
        <w:t xml:space="preserve">frequency </w:t>
      </w:r>
      <w:r w:rsidRPr="00D80C6D" w:rsidR="00A16360">
        <w:t xml:space="preserve">of </w:t>
      </w:r>
      <w:r w:rsidRPr="00D80C6D" w:rsidR="002B2729">
        <w:t>945.5 MHz</w:t>
      </w:r>
      <w:r w:rsidRPr="00D80C6D" w:rsidR="00DB52E7">
        <w:t xml:space="preserve"> </w:t>
      </w:r>
      <w:r w:rsidRPr="00D80C6D" w:rsidR="00230806">
        <w:t>by more than 250% of the authorized bandwidth)</w:t>
      </w:r>
      <w:r w:rsidRPr="00D80C6D">
        <w:t xml:space="preserve">, was found to be </w:t>
      </w:r>
      <w:r w:rsidRPr="00D80C6D">
        <w:t>transmitting</w:t>
      </w:r>
      <w:r w:rsidRPr="00D80C6D">
        <w:t xml:space="preserve"> from </w:t>
      </w:r>
      <w:r w:rsidRPr="00D80C6D" w:rsidR="00921353">
        <w:t>Armada Media’s</w:t>
      </w:r>
      <w:r w:rsidRPr="00D80C6D" w:rsidR="00921353">
        <w:t xml:space="preserve"> </w:t>
      </w:r>
      <w:r w:rsidRPr="00D80C6D">
        <w:t>rooftop equipment</w:t>
      </w:r>
      <w:r w:rsidRPr="00D80C6D" w:rsidR="0089007A">
        <w:t>,</w:t>
      </w:r>
      <w:r w:rsidRPr="00D80C6D">
        <w:t xml:space="preserve"> and was not attenuated </w:t>
      </w:r>
      <w:r w:rsidRPr="00D80C6D" w:rsidR="00E81A73">
        <w:t xml:space="preserve">by </w:t>
      </w:r>
      <w:r w:rsidRPr="00D80C6D">
        <w:t>the required amount</w:t>
      </w:r>
      <w:r w:rsidRPr="00D80C6D" w:rsidR="00054CF8">
        <w:t xml:space="preserve"> per the schedule</w:t>
      </w:r>
      <w:r w:rsidRPr="00D80C6D">
        <w:t>.</w:t>
      </w:r>
    </w:p>
    <w:p w:rsidR="001B4B48" w:rsidRPr="00D80C6D" w:rsidP="006962B1" w14:paraId="42A16BB0" w14:textId="77777777">
      <w:pPr>
        <w:pStyle w:val="ListParagraph"/>
        <w:spacing w:after="120"/>
        <w:ind w:left="1440"/>
      </w:pPr>
      <w:r w:rsidRPr="00D80C6D">
        <w:t xml:space="preserve"> </w:t>
      </w:r>
    </w:p>
    <w:p w:rsidR="001B4B48" w:rsidRPr="00D80C6D" w:rsidP="001B4B48" w14:paraId="45AD14CE" w14:textId="4AE06617">
      <w:pPr>
        <w:pStyle w:val="ListParagraph"/>
        <w:numPr>
          <w:ilvl w:val="0"/>
          <w:numId w:val="7"/>
        </w:numPr>
        <w:spacing w:after="120"/>
      </w:pPr>
      <w:r w:rsidRPr="00D80C6D">
        <w:t xml:space="preserve">74.535(c): “In the event a station's emissions outside its authorized channel cause harmful interference, the Commission may require the licensee to take such further steps as may be necessary to eliminate the interference.” </w:t>
      </w:r>
      <w:r w:rsidRPr="00D80C6D" w:rsidR="000E4145">
        <w:t xml:space="preserve">Notwithstanding the </w:t>
      </w:r>
      <w:r w:rsidRPr="00D80C6D" w:rsidR="002B627F">
        <w:t>licensee</w:t>
      </w:r>
      <w:r w:rsidRPr="00D80C6D" w:rsidR="00E22699">
        <w:t xml:space="preserve">’s </w:t>
      </w:r>
      <w:r w:rsidRPr="00D80C6D" w:rsidR="00F17F5F">
        <w:t xml:space="preserve">purported </w:t>
      </w:r>
      <w:r w:rsidRPr="00D80C6D" w:rsidR="00AD4799">
        <w:t xml:space="preserve">remedial </w:t>
      </w:r>
      <w:r w:rsidRPr="00D80C6D" w:rsidR="00DF22D9">
        <w:t xml:space="preserve">installation of a filter on </w:t>
      </w:r>
      <w:r w:rsidRPr="00D80C6D" w:rsidR="00667CB0">
        <w:t>the K291BW</w:t>
      </w:r>
      <w:r w:rsidRPr="00D80C6D" w:rsidR="000E4145">
        <w:t xml:space="preserve"> </w:t>
      </w:r>
      <w:r w:rsidRPr="00D80C6D" w:rsidR="00DF22D9">
        <w:t xml:space="preserve">antenna system, the </w:t>
      </w:r>
      <w:r w:rsidRPr="00D80C6D" w:rsidR="00E134EF">
        <w:t xml:space="preserve">harmful </w:t>
      </w:r>
      <w:r w:rsidRPr="00D80C6D" w:rsidR="00DF22D9">
        <w:t xml:space="preserve">interference </w:t>
      </w:r>
      <w:r w:rsidRPr="00D80C6D" w:rsidR="00E134EF">
        <w:t xml:space="preserve">to another licensee </w:t>
      </w:r>
      <w:r w:rsidRPr="00D80C6D" w:rsidR="00E22699">
        <w:t xml:space="preserve">from that system </w:t>
      </w:r>
      <w:r w:rsidRPr="00D80C6D" w:rsidR="00E134EF">
        <w:t>has not been eliminated</w:t>
      </w:r>
      <w:r w:rsidRPr="00D80C6D" w:rsidR="00D23FC9">
        <w:t>,</w:t>
      </w:r>
      <w:r w:rsidRPr="00D80C6D" w:rsidR="00353448">
        <w:t xml:space="preserve"> </w:t>
      </w:r>
      <w:r w:rsidRPr="00D80C6D" w:rsidR="001904CE">
        <w:t>and</w:t>
      </w:r>
      <w:r w:rsidRPr="00D80C6D" w:rsidR="00353448">
        <w:t xml:space="preserve"> </w:t>
      </w:r>
      <w:r w:rsidRPr="00D80C6D" w:rsidR="002B627F">
        <w:t xml:space="preserve">the licensee </w:t>
      </w:r>
      <w:r w:rsidRPr="00D80C6D" w:rsidR="001904CE">
        <w:t xml:space="preserve">has </w:t>
      </w:r>
      <w:r w:rsidRPr="00D80C6D" w:rsidR="008133F9">
        <w:t>failed to take further steps as necessary to eliminate this interference.</w:t>
      </w:r>
    </w:p>
    <w:p w:rsidR="003D7720" w:rsidP="00E834C2" w14:paraId="4755DB35" w14:textId="6E9006FA">
      <w:pPr>
        <w:pStyle w:val="ParaNum"/>
      </w:pPr>
      <w:r w:rsidRPr="008F05EC">
        <w:t xml:space="preserve">Pursuant to </w:t>
      </w:r>
      <w:r w:rsidR="009E31AD">
        <w:t>s</w:t>
      </w:r>
      <w:r w:rsidRPr="008F05EC">
        <w:t>ection 308(b)of the Communications Act of 1934, as amended</w:t>
      </w:r>
      <w:r>
        <w:t xml:space="preserve"> (Act)</w:t>
      </w:r>
      <w:r w:rsidRPr="008F05EC">
        <w:t xml:space="preserve">, and </w:t>
      </w:r>
      <w:r w:rsidR="009E31AD">
        <w:t>s</w:t>
      </w:r>
      <w:r w:rsidRPr="008F05EC">
        <w:t xml:space="preserve">ection 1.89 of the </w:t>
      </w:r>
      <w:r>
        <w:t>Commission’s r</w:t>
      </w:r>
      <w:r w:rsidRPr="008F05EC">
        <w:t>ules, we seek additional information concerning the violations and any remedial actions taken.</w:t>
      </w:r>
      <w:r>
        <w:rPr>
          <w:rStyle w:val="FootnoteReference"/>
        </w:rPr>
        <w:footnoteReference w:id="7"/>
      </w:r>
      <w:r w:rsidRPr="008F05EC">
        <w:t xml:space="preserve">  Therefore, </w:t>
      </w:r>
      <w:r w:rsidR="007D1054">
        <w:t>Armada Media</w:t>
      </w:r>
      <w:r w:rsidRPr="008F05EC">
        <w:t xml:space="preserve"> must submit a written statement concerning this matter within twenty (20) days of release of this Notice.  The response (</w:t>
      </w:r>
      <w:r w:rsidRPr="008F05EC">
        <w:t>i</w:t>
      </w:r>
      <w:r w:rsidRPr="008F05EC">
        <w:t>)</w:t>
      </w:r>
      <w:r>
        <w:t> </w:t>
      </w:r>
      <w:r w:rsidRPr="008F05EC">
        <w:t>must fully explain each violation, including all relevant surrounding facts and circumstances, (ii)</w:t>
      </w:r>
      <w:r>
        <w:t> </w:t>
      </w:r>
      <w:r w:rsidRPr="008F05EC">
        <w:t>must contain a statement of the specific action(s) taken to correct each violation and preclude recurrence, and (iii)</w:t>
      </w:r>
      <w:r>
        <w:t> </w:t>
      </w:r>
      <w:r w:rsidRPr="008F05EC">
        <w:t xml:space="preserve">must include a </w:t>
      </w:r>
      <w:r w:rsidRPr="008F05EC">
        <w:t>time line</w:t>
      </w:r>
      <w:r w:rsidRPr="008F05EC">
        <w:t xml:space="preserve"> for completion of any pending corrective action(s).  The response must be complete </w:t>
      </w:r>
      <w:r w:rsidRPr="008F05EC">
        <w:t>in itself and</w:t>
      </w:r>
      <w:r w:rsidRPr="008F05EC">
        <w:t xml:space="preserve"> must not be abbreviated by reference to other communications or answers to other notices.</w:t>
      </w:r>
      <w:r>
        <w:rPr>
          <w:rStyle w:val="FootnoteReference"/>
        </w:rPr>
        <w:footnoteReference w:id="8"/>
      </w:r>
    </w:p>
    <w:p w:rsidR="00E83B9D" w:rsidP="006A0E2B" w14:paraId="3E514EA2" w14:textId="594B86F0">
      <w:pPr>
        <w:pStyle w:val="ParaNum"/>
      </w:pPr>
      <w:r w:rsidRPr="00D55FBC">
        <w:t xml:space="preserve">In accordance with </w:t>
      </w:r>
      <w:r w:rsidR="009E31AD">
        <w:t>s</w:t>
      </w:r>
      <w:r w:rsidRPr="00D55FBC" w:rsidR="009E31AD">
        <w:t xml:space="preserve">ection </w:t>
      </w:r>
      <w:r w:rsidRPr="00D55FBC">
        <w:t xml:space="preserve">1.16 of the </w:t>
      </w:r>
      <w:r>
        <w:t>Commission’s r</w:t>
      </w:r>
      <w:r w:rsidRPr="00D55FBC">
        <w:t xml:space="preserve">ules, we direct </w:t>
      </w:r>
      <w:r w:rsidR="009A31E9">
        <w:t>Armada Media</w:t>
      </w:r>
      <w:r w:rsidRPr="00D55FBC">
        <w:t xml:space="preserve"> to support its response to this Notice with an affidavit or declaration under penalty of perjury, signed and dated by an authorized officer of </w:t>
      </w:r>
      <w:r w:rsidR="009A31E9">
        <w:t>Armada Media</w:t>
      </w:r>
      <w:r w:rsidRPr="00D55FBC">
        <w:t xml:space="preserve"> with personal knowledge of the representations provided in </w:t>
      </w:r>
      <w:r w:rsidR="009A31E9">
        <w:t>Armada Media’s</w:t>
      </w:r>
      <w:r w:rsidRPr="00D55FBC">
        <w:t xml:space="preserve"> response, verifying the truth and accuracy of the information therein, and confirming that all of the information requested by this Notice which is in the licensee’s possession, custody, control, or knowledge has been produced.</w:t>
      </w:r>
      <w:r>
        <w:rPr>
          <w:rStyle w:val="FootnoteReference"/>
        </w:rPr>
        <w:footnoteReference w:id="9"/>
      </w:r>
      <w:r w:rsidRPr="00D55FBC">
        <w:t xml:space="preserve">  To knowingly and willfully make any false statement or conceal any </w:t>
      </w:r>
      <w:r w:rsidRPr="00D55FBC">
        <w:t xml:space="preserve">material fact in reply to this Notice is punishable by fine or imprisonment under </w:t>
      </w:r>
      <w:r w:rsidR="009E31AD">
        <w:t>t</w:t>
      </w:r>
      <w:r w:rsidRPr="00D55FBC" w:rsidR="009E31AD">
        <w:t xml:space="preserve">itle </w:t>
      </w:r>
      <w:r w:rsidRPr="00D55FBC">
        <w:t>18 of the U.S. Code.</w:t>
      </w:r>
      <w:r>
        <w:rPr>
          <w:rStyle w:val="FootnoteReference"/>
        </w:rPr>
        <w:footnoteReference w:id="10"/>
      </w:r>
    </w:p>
    <w:p w:rsidR="00D55FBC" w:rsidP="00D55FBC" w14:paraId="54687F56" w14:textId="6F6EE059">
      <w:pPr>
        <w:pStyle w:val="ParaNum"/>
      </w:pPr>
      <w:r w:rsidRPr="00D55FBC">
        <w:t xml:space="preserve">All replies and documentation sent in response to this Notice should be marked with the File </w:t>
      </w:r>
      <w:r w:rsidRPr="00D55FBC" w:rsidR="00051DB5">
        <w:t>N</w:t>
      </w:r>
      <w:r w:rsidR="00051DB5">
        <w:t>umber</w:t>
      </w:r>
      <w:r w:rsidR="009E31AD">
        <w:t>,</w:t>
      </w:r>
      <w:r w:rsidRPr="00D55FBC">
        <w:t xml:space="preserve"> specified above, and mailed to the following address:</w:t>
      </w:r>
    </w:p>
    <w:p w:rsidR="00D55FBC" w:rsidP="006F0AD5" w14:paraId="4CA45B79" w14:textId="7C3FC165">
      <w:pPr>
        <w:ind w:left="3600"/>
      </w:pPr>
      <w:r>
        <w:t>Federal Communications Commission</w:t>
      </w:r>
    </w:p>
    <w:p w:rsidR="00D55FBC" w:rsidP="006F0AD5" w14:paraId="34EB3B79" w14:textId="1BECA279">
      <w:pPr>
        <w:ind w:left="3600"/>
      </w:pPr>
      <w:r>
        <w:t>Los Angeles Regional Office</w:t>
      </w:r>
    </w:p>
    <w:p w:rsidR="00D55FBC" w:rsidP="006F0AD5" w14:paraId="5C405781" w14:textId="293DE683">
      <w:pPr>
        <w:ind w:left="3600"/>
      </w:pPr>
      <w:r>
        <w:t>11331 183</w:t>
      </w:r>
      <w:r w:rsidR="00E35B6F">
        <w:t>rd</w:t>
      </w:r>
      <w:r>
        <w:t xml:space="preserve"> Street, PMB</w:t>
      </w:r>
      <w:r w:rsidR="00212583">
        <w:t xml:space="preserve"> </w:t>
      </w:r>
      <w:r w:rsidR="00E35B6F">
        <w:t>#</w:t>
      </w:r>
      <w:r>
        <w:t>365</w:t>
      </w:r>
    </w:p>
    <w:p w:rsidR="00D55FBC" w:rsidP="006F0AD5" w14:paraId="6F6D52AF" w14:textId="0133FF55">
      <w:pPr>
        <w:ind w:left="3600"/>
      </w:pPr>
      <w:r>
        <w:t>Cerritos</w:t>
      </w:r>
      <w:r>
        <w:t>,</w:t>
      </w:r>
      <w:r w:rsidR="000477C8">
        <w:t xml:space="preserve"> </w:t>
      </w:r>
      <w:r>
        <w:t>CA 90703</w:t>
      </w:r>
    </w:p>
    <w:p w:rsidR="006F0AD5" w:rsidRPr="00D55FBC" w:rsidP="006F0AD5" w14:paraId="78D38C3B" w14:textId="77777777">
      <w:pPr>
        <w:ind w:left="4320"/>
      </w:pPr>
    </w:p>
    <w:p w:rsidR="00D55FBC" w:rsidP="0078264B" w14:paraId="532EE6AF" w14:textId="721273B6">
      <w:pPr>
        <w:pStyle w:val="ParaNum"/>
      </w:pPr>
      <w:r w:rsidRPr="00D55FBC">
        <w:t xml:space="preserve">This Notice shall be sent to </w:t>
      </w:r>
      <w:r w:rsidR="00327F66">
        <w:t>Armada Media</w:t>
      </w:r>
      <w:r>
        <w:t xml:space="preserve"> at its </w:t>
      </w:r>
      <w:r w:rsidRPr="00D55FBC">
        <w:t>address of record</w:t>
      </w:r>
      <w:r w:rsidR="00013B26">
        <w:t xml:space="preserve"> </w:t>
      </w:r>
      <w:r w:rsidR="00DF52A7">
        <w:t>and to</w:t>
      </w:r>
      <w:r w:rsidR="003367B6">
        <w:t xml:space="preserve"> </w:t>
      </w:r>
      <w:r w:rsidR="00013B26">
        <w:t>Armada Media</w:t>
      </w:r>
      <w:r w:rsidR="00DF52A7">
        <w:t xml:space="preserve">’s counsel, </w:t>
      </w:r>
      <w:r w:rsidR="007D1248">
        <w:t xml:space="preserve">John </w:t>
      </w:r>
      <w:r w:rsidR="008B7125">
        <w:t xml:space="preserve">S. </w:t>
      </w:r>
      <w:r w:rsidR="007D1248">
        <w:t>Neely, Esq.</w:t>
      </w:r>
      <w:r w:rsidR="006C692F">
        <w:t>, Miller and Neely, PC</w:t>
      </w:r>
      <w:r w:rsidR="006561DB">
        <w:t>,</w:t>
      </w:r>
      <w:r w:rsidR="00DF52A7">
        <w:t xml:space="preserve"> at </w:t>
      </w:r>
      <w:r w:rsidR="0048467D">
        <w:t>4 Simms Court</w:t>
      </w:r>
      <w:r w:rsidR="00563678">
        <w:t>, Kensington</w:t>
      </w:r>
      <w:r w:rsidR="00D27078">
        <w:t>, MD 20895.</w:t>
      </w:r>
    </w:p>
    <w:p w:rsidR="00D55FBC" w:rsidP="00ED4640" w14:paraId="23DFCC19" w14:textId="22B4DD25">
      <w:pPr>
        <w:pStyle w:val="ParaNum"/>
        <w:keepNext/>
      </w:pPr>
      <w:r w:rsidRPr="00D55FBC">
        <w:t>The Privacy Act of 1974</w:t>
      </w:r>
      <w:r>
        <w:rPr>
          <w:rStyle w:val="FootnoteReference"/>
        </w:rPr>
        <w:footnoteReference w:id="11"/>
      </w:r>
      <w:r w:rsidRPr="00D55FBC">
        <w:t xml:space="preserve"> requires that we advise you that the Commission will use all relevant material information before it, including any information disclosed in your reply, to determine what, if any, enforcement action is required to ensure compliance.  </w:t>
      </w:r>
    </w:p>
    <w:p w:rsidR="00D55FBC" w:rsidP="00ED4640" w14:paraId="167DDF59" w14:textId="77777777">
      <w:pPr>
        <w:keepNext/>
      </w:pPr>
      <w:r>
        <w:tab/>
      </w:r>
      <w:r>
        <w:tab/>
      </w:r>
      <w:r>
        <w:tab/>
      </w:r>
      <w:r>
        <w:tab/>
      </w:r>
      <w:r>
        <w:tab/>
      </w:r>
      <w:r>
        <w:tab/>
        <w:t>FEDERAL COMMUNICATIONS COMMISSION</w:t>
      </w:r>
    </w:p>
    <w:p w:rsidR="00D55FBC" w:rsidP="00ED4640" w14:paraId="75EE0756" w14:textId="77777777">
      <w:pPr>
        <w:keepNext/>
      </w:pPr>
    </w:p>
    <w:p w:rsidR="00D55FBC" w:rsidP="00ED4640" w14:paraId="479C5C50" w14:textId="77777777">
      <w:pPr>
        <w:keepNext/>
      </w:pPr>
    </w:p>
    <w:p w:rsidR="00D55FBC" w:rsidP="00ED4640" w14:paraId="548E3C75" w14:textId="77777777">
      <w:pPr>
        <w:keepNext/>
      </w:pPr>
    </w:p>
    <w:p w:rsidR="00D55FBC" w:rsidP="00ED4640" w14:paraId="6FB234B6" w14:textId="77777777">
      <w:pPr>
        <w:keepNext/>
      </w:pPr>
    </w:p>
    <w:p w:rsidR="00D55FBC" w:rsidRPr="00D55FBC" w:rsidP="00ED4640" w14:paraId="229D0CA6" w14:textId="0EC2E63C">
      <w:pPr>
        <w:keepNext/>
      </w:pPr>
      <w:r>
        <w:tab/>
      </w:r>
      <w:r>
        <w:tab/>
      </w:r>
      <w:r>
        <w:tab/>
      </w:r>
      <w:r>
        <w:tab/>
      </w:r>
      <w:r>
        <w:tab/>
      </w:r>
      <w:r>
        <w:tab/>
      </w:r>
      <w:r w:rsidR="00E22FFD">
        <w:t>Lark Hadley</w:t>
      </w:r>
    </w:p>
    <w:p w:rsidR="00D55FBC" w:rsidP="00ED4640" w14:paraId="7DFB10BF" w14:textId="18C76D04">
      <w:pPr>
        <w:keepNext/>
      </w:pPr>
      <w:r>
        <w:tab/>
      </w:r>
      <w:r>
        <w:tab/>
      </w:r>
      <w:r>
        <w:tab/>
      </w:r>
      <w:r>
        <w:tab/>
      </w:r>
      <w:r>
        <w:tab/>
      </w:r>
      <w:r>
        <w:tab/>
        <w:t xml:space="preserve">Regional Director, Region </w:t>
      </w:r>
      <w:r w:rsidR="00E22FFD">
        <w:t>Three</w:t>
      </w:r>
    </w:p>
    <w:p w:rsidR="00D55FBC" w:rsidRPr="00D55FBC" w:rsidP="00ED4640" w14:paraId="625594D4" w14:textId="24FA788A">
      <w:pPr>
        <w:keepNext/>
      </w:pPr>
      <w:r>
        <w:tab/>
      </w:r>
      <w:r>
        <w:tab/>
      </w:r>
      <w:r>
        <w:tab/>
      </w:r>
      <w:r>
        <w:tab/>
      </w:r>
      <w:r>
        <w:tab/>
      </w:r>
      <w:r>
        <w:tab/>
        <w:t>Enforcement Bureau</w:t>
      </w:r>
    </w:p>
    <w:p w:rsidR="00D55FBC" w:rsidRPr="00AD2A9B" w:rsidP="00D55FBC" w14:paraId="0F94A91D" w14:textId="77777777"/>
    <w:sectPr w:rsidSect="0055614C">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06A73" w14:paraId="36E06B40" w14:textId="77777777">
      <w:pPr>
        <w:spacing w:line="20" w:lineRule="exact"/>
      </w:pPr>
    </w:p>
  </w:endnote>
  <w:endnote w:type="continuationSeparator" w:id="1">
    <w:p w:rsidR="00706A73" w14:paraId="5FD7638B" w14:textId="77777777">
      <w:r>
        <w:t xml:space="preserve"> </w:t>
      </w:r>
    </w:p>
  </w:endnote>
  <w:endnote w:type="continuationNotice" w:id="2">
    <w:p w:rsidR="00706A73" w14:paraId="1C6B2BB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FC5D076"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2DB20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EEB5AF1"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060CC3C5"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0479F73B"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6A73" w14:paraId="7EB2A489" w14:textId="77777777">
      <w:r>
        <w:separator/>
      </w:r>
    </w:p>
  </w:footnote>
  <w:footnote w:type="continuationSeparator" w:id="1">
    <w:p w:rsidR="00706A73" w:rsidP="00C721AC" w14:paraId="28A17E23" w14:textId="77777777">
      <w:pPr>
        <w:spacing w:before="120"/>
        <w:rPr>
          <w:sz w:val="20"/>
        </w:rPr>
      </w:pPr>
      <w:r>
        <w:rPr>
          <w:sz w:val="20"/>
        </w:rPr>
        <w:t xml:space="preserve">(Continued from previous page)  </w:t>
      </w:r>
      <w:r>
        <w:rPr>
          <w:sz w:val="20"/>
        </w:rPr>
        <w:separator/>
      </w:r>
    </w:p>
  </w:footnote>
  <w:footnote w:type="continuationNotice" w:id="2">
    <w:p w:rsidR="00706A73" w:rsidP="00C721AC" w14:paraId="42956514" w14:textId="77777777">
      <w:pPr>
        <w:jc w:val="right"/>
        <w:rPr>
          <w:sz w:val="20"/>
        </w:rPr>
      </w:pPr>
      <w:r>
        <w:rPr>
          <w:sz w:val="20"/>
        </w:rPr>
        <w:t>(</w:t>
      </w:r>
      <w:r>
        <w:rPr>
          <w:sz w:val="20"/>
        </w:rPr>
        <w:t>continued</w:t>
      </w:r>
      <w:r>
        <w:rPr>
          <w:sz w:val="20"/>
        </w:rPr>
        <w:t>….)</w:t>
      </w:r>
    </w:p>
  </w:footnote>
  <w:footnote w:id="3">
    <w:p w:rsidR="00AD2A9B" w14:paraId="1FD3986F" w14:textId="4AE72D2A">
      <w:pPr>
        <w:pStyle w:val="FootnoteText"/>
      </w:pPr>
      <w:r>
        <w:rPr>
          <w:rStyle w:val="FootnoteReference"/>
        </w:rPr>
        <w:footnoteRef/>
      </w:r>
      <w:r>
        <w:t xml:space="preserve"> 47 CFR § 1.89.</w:t>
      </w:r>
    </w:p>
  </w:footnote>
  <w:footnote w:id="4">
    <w:p w:rsidR="001172CA" w:rsidRPr="00D80C6D" w14:paraId="21D19D74" w14:textId="68E8D74D">
      <w:pPr>
        <w:pStyle w:val="FootnoteText"/>
      </w:pPr>
      <w:r w:rsidRPr="00D80C6D">
        <w:rPr>
          <w:rStyle w:val="FootnoteReference"/>
        </w:rPr>
        <w:footnoteRef/>
      </w:r>
      <w:r w:rsidRPr="00D80C6D">
        <w:t xml:space="preserve"> </w:t>
      </w:r>
      <w:r w:rsidRPr="00D80C6D">
        <w:t xml:space="preserve">Link to </w:t>
      </w:r>
      <w:r w:rsidRPr="00D80C6D" w:rsidR="00921353">
        <w:t xml:space="preserve">station </w:t>
      </w:r>
      <w:r w:rsidRPr="00D80C6D" w:rsidR="001B65F0">
        <w:t xml:space="preserve">K291BW </w:t>
      </w:r>
      <w:r w:rsidRPr="00D80C6D">
        <w:t xml:space="preserve">license: </w:t>
      </w:r>
      <w:hyperlink r:id="rId1" w:history="1">
        <w:r w:rsidRPr="00D80C6D">
          <w:rPr>
            <w:rStyle w:val="Hyperlink"/>
          </w:rPr>
          <w:t>https://enterpriseefiling.fcc.gov/dataentry/public/tv/publicFacilityDetails.html?</w:t>
        </w:r>
        <w:r w:rsidRPr="00D80C6D" w:rsidR="00F3456A">
          <w:rPr>
            <w:rStyle w:val="Hyperlink"/>
          </w:rPr>
          <w:t>‌</w:t>
        </w:r>
        <w:r w:rsidRPr="00D80C6D">
          <w:rPr>
            <w:rStyle w:val="Hyperlink"/>
          </w:rPr>
          <w:t>facilityId=144566</w:t>
        </w:r>
      </w:hyperlink>
      <w:r w:rsidRPr="00D80C6D" w:rsidR="00F3456A">
        <w:t>.</w:t>
      </w:r>
    </w:p>
  </w:footnote>
  <w:footnote w:id="5">
    <w:p w:rsidR="00A30C60" w:rsidP="004D3A0D" w14:paraId="0F05354C" w14:textId="44FD0CEB">
      <w:pPr>
        <w:pStyle w:val="FootnoteText"/>
      </w:pPr>
      <w:r w:rsidRPr="00D80C6D">
        <w:rPr>
          <w:rStyle w:val="FootnoteReference"/>
        </w:rPr>
        <w:footnoteRef/>
      </w:r>
      <w:r w:rsidRPr="00D80C6D">
        <w:t xml:space="preserve"> Link to </w:t>
      </w:r>
      <w:r w:rsidRPr="00D80C6D" w:rsidR="00921353">
        <w:t xml:space="preserve">station </w:t>
      </w:r>
      <w:r w:rsidRPr="00D80C6D" w:rsidR="001B65F0">
        <w:t xml:space="preserve">WQJS618 </w:t>
      </w:r>
      <w:r w:rsidRPr="00D80C6D">
        <w:t xml:space="preserve">license: </w:t>
      </w:r>
      <w:hyperlink r:id="rId2" w:history="1">
        <w:r w:rsidRPr="00D80C6D">
          <w:rPr>
            <w:rStyle w:val="Hyperlink"/>
          </w:rPr>
          <w:t>https://wireless2.fcc.gov/UlsApp/UlsSearch/license.jsp?licKey=3064370</w:t>
        </w:r>
      </w:hyperlink>
      <w:r w:rsidRPr="00D80C6D">
        <w:t>.</w:t>
      </w:r>
    </w:p>
  </w:footnote>
  <w:footnote w:id="6">
    <w:p w:rsidR="008F05EC" w14:paraId="75AC50CE" w14:textId="241B9196">
      <w:pPr>
        <w:pStyle w:val="FootnoteText"/>
      </w:pPr>
      <w:r>
        <w:rPr>
          <w:rStyle w:val="FootnoteReference"/>
        </w:rPr>
        <w:footnoteRef/>
      </w:r>
      <w:r>
        <w:t xml:space="preserve"> 47 CFR § 1.89(a).</w:t>
      </w:r>
    </w:p>
  </w:footnote>
  <w:footnote w:id="7">
    <w:p w:rsidR="008F05EC" w:rsidRPr="008F05EC" w14:paraId="38A560B6" w14:textId="468E35D2">
      <w:pPr>
        <w:pStyle w:val="FootnoteText"/>
      </w:pPr>
      <w:r>
        <w:rPr>
          <w:rStyle w:val="FootnoteReference"/>
        </w:rPr>
        <w:footnoteRef/>
      </w:r>
      <w:r>
        <w:t xml:space="preserve"> 47 U.S.C. </w:t>
      </w:r>
      <w:r w:rsidR="009E31AD">
        <w:t xml:space="preserve">§ </w:t>
      </w:r>
      <w:r>
        <w:t>308(b); 47 CFR § 1.89.</w:t>
      </w:r>
    </w:p>
  </w:footnote>
  <w:footnote w:id="8">
    <w:p w:rsidR="00D55FBC" w14:paraId="26AEBABE" w14:textId="75A21E36">
      <w:pPr>
        <w:pStyle w:val="FootnoteText"/>
      </w:pPr>
      <w:r>
        <w:rPr>
          <w:rStyle w:val="FootnoteReference"/>
        </w:rPr>
        <w:footnoteRef/>
      </w:r>
      <w:r>
        <w:t xml:space="preserve"> 47 CFR § 1.89(c).</w:t>
      </w:r>
    </w:p>
  </w:footnote>
  <w:footnote w:id="9">
    <w:p w:rsidR="00D55FBC" w14:paraId="0A081617" w14:textId="26BC59B5">
      <w:pPr>
        <w:pStyle w:val="FootnoteText"/>
      </w:pPr>
      <w:r>
        <w:rPr>
          <w:rStyle w:val="FootnoteReference"/>
        </w:rPr>
        <w:footnoteRef/>
      </w:r>
      <w:r>
        <w:t xml:space="preserve"> </w:t>
      </w:r>
      <w:r w:rsidRPr="00D55FBC">
        <w:t xml:space="preserve">Section 1.16 of the </w:t>
      </w:r>
      <w:r>
        <w:t>Commission’s r</w:t>
      </w:r>
      <w:r w:rsidRPr="00D55FBC">
        <w:t xml:space="preserve">ules provides that “[a]ny document to be filed with the Federal Communications Commission and which is required by any law, rule or other regulation of the United States to be supported, evidenced, established or proved by a written sworn declaration, verification, certificate, statement, oath or affidavit by the person making the same, may be supported, evidenced, established or proved by the unsworn declaration, certification, verification, or statement in writing of such person . . . .  Such declaration shall be subscribed by the declarant as true under penalty of perjury, and dated, in substantially the following form </w:t>
      </w:r>
      <w:r w:rsidRPr="00D55FBC">
        <w:t>. . . :</w:t>
      </w:r>
      <w:r w:rsidRPr="00D55FBC">
        <w:t xml:space="preserve">  ‘I declare (or certify, verify, or state) under penalty of perjury that the foregoing is true and correct.  Executed on (date).  (Signature)’.”  47 CFR § 1.16.</w:t>
      </w:r>
    </w:p>
  </w:footnote>
  <w:footnote w:id="10">
    <w:p w:rsidR="00D55FBC" w:rsidRPr="00D55FBC" w14:paraId="00C93D63" w14:textId="367D66E6">
      <w:pPr>
        <w:pStyle w:val="FootnoteText"/>
      </w:pPr>
      <w:r>
        <w:rPr>
          <w:rStyle w:val="FootnoteReference"/>
        </w:rPr>
        <w:footnoteRef/>
      </w:r>
      <w:r>
        <w:t xml:space="preserve"> 18 U.S.C. §§ 1001, </w:t>
      </w:r>
      <w:r w:rsidRPr="00D55FBC">
        <w:rPr>
          <w:i/>
        </w:rPr>
        <w:t>et seq</w:t>
      </w:r>
      <w:r>
        <w:t xml:space="preserve">.; </w:t>
      </w:r>
      <w:r>
        <w:rPr>
          <w:i/>
        </w:rPr>
        <w:t xml:space="preserve">see also </w:t>
      </w:r>
      <w:r>
        <w:t>47 CFR § 1.17.</w:t>
      </w:r>
    </w:p>
  </w:footnote>
  <w:footnote w:id="11">
    <w:p w:rsidR="00D55FBC" w14:paraId="7FF56E3F" w14:textId="0EC124FE">
      <w:pPr>
        <w:pStyle w:val="FootnoteText"/>
      </w:pPr>
      <w:r>
        <w:rPr>
          <w:rStyle w:val="FootnoteReference"/>
        </w:rPr>
        <w:footnoteRef/>
      </w:r>
      <w:r>
        <w:t xml:space="preserve"> </w:t>
      </w:r>
      <w:r w:rsidRPr="00D55FBC">
        <w:t>5 U.S.C. § 552a(e)(3).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B7872BD" w14:textId="7010B0D8">
    <w:pPr>
      <w:pStyle w:val="Header"/>
      <w:rPr>
        <w:b w:val="0"/>
      </w:rPr>
    </w:pPr>
    <w:r>
      <w:tab/>
      <w:t>Federal Communications Commission</w:t>
    </w:r>
    <w:r>
      <w:tab/>
    </w:r>
  </w:p>
  <w:p w:rsidR="00D25FB5" w14:paraId="56D6C3C1" w14:textId="7D4B0D5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0820B023"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541F9E7" w14:textId="7DEADB42">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D7C11CA"/>
    <w:multiLevelType w:val="hybridMultilevel"/>
    <w:tmpl w:val="38129D8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633830593">
    <w:abstractNumId w:val="1"/>
  </w:num>
  <w:num w:numId="2" w16cid:durableId="140273717">
    <w:abstractNumId w:val="6"/>
  </w:num>
  <w:num w:numId="3" w16cid:durableId="1293249928">
    <w:abstractNumId w:val="3"/>
  </w:num>
  <w:num w:numId="4" w16cid:durableId="1655530739">
    <w:abstractNumId w:val="5"/>
  </w:num>
  <w:num w:numId="5" w16cid:durableId="1507598263">
    <w:abstractNumId w:val="2"/>
  </w:num>
  <w:num w:numId="6" w16cid:durableId="409733907">
    <w:abstractNumId w:val="0"/>
  </w:num>
  <w:num w:numId="7" w16cid:durableId="1420131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51"/>
    <w:rsid w:val="000025C8"/>
    <w:rsid w:val="0001153E"/>
    <w:rsid w:val="00013B26"/>
    <w:rsid w:val="00023D93"/>
    <w:rsid w:val="00024432"/>
    <w:rsid w:val="00027862"/>
    <w:rsid w:val="00036039"/>
    <w:rsid w:val="00037F90"/>
    <w:rsid w:val="000477C8"/>
    <w:rsid w:val="00051DB5"/>
    <w:rsid w:val="000524E9"/>
    <w:rsid w:val="00054CF8"/>
    <w:rsid w:val="00083BB1"/>
    <w:rsid w:val="000875BF"/>
    <w:rsid w:val="00092996"/>
    <w:rsid w:val="00096D8C"/>
    <w:rsid w:val="000C0B65"/>
    <w:rsid w:val="000E05FE"/>
    <w:rsid w:val="000E3D42"/>
    <w:rsid w:val="000E4145"/>
    <w:rsid w:val="000E51C8"/>
    <w:rsid w:val="000F0FC5"/>
    <w:rsid w:val="000F3E43"/>
    <w:rsid w:val="001172CA"/>
    <w:rsid w:val="00122BD5"/>
    <w:rsid w:val="00126C14"/>
    <w:rsid w:val="001319A2"/>
    <w:rsid w:val="00133F79"/>
    <w:rsid w:val="00147F7A"/>
    <w:rsid w:val="00156DA2"/>
    <w:rsid w:val="001611AE"/>
    <w:rsid w:val="00165D61"/>
    <w:rsid w:val="001750A0"/>
    <w:rsid w:val="00180877"/>
    <w:rsid w:val="00186FEF"/>
    <w:rsid w:val="001904CE"/>
    <w:rsid w:val="00194A66"/>
    <w:rsid w:val="001A69FA"/>
    <w:rsid w:val="001B4B48"/>
    <w:rsid w:val="001B65F0"/>
    <w:rsid w:val="001C07B9"/>
    <w:rsid w:val="001C5152"/>
    <w:rsid w:val="001C6E29"/>
    <w:rsid w:val="001D6BCF"/>
    <w:rsid w:val="001E01CA"/>
    <w:rsid w:val="001E3497"/>
    <w:rsid w:val="00212583"/>
    <w:rsid w:val="00220D70"/>
    <w:rsid w:val="00230806"/>
    <w:rsid w:val="00230828"/>
    <w:rsid w:val="0024131F"/>
    <w:rsid w:val="00262B6F"/>
    <w:rsid w:val="0027026E"/>
    <w:rsid w:val="00275CF5"/>
    <w:rsid w:val="0028301F"/>
    <w:rsid w:val="00285017"/>
    <w:rsid w:val="00287FCB"/>
    <w:rsid w:val="00294641"/>
    <w:rsid w:val="0029772A"/>
    <w:rsid w:val="002A2D2E"/>
    <w:rsid w:val="002B2729"/>
    <w:rsid w:val="002B627F"/>
    <w:rsid w:val="002C00E8"/>
    <w:rsid w:val="002C3706"/>
    <w:rsid w:val="002D4C9C"/>
    <w:rsid w:val="002E7954"/>
    <w:rsid w:val="002F34A0"/>
    <w:rsid w:val="002F5082"/>
    <w:rsid w:val="003024BD"/>
    <w:rsid w:val="00304670"/>
    <w:rsid w:val="00327F66"/>
    <w:rsid w:val="0033620B"/>
    <w:rsid w:val="003367B6"/>
    <w:rsid w:val="00343749"/>
    <w:rsid w:val="00353448"/>
    <w:rsid w:val="003660ED"/>
    <w:rsid w:val="00386BE6"/>
    <w:rsid w:val="0039492F"/>
    <w:rsid w:val="003A0015"/>
    <w:rsid w:val="003A3D7B"/>
    <w:rsid w:val="003B0550"/>
    <w:rsid w:val="003B694F"/>
    <w:rsid w:val="003C6F15"/>
    <w:rsid w:val="003D7720"/>
    <w:rsid w:val="003E6ABA"/>
    <w:rsid w:val="003F171C"/>
    <w:rsid w:val="003F3924"/>
    <w:rsid w:val="00412FC5"/>
    <w:rsid w:val="00422276"/>
    <w:rsid w:val="004242F1"/>
    <w:rsid w:val="00430E16"/>
    <w:rsid w:val="00445A00"/>
    <w:rsid w:val="00451B0F"/>
    <w:rsid w:val="0047790E"/>
    <w:rsid w:val="0048467D"/>
    <w:rsid w:val="004931A1"/>
    <w:rsid w:val="00497D3F"/>
    <w:rsid w:val="004B0E33"/>
    <w:rsid w:val="004C2EE3"/>
    <w:rsid w:val="004C7252"/>
    <w:rsid w:val="004D3A0D"/>
    <w:rsid w:val="004D505A"/>
    <w:rsid w:val="004D5113"/>
    <w:rsid w:val="004E4A22"/>
    <w:rsid w:val="005075C0"/>
    <w:rsid w:val="00511968"/>
    <w:rsid w:val="00515FB7"/>
    <w:rsid w:val="00516806"/>
    <w:rsid w:val="00532041"/>
    <w:rsid w:val="00541FC8"/>
    <w:rsid w:val="00546488"/>
    <w:rsid w:val="0055614C"/>
    <w:rsid w:val="00563678"/>
    <w:rsid w:val="005D620C"/>
    <w:rsid w:val="005E13D2"/>
    <w:rsid w:val="005E14C2"/>
    <w:rsid w:val="005F0525"/>
    <w:rsid w:val="00607BA5"/>
    <w:rsid w:val="0061180A"/>
    <w:rsid w:val="0061270B"/>
    <w:rsid w:val="00626EB6"/>
    <w:rsid w:val="00644C5D"/>
    <w:rsid w:val="00655D03"/>
    <w:rsid w:val="006561DB"/>
    <w:rsid w:val="00667CB0"/>
    <w:rsid w:val="00683388"/>
    <w:rsid w:val="00683F84"/>
    <w:rsid w:val="006906AB"/>
    <w:rsid w:val="006933DB"/>
    <w:rsid w:val="006962B1"/>
    <w:rsid w:val="006A0E2B"/>
    <w:rsid w:val="006A6A81"/>
    <w:rsid w:val="006A7BCF"/>
    <w:rsid w:val="006B5561"/>
    <w:rsid w:val="006C692F"/>
    <w:rsid w:val="006D11BD"/>
    <w:rsid w:val="006D3FA9"/>
    <w:rsid w:val="006F0AD5"/>
    <w:rsid w:val="006F7393"/>
    <w:rsid w:val="0070224F"/>
    <w:rsid w:val="00706A73"/>
    <w:rsid w:val="00710670"/>
    <w:rsid w:val="007115F7"/>
    <w:rsid w:val="00752258"/>
    <w:rsid w:val="00754BCC"/>
    <w:rsid w:val="00780956"/>
    <w:rsid w:val="0078264B"/>
    <w:rsid w:val="0078567B"/>
    <w:rsid w:val="00785689"/>
    <w:rsid w:val="0079754B"/>
    <w:rsid w:val="007A11E8"/>
    <w:rsid w:val="007A1E6D"/>
    <w:rsid w:val="007B0EB2"/>
    <w:rsid w:val="007D1054"/>
    <w:rsid w:val="007D1248"/>
    <w:rsid w:val="007D6D41"/>
    <w:rsid w:val="007E05E7"/>
    <w:rsid w:val="00804C3E"/>
    <w:rsid w:val="00810B6F"/>
    <w:rsid w:val="008133F9"/>
    <w:rsid w:val="00822C51"/>
    <w:rsid w:val="00822CE0"/>
    <w:rsid w:val="008401C8"/>
    <w:rsid w:val="00841AB1"/>
    <w:rsid w:val="008549F5"/>
    <w:rsid w:val="0085672A"/>
    <w:rsid w:val="00860C38"/>
    <w:rsid w:val="00867810"/>
    <w:rsid w:val="0089007A"/>
    <w:rsid w:val="008A73BF"/>
    <w:rsid w:val="008B7125"/>
    <w:rsid w:val="008C5185"/>
    <w:rsid w:val="008C68F1"/>
    <w:rsid w:val="008F05EC"/>
    <w:rsid w:val="00910A03"/>
    <w:rsid w:val="00921353"/>
    <w:rsid w:val="00921803"/>
    <w:rsid w:val="00926503"/>
    <w:rsid w:val="009322E5"/>
    <w:rsid w:val="0094524B"/>
    <w:rsid w:val="00945FC5"/>
    <w:rsid w:val="009726D8"/>
    <w:rsid w:val="0097650D"/>
    <w:rsid w:val="009863D6"/>
    <w:rsid w:val="009A31E9"/>
    <w:rsid w:val="009B5822"/>
    <w:rsid w:val="009C3019"/>
    <w:rsid w:val="009E31AD"/>
    <w:rsid w:val="009F59DD"/>
    <w:rsid w:val="009F76DB"/>
    <w:rsid w:val="00A03258"/>
    <w:rsid w:val="00A16360"/>
    <w:rsid w:val="00A30C60"/>
    <w:rsid w:val="00A32C3B"/>
    <w:rsid w:val="00A45F4F"/>
    <w:rsid w:val="00A46554"/>
    <w:rsid w:val="00A600A9"/>
    <w:rsid w:val="00A73F60"/>
    <w:rsid w:val="00AA55B7"/>
    <w:rsid w:val="00AA5B9E"/>
    <w:rsid w:val="00AA6B0C"/>
    <w:rsid w:val="00AB2407"/>
    <w:rsid w:val="00AB53DF"/>
    <w:rsid w:val="00AD2A9B"/>
    <w:rsid w:val="00AD4799"/>
    <w:rsid w:val="00AD5D84"/>
    <w:rsid w:val="00AD6DFD"/>
    <w:rsid w:val="00B020DF"/>
    <w:rsid w:val="00B07E5C"/>
    <w:rsid w:val="00B12C5B"/>
    <w:rsid w:val="00B628A1"/>
    <w:rsid w:val="00B811F7"/>
    <w:rsid w:val="00BA5DC6"/>
    <w:rsid w:val="00BA6196"/>
    <w:rsid w:val="00BB500B"/>
    <w:rsid w:val="00BC6D8C"/>
    <w:rsid w:val="00BD01A0"/>
    <w:rsid w:val="00BD4556"/>
    <w:rsid w:val="00BD6F8A"/>
    <w:rsid w:val="00BD7C7F"/>
    <w:rsid w:val="00BE24B0"/>
    <w:rsid w:val="00BF2506"/>
    <w:rsid w:val="00C02368"/>
    <w:rsid w:val="00C2404C"/>
    <w:rsid w:val="00C34006"/>
    <w:rsid w:val="00C36C61"/>
    <w:rsid w:val="00C426B1"/>
    <w:rsid w:val="00C604BD"/>
    <w:rsid w:val="00C60DD5"/>
    <w:rsid w:val="00C63006"/>
    <w:rsid w:val="00C65583"/>
    <w:rsid w:val="00C66160"/>
    <w:rsid w:val="00C721AC"/>
    <w:rsid w:val="00C74F2B"/>
    <w:rsid w:val="00C90D6A"/>
    <w:rsid w:val="00CA0437"/>
    <w:rsid w:val="00CA247E"/>
    <w:rsid w:val="00CA3E7C"/>
    <w:rsid w:val="00CC0D56"/>
    <w:rsid w:val="00CC72B6"/>
    <w:rsid w:val="00CD0FAE"/>
    <w:rsid w:val="00CE2B52"/>
    <w:rsid w:val="00D00612"/>
    <w:rsid w:val="00D0218D"/>
    <w:rsid w:val="00D05C3F"/>
    <w:rsid w:val="00D0756E"/>
    <w:rsid w:val="00D23FC9"/>
    <w:rsid w:val="00D25E0E"/>
    <w:rsid w:val="00D25FB5"/>
    <w:rsid w:val="00D27078"/>
    <w:rsid w:val="00D44223"/>
    <w:rsid w:val="00D55FBC"/>
    <w:rsid w:val="00D80C6D"/>
    <w:rsid w:val="00DA1878"/>
    <w:rsid w:val="00DA2529"/>
    <w:rsid w:val="00DB130A"/>
    <w:rsid w:val="00DB2EBB"/>
    <w:rsid w:val="00DB52E7"/>
    <w:rsid w:val="00DC00B7"/>
    <w:rsid w:val="00DC10A1"/>
    <w:rsid w:val="00DC34AB"/>
    <w:rsid w:val="00DC655F"/>
    <w:rsid w:val="00DC67E8"/>
    <w:rsid w:val="00DD0B59"/>
    <w:rsid w:val="00DD7EBD"/>
    <w:rsid w:val="00DE6A87"/>
    <w:rsid w:val="00DF22D9"/>
    <w:rsid w:val="00DF52A7"/>
    <w:rsid w:val="00DF62B6"/>
    <w:rsid w:val="00DF680E"/>
    <w:rsid w:val="00E02168"/>
    <w:rsid w:val="00E0472D"/>
    <w:rsid w:val="00E07225"/>
    <w:rsid w:val="00E134EF"/>
    <w:rsid w:val="00E22699"/>
    <w:rsid w:val="00E22FFD"/>
    <w:rsid w:val="00E35209"/>
    <w:rsid w:val="00E35B6F"/>
    <w:rsid w:val="00E371A6"/>
    <w:rsid w:val="00E457AC"/>
    <w:rsid w:val="00E5409F"/>
    <w:rsid w:val="00E72652"/>
    <w:rsid w:val="00E81A73"/>
    <w:rsid w:val="00E834C2"/>
    <w:rsid w:val="00E83B9D"/>
    <w:rsid w:val="00E91340"/>
    <w:rsid w:val="00E9473F"/>
    <w:rsid w:val="00EB0AC3"/>
    <w:rsid w:val="00ED4640"/>
    <w:rsid w:val="00ED4F47"/>
    <w:rsid w:val="00EE55E5"/>
    <w:rsid w:val="00EE5950"/>
    <w:rsid w:val="00EE6488"/>
    <w:rsid w:val="00EF370C"/>
    <w:rsid w:val="00F00FCE"/>
    <w:rsid w:val="00F021FA"/>
    <w:rsid w:val="00F14554"/>
    <w:rsid w:val="00F17F5F"/>
    <w:rsid w:val="00F3456A"/>
    <w:rsid w:val="00F62E97"/>
    <w:rsid w:val="00F63453"/>
    <w:rsid w:val="00F64209"/>
    <w:rsid w:val="00F827E0"/>
    <w:rsid w:val="00F8373F"/>
    <w:rsid w:val="00F93BF5"/>
    <w:rsid w:val="00FA1D16"/>
    <w:rsid w:val="00FA3BB6"/>
    <w:rsid w:val="00FA7E9F"/>
    <w:rsid w:val="00FD02BE"/>
    <w:rsid w:val="00FD4703"/>
    <w:rsid w:val="00FD7142"/>
    <w:rsid w:val="00FD7C5F"/>
    <w:rsid w:val="00FF35D9"/>
    <w:rsid w:val="00FF73CC"/>
    <w:rsid w:val="051C427A"/>
    <w:rsid w:val="16A90138"/>
    <w:rsid w:val="21CC4C4F"/>
    <w:rsid w:val="251355BB"/>
    <w:rsid w:val="25356459"/>
    <w:rsid w:val="641A61E9"/>
    <w:rsid w:val="669B1B3F"/>
    <w:rsid w:val="70EF530B"/>
    <w:rsid w:val="74487A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991303"/>
  <w15:chartTrackingRefBased/>
  <w15:docId w15:val="{E412582A-93E7-4E1F-B37D-A6E6DC0D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Revision">
    <w:name w:val="Revision"/>
    <w:hidden/>
    <w:uiPriority w:val="99"/>
    <w:semiHidden/>
    <w:rsid w:val="005E13D2"/>
    <w:rPr>
      <w:snapToGrid w:val="0"/>
      <w:kern w:val="28"/>
      <w:sz w:val="22"/>
    </w:rPr>
  </w:style>
  <w:style w:type="character" w:styleId="CommentReference">
    <w:name w:val="annotation reference"/>
    <w:basedOn w:val="DefaultParagraphFont"/>
    <w:rsid w:val="00DC67E8"/>
    <w:rPr>
      <w:sz w:val="16"/>
      <w:szCs w:val="16"/>
    </w:rPr>
  </w:style>
  <w:style w:type="paragraph" w:styleId="CommentText">
    <w:name w:val="annotation text"/>
    <w:basedOn w:val="Normal"/>
    <w:link w:val="CommentTextChar"/>
    <w:rsid w:val="00DC67E8"/>
    <w:rPr>
      <w:sz w:val="20"/>
    </w:rPr>
  </w:style>
  <w:style w:type="character" w:customStyle="1" w:styleId="CommentTextChar">
    <w:name w:val="Comment Text Char"/>
    <w:basedOn w:val="DefaultParagraphFont"/>
    <w:link w:val="CommentText"/>
    <w:rsid w:val="00DC67E8"/>
    <w:rPr>
      <w:snapToGrid w:val="0"/>
      <w:kern w:val="28"/>
    </w:rPr>
  </w:style>
  <w:style w:type="paragraph" w:styleId="CommentSubject">
    <w:name w:val="annotation subject"/>
    <w:basedOn w:val="CommentText"/>
    <w:next w:val="CommentText"/>
    <w:link w:val="CommentSubjectChar"/>
    <w:rsid w:val="00DC67E8"/>
    <w:rPr>
      <w:b/>
      <w:bCs/>
    </w:rPr>
  </w:style>
  <w:style w:type="character" w:customStyle="1" w:styleId="CommentSubjectChar">
    <w:name w:val="Comment Subject Char"/>
    <w:basedOn w:val="CommentTextChar"/>
    <w:link w:val="CommentSubject"/>
    <w:rsid w:val="00DC67E8"/>
    <w:rPr>
      <w:b/>
      <w:bCs/>
      <w:snapToGrid w:val="0"/>
      <w:kern w:val="28"/>
    </w:rPr>
  </w:style>
  <w:style w:type="character" w:styleId="UnresolvedMention">
    <w:name w:val="Unresolved Mention"/>
    <w:basedOn w:val="DefaultParagraphFont"/>
    <w:uiPriority w:val="99"/>
    <w:semiHidden/>
    <w:unhideWhenUsed/>
    <w:rsid w:val="00156DA2"/>
    <w:rPr>
      <w:color w:val="605E5C"/>
      <w:shd w:val="clear" w:color="auto" w:fill="E1DFDD"/>
    </w:rPr>
  </w:style>
  <w:style w:type="paragraph" w:styleId="ListParagraph">
    <w:name w:val="List Paragraph"/>
    <w:basedOn w:val="Normal"/>
    <w:uiPriority w:val="34"/>
    <w:qFormat/>
    <w:rsid w:val="00E35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ecfr.gov/current/title-47/section-74.1236"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enterpriseefiling.fcc.gov/dataentry/public/tv/publicFacilityDetails.html?facilityId=144566" TargetMode="External" /><Relationship Id="rId2" Type="http://schemas.openxmlformats.org/officeDocument/2006/relationships/hyperlink" Target="https://wireless2.fcc.gov/UlsApp/UlsSearch/license.jsp?licKey=30643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