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008A6807">
        <w:tblPrEx>
          <w:tblW w:w="9104" w:type="dxa"/>
          <w:tblLook w:val="0000"/>
        </w:tblPrEx>
        <w:trPr>
          <w:trHeight w:val="2181"/>
        </w:trPr>
        <w:tc>
          <w:tcPr>
            <w:tcW w:w="9104" w:type="dxa"/>
          </w:tcPr>
          <w:p w:rsidR="008B74C3" w:rsidP="68B40A2B" w14:paraId="0F12F00C"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648FC87C" w14:textId="77777777">
            <w:pPr>
              <w:jc w:val="center"/>
              <w:rPr>
                <w:b/>
                <w:bCs/>
                <w:sz w:val="28"/>
                <w:szCs w:val="28"/>
              </w:rPr>
            </w:pPr>
          </w:p>
          <w:p w:rsidR="008B74C3" w:rsidP="00C65A3C" w14:paraId="7B0B2BDD" w14:textId="7D3553A2">
            <w:pPr>
              <w:spacing w:after="120"/>
              <w:jc w:val="center"/>
              <w:rPr>
                <w:b/>
                <w:bCs/>
                <w:sz w:val="28"/>
                <w:szCs w:val="28"/>
              </w:rPr>
            </w:pPr>
            <w:r w:rsidRPr="68B40A2B">
              <w:rPr>
                <w:b/>
                <w:bCs/>
                <w:sz w:val="28"/>
                <w:szCs w:val="28"/>
              </w:rPr>
              <w:t xml:space="preserve">FCC </w:t>
            </w:r>
            <w:r w:rsidR="00BF0444">
              <w:rPr>
                <w:b/>
                <w:bCs/>
                <w:sz w:val="28"/>
                <w:szCs w:val="28"/>
              </w:rPr>
              <w:t>Empowers Local Broadcast TV Stations</w:t>
            </w:r>
          </w:p>
          <w:p w:rsidR="008B74C3" w:rsidRPr="00FF105E" w:rsidP="68B40A2B" w14:paraId="769EAFEC" w14:textId="1405BE93">
            <w:pPr>
              <w:jc w:val="center"/>
              <w:rPr>
                <w:i/>
                <w:iCs/>
              </w:rPr>
            </w:pPr>
            <w:r>
              <w:rPr>
                <w:i/>
                <w:iCs/>
              </w:rPr>
              <w:t xml:space="preserve">Agency Approval of Nexstar - </w:t>
            </w:r>
            <w:r w:rsidR="00A01972">
              <w:rPr>
                <w:i/>
                <w:iCs/>
              </w:rPr>
              <w:t xml:space="preserve">TEGNA </w:t>
            </w:r>
            <w:r>
              <w:rPr>
                <w:i/>
                <w:iCs/>
              </w:rPr>
              <w:t>TV Station Deal</w:t>
            </w:r>
            <w:r w:rsidR="00124C84">
              <w:rPr>
                <w:i/>
                <w:iCs/>
              </w:rPr>
              <w:t xml:space="preserve">, with Conditions Committed to by Nexstar, </w:t>
            </w:r>
            <w:r>
              <w:rPr>
                <w:i/>
                <w:iCs/>
              </w:rPr>
              <w:t>Promotes FCC’s Media Policy Goals of Localism, Diversity, and Competition</w:t>
            </w:r>
          </w:p>
          <w:p w:rsidR="008B74C3" w:rsidP="008B74C3" w14:paraId="40CFEDA4"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BF0444" w:rsidP="00F60AFC" w14:paraId="6714CB66" w14:textId="23404F47">
            <w:pPr>
              <w:ind w:right="-77"/>
              <w:rPr>
                <w:sz w:val="22"/>
                <w:szCs w:val="22"/>
              </w:rPr>
            </w:pPr>
            <w:r w:rsidRPr="083AF924">
              <w:rPr>
                <w:sz w:val="22"/>
                <w:szCs w:val="22"/>
              </w:rPr>
              <w:t>WASHINGTON,</w:t>
            </w:r>
            <w:r w:rsidRPr="083AF924" w:rsidR="65DE2843">
              <w:rPr>
                <w:sz w:val="22"/>
                <w:szCs w:val="22"/>
              </w:rPr>
              <w:t xml:space="preserve"> </w:t>
            </w:r>
            <w:r w:rsidRPr="00C00F05" w:rsidR="00C00F05">
              <w:rPr>
                <w:sz w:val="22"/>
                <w:szCs w:val="22"/>
              </w:rPr>
              <w:t>March</w:t>
            </w:r>
            <w:r w:rsidRPr="00C00F05" w:rsidR="008746AF">
              <w:rPr>
                <w:sz w:val="22"/>
                <w:szCs w:val="22"/>
              </w:rPr>
              <w:t xml:space="preserve"> </w:t>
            </w:r>
            <w:r w:rsidR="00534778">
              <w:rPr>
                <w:sz w:val="22"/>
                <w:szCs w:val="22"/>
              </w:rPr>
              <w:t>19</w:t>
            </w:r>
            <w:r w:rsidRPr="008746AF" w:rsidR="008746AF">
              <w:rPr>
                <w:sz w:val="22"/>
                <w:szCs w:val="22"/>
              </w:rPr>
              <w:t>, 202</w:t>
            </w:r>
            <w:r w:rsidR="009D4230">
              <w:rPr>
                <w:sz w:val="22"/>
                <w:szCs w:val="22"/>
              </w:rPr>
              <w:t>6</w:t>
            </w:r>
            <w:r w:rsidRPr="008746AF" w:rsidR="008746AF">
              <w:rPr>
                <w:sz w:val="22"/>
                <w:szCs w:val="22"/>
              </w:rPr>
              <w:t>—</w:t>
            </w:r>
            <w:r w:rsidRPr="00F60AFC" w:rsidR="00F60AFC">
              <w:rPr>
                <w:sz w:val="22"/>
                <w:szCs w:val="22"/>
              </w:rPr>
              <w:t xml:space="preserve">Today, the </w:t>
            </w:r>
            <w:r w:rsidR="00BD54CE">
              <w:rPr>
                <w:sz w:val="22"/>
                <w:szCs w:val="22"/>
              </w:rPr>
              <w:t xml:space="preserve">FCC’s </w:t>
            </w:r>
            <w:r>
              <w:rPr>
                <w:sz w:val="22"/>
                <w:szCs w:val="22"/>
              </w:rPr>
              <w:t xml:space="preserve">Media Bureau approved the sale of </w:t>
            </w:r>
            <w:r w:rsidR="002E3E21">
              <w:rPr>
                <w:sz w:val="22"/>
                <w:szCs w:val="22"/>
              </w:rPr>
              <w:t xml:space="preserve">certain </w:t>
            </w:r>
            <w:r>
              <w:rPr>
                <w:sz w:val="22"/>
                <w:szCs w:val="22"/>
              </w:rPr>
              <w:t xml:space="preserve">local broadcast TV stations from </w:t>
            </w:r>
            <w:r w:rsidR="00A01972">
              <w:rPr>
                <w:sz w:val="22"/>
                <w:szCs w:val="22"/>
              </w:rPr>
              <w:t xml:space="preserve">TEGNA </w:t>
            </w:r>
            <w:r>
              <w:rPr>
                <w:sz w:val="22"/>
                <w:szCs w:val="22"/>
              </w:rPr>
              <w:t>to Nexstar</w:t>
            </w:r>
            <w:r w:rsidR="00124C84">
              <w:rPr>
                <w:sz w:val="22"/>
                <w:szCs w:val="22"/>
              </w:rPr>
              <w:t>, with certain conditions Nexstar committed to in the record</w:t>
            </w:r>
            <w:r>
              <w:rPr>
                <w:sz w:val="22"/>
                <w:szCs w:val="22"/>
              </w:rPr>
              <w:t>.</w:t>
            </w:r>
            <w:r w:rsidR="002E3E21">
              <w:rPr>
                <w:sz w:val="22"/>
                <w:szCs w:val="22"/>
              </w:rPr>
              <w:t xml:space="preserve">  The Media Bureau found that approving this transaction</w:t>
            </w:r>
            <w:r w:rsidR="00124C84">
              <w:rPr>
                <w:sz w:val="22"/>
                <w:szCs w:val="22"/>
              </w:rPr>
              <w:t>, with those commitments,</w:t>
            </w:r>
            <w:r w:rsidR="002E3E21">
              <w:rPr>
                <w:sz w:val="22"/>
                <w:szCs w:val="22"/>
              </w:rPr>
              <w:t xml:space="preserve"> will empower these broadcasters to better serve their communities by investing in local news and reporting.</w:t>
            </w:r>
            <w:r w:rsidR="00FC4E5D">
              <w:rPr>
                <w:sz w:val="22"/>
                <w:szCs w:val="22"/>
              </w:rPr>
              <w:t xml:space="preserve">  The transaction will also enable these broadcast TV stations to counter the growing power that national programmers have amassed in recent years.  In short, approving the deal</w:t>
            </w:r>
            <w:r w:rsidR="0057692E">
              <w:rPr>
                <w:sz w:val="22"/>
                <w:szCs w:val="22"/>
              </w:rPr>
              <w:t>—which will allow Nexstar to own less than 15% of television stations—</w:t>
            </w:r>
            <w:r w:rsidR="00FC4E5D">
              <w:rPr>
                <w:sz w:val="22"/>
                <w:szCs w:val="22"/>
              </w:rPr>
              <w:t>will promote the FCC’s longstanding media policy goals of competition, localism, and diversity.  This is especially so given the concrete commitments that Nexstar has made in the record on affordability, local</w:t>
            </w:r>
            <w:r w:rsidR="00AD7500">
              <w:rPr>
                <w:sz w:val="22"/>
                <w:szCs w:val="22"/>
              </w:rPr>
              <w:t>i</w:t>
            </w:r>
            <w:r w:rsidR="00FC4E5D">
              <w:rPr>
                <w:sz w:val="22"/>
                <w:szCs w:val="22"/>
              </w:rPr>
              <w:t>s</w:t>
            </w:r>
            <w:r w:rsidR="00AD7500">
              <w:rPr>
                <w:sz w:val="22"/>
                <w:szCs w:val="22"/>
              </w:rPr>
              <w:t>m</w:t>
            </w:r>
            <w:r w:rsidR="00FC4E5D">
              <w:rPr>
                <w:sz w:val="22"/>
                <w:szCs w:val="22"/>
              </w:rPr>
              <w:t xml:space="preserve">, </w:t>
            </w:r>
            <w:r w:rsidR="00AD7500">
              <w:rPr>
                <w:sz w:val="22"/>
                <w:szCs w:val="22"/>
              </w:rPr>
              <w:t xml:space="preserve">and </w:t>
            </w:r>
            <w:r w:rsidR="00FC4E5D">
              <w:rPr>
                <w:sz w:val="22"/>
                <w:szCs w:val="22"/>
              </w:rPr>
              <w:t xml:space="preserve">their commitment to divest </w:t>
            </w:r>
            <w:r w:rsidR="00FC4E5D">
              <w:rPr>
                <w:sz w:val="22"/>
                <w:szCs w:val="22"/>
              </w:rPr>
              <w:t>a number of</w:t>
            </w:r>
            <w:r w:rsidR="00FC4E5D">
              <w:rPr>
                <w:sz w:val="22"/>
                <w:szCs w:val="22"/>
              </w:rPr>
              <w:t xml:space="preserve"> TV stations.</w:t>
            </w:r>
          </w:p>
          <w:p w:rsidR="002E3E21" w:rsidP="00F60AFC" w14:paraId="2AFD2CC9" w14:textId="77777777">
            <w:pPr>
              <w:ind w:right="-77"/>
              <w:rPr>
                <w:sz w:val="22"/>
                <w:szCs w:val="22"/>
              </w:rPr>
            </w:pPr>
          </w:p>
          <w:p w:rsidR="00F60AFC" w:rsidRPr="00F60AFC" w:rsidP="00F60AFC" w14:paraId="773D67EF" w14:textId="77777777">
            <w:pPr>
              <w:ind w:right="-77"/>
              <w:rPr>
                <w:b/>
                <w:bCs/>
                <w:sz w:val="22"/>
                <w:szCs w:val="22"/>
              </w:rPr>
            </w:pPr>
            <w:r w:rsidRPr="00F60AFC">
              <w:rPr>
                <w:b/>
                <w:bCs/>
                <w:sz w:val="22"/>
                <w:szCs w:val="22"/>
              </w:rPr>
              <w:t>Chairman Brendan Carr issued the following statement:</w:t>
            </w:r>
          </w:p>
          <w:p w:rsidR="00F60AFC" w:rsidRPr="00F60AFC" w:rsidP="00F60AFC" w14:paraId="09C94014" w14:textId="77777777">
            <w:pPr>
              <w:ind w:right="-77"/>
              <w:rPr>
                <w:sz w:val="22"/>
                <w:szCs w:val="22"/>
              </w:rPr>
            </w:pPr>
          </w:p>
          <w:p w:rsidR="005B15B7" w:rsidP="00F60AFC" w14:paraId="24572894" w14:textId="10DBB57E">
            <w:pPr>
              <w:ind w:right="-77"/>
              <w:rPr>
                <w:sz w:val="22"/>
                <w:szCs w:val="22"/>
              </w:rPr>
            </w:pPr>
            <w:r w:rsidRPr="00F60AFC">
              <w:rPr>
                <w:sz w:val="22"/>
                <w:szCs w:val="22"/>
              </w:rPr>
              <w:t>“</w:t>
            </w:r>
            <w:r w:rsidR="00177893">
              <w:rPr>
                <w:sz w:val="22"/>
                <w:szCs w:val="22"/>
              </w:rPr>
              <w:t xml:space="preserve">The FCC has been focused on empowering broadcast TV stations to serve their local communities, consistent with their public interest obligations.  Today’s </w:t>
            </w:r>
            <w:r w:rsidR="00177893">
              <w:rPr>
                <w:sz w:val="22"/>
                <w:szCs w:val="22"/>
              </w:rPr>
              <w:t>agency</w:t>
            </w:r>
            <w:r w:rsidR="00177893">
              <w:rPr>
                <w:sz w:val="22"/>
                <w:szCs w:val="22"/>
              </w:rPr>
              <w:t xml:space="preserve"> decision does exactly that as both the record and Nexstar’s enforceable commitments demonstrate.  For too long, the FCC stood by while newspapers closed by the </w:t>
            </w:r>
            <w:r w:rsidR="00177893">
              <w:rPr>
                <w:sz w:val="22"/>
                <w:szCs w:val="22"/>
              </w:rPr>
              <w:t>dozen in</w:t>
            </w:r>
            <w:r w:rsidR="00177893">
              <w:rPr>
                <w:sz w:val="22"/>
                <w:szCs w:val="22"/>
              </w:rPr>
              <w:t xml:space="preserve"> communities </w:t>
            </w:r>
            <w:r w:rsidR="00177893">
              <w:rPr>
                <w:sz w:val="22"/>
                <w:szCs w:val="22"/>
              </w:rPr>
              <w:t>all across</w:t>
            </w:r>
            <w:r w:rsidR="00177893">
              <w:rPr>
                <w:sz w:val="22"/>
                <w:szCs w:val="22"/>
              </w:rPr>
              <w:t xml:space="preserve"> the country.  Those trusted sources of local news and information shuttered while the FCC </w:t>
            </w:r>
            <w:r w:rsidR="00422109">
              <w:rPr>
                <w:sz w:val="22"/>
                <w:szCs w:val="22"/>
              </w:rPr>
              <w:t>dithered</w:t>
            </w:r>
            <w:r w:rsidR="00177893">
              <w:rPr>
                <w:sz w:val="22"/>
                <w:szCs w:val="22"/>
              </w:rPr>
              <w:t xml:space="preserve">.  If you care about local news, you should care about the future of local broadcast TV stations.  </w:t>
            </w:r>
            <w:r w:rsidRPr="00FB6010" w:rsidR="00177893">
              <w:rPr>
                <w:sz w:val="22"/>
                <w:szCs w:val="22"/>
              </w:rPr>
              <w:t xml:space="preserve">Often, they are </w:t>
            </w:r>
            <w:r w:rsidR="00177893">
              <w:rPr>
                <w:sz w:val="22"/>
                <w:szCs w:val="22"/>
              </w:rPr>
              <w:t>the</w:t>
            </w:r>
            <w:r w:rsidRPr="00FB6010" w:rsidR="00177893">
              <w:rPr>
                <w:sz w:val="22"/>
                <w:szCs w:val="22"/>
              </w:rPr>
              <w:t xml:space="preserve"> ones in a market doing the gumshoe reporting that citizens value and need.</w:t>
            </w:r>
            <w:r w:rsidR="00177893">
              <w:rPr>
                <w:sz w:val="22"/>
                <w:szCs w:val="22"/>
              </w:rPr>
              <w:t xml:space="preserve">  By approving this transaction, </w:t>
            </w:r>
            <w:r w:rsidR="0057692E">
              <w:rPr>
                <w:sz w:val="22"/>
                <w:szCs w:val="22"/>
              </w:rPr>
              <w:t xml:space="preserve">which </w:t>
            </w:r>
            <w:r w:rsidR="00D928A5">
              <w:rPr>
                <w:sz w:val="22"/>
                <w:szCs w:val="22"/>
              </w:rPr>
              <w:t xml:space="preserve">allows </w:t>
            </w:r>
            <w:r w:rsidR="0057692E">
              <w:rPr>
                <w:sz w:val="22"/>
                <w:szCs w:val="22"/>
              </w:rPr>
              <w:t>Nexstar to own</w:t>
            </w:r>
            <w:r w:rsidR="00D928A5">
              <w:rPr>
                <w:sz w:val="22"/>
                <w:szCs w:val="22"/>
              </w:rPr>
              <w:t xml:space="preserve"> </w:t>
            </w:r>
            <w:r w:rsidR="0057692E">
              <w:rPr>
                <w:sz w:val="22"/>
                <w:szCs w:val="22"/>
              </w:rPr>
              <w:t xml:space="preserve">less than 15% of television stations, </w:t>
            </w:r>
            <w:r w:rsidR="00177893">
              <w:rPr>
                <w:sz w:val="22"/>
                <w:szCs w:val="22"/>
              </w:rPr>
              <w:t>th</w:t>
            </w:r>
            <w:r w:rsidR="0056630B">
              <w:rPr>
                <w:sz w:val="22"/>
                <w:szCs w:val="22"/>
              </w:rPr>
              <w:t>e</w:t>
            </w:r>
            <w:r w:rsidR="00177893">
              <w:rPr>
                <w:sz w:val="22"/>
                <w:szCs w:val="22"/>
              </w:rPr>
              <w:t xml:space="preserve"> FCC acts mindful of the media marketplace that </w:t>
            </w:r>
            <w:r w:rsidR="00177893">
              <w:rPr>
                <w:sz w:val="22"/>
                <w:szCs w:val="22"/>
              </w:rPr>
              <w:t>exits today—</w:t>
            </w:r>
            <w:r w:rsidR="00177893">
              <w:rPr>
                <w:sz w:val="22"/>
                <w:szCs w:val="22"/>
              </w:rPr>
              <w:t xml:space="preserve">not the one from decades past—and the agency ensures that these broadcasters have the resources to continue investing in their local news operations.  </w:t>
            </w:r>
          </w:p>
          <w:p w:rsidR="005B15B7" w:rsidP="00F60AFC" w14:paraId="62682448" w14:textId="77777777">
            <w:pPr>
              <w:ind w:right="-77"/>
              <w:rPr>
                <w:sz w:val="22"/>
                <w:szCs w:val="22"/>
              </w:rPr>
            </w:pPr>
          </w:p>
          <w:p w:rsidR="00FC4E5D" w:rsidP="00F60AFC" w14:paraId="6527E6AB" w14:textId="3620960E">
            <w:pPr>
              <w:ind w:right="-77"/>
              <w:rPr>
                <w:sz w:val="22"/>
                <w:szCs w:val="22"/>
              </w:rPr>
            </w:pPr>
            <w:r>
              <w:rPr>
                <w:sz w:val="22"/>
                <w:szCs w:val="22"/>
              </w:rPr>
              <w:t xml:space="preserve">“The D.C. Circuit has already determined that the relevant media ownership regulation </w:t>
            </w:r>
            <w:r w:rsidR="00D17208">
              <w:rPr>
                <w:sz w:val="22"/>
                <w:szCs w:val="22"/>
              </w:rPr>
              <w:t>is an</w:t>
            </w:r>
            <w:r>
              <w:rPr>
                <w:sz w:val="22"/>
                <w:szCs w:val="22"/>
              </w:rPr>
              <w:t xml:space="preserve"> agency rule, not </w:t>
            </w:r>
            <w:r w:rsidR="00D17208">
              <w:rPr>
                <w:sz w:val="22"/>
                <w:szCs w:val="22"/>
              </w:rPr>
              <w:t xml:space="preserve">a firm </w:t>
            </w:r>
            <w:r>
              <w:rPr>
                <w:sz w:val="22"/>
                <w:szCs w:val="22"/>
              </w:rPr>
              <w:t>statutory</w:t>
            </w:r>
            <w:r w:rsidR="00932B29">
              <w:rPr>
                <w:sz w:val="22"/>
                <w:szCs w:val="22"/>
              </w:rPr>
              <w:t xml:space="preserve"> limit</w:t>
            </w:r>
            <w:r w:rsidR="00D17208">
              <w:rPr>
                <w:sz w:val="22"/>
                <w:szCs w:val="22"/>
              </w:rPr>
              <w:t xml:space="preserve">, </w:t>
            </w:r>
            <w:r w:rsidR="0056630B">
              <w:rPr>
                <w:sz w:val="22"/>
                <w:szCs w:val="22"/>
              </w:rPr>
              <w:t>and</w:t>
            </w:r>
            <w:r w:rsidR="00D17208">
              <w:rPr>
                <w:sz w:val="22"/>
                <w:szCs w:val="22"/>
              </w:rPr>
              <w:t xml:space="preserve"> the full Commission </w:t>
            </w:r>
            <w:r w:rsidR="00B75A1C">
              <w:rPr>
                <w:sz w:val="22"/>
                <w:szCs w:val="22"/>
              </w:rPr>
              <w:t xml:space="preserve">has </w:t>
            </w:r>
            <w:r w:rsidR="0056630B">
              <w:rPr>
                <w:sz w:val="22"/>
                <w:szCs w:val="22"/>
              </w:rPr>
              <w:t>reached the same determination</w:t>
            </w:r>
            <w:r w:rsidR="00B75A1C">
              <w:rPr>
                <w:sz w:val="22"/>
                <w:szCs w:val="22"/>
              </w:rPr>
              <w:t xml:space="preserve"> on multiple occasions.  Waiving that rule here is consistent with longstanding FCC authori</w:t>
            </w:r>
            <w:r w:rsidR="00943281">
              <w:rPr>
                <w:sz w:val="22"/>
                <w:szCs w:val="22"/>
              </w:rPr>
              <w:t xml:space="preserve">ties and doing so promotes the </w:t>
            </w:r>
            <w:r w:rsidR="00943281">
              <w:rPr>
                <w:sz w:val="22"/>
                <w:szCs w:val="22"/>
              </w:rPr>
              <w:t>underlying purpose</w:t>
            </w:r>
            <w:r w:rsidR="00943281">
              <w:rPr>
                <w:sz w:val="22"/>
                <w:szCs w:val="22"/>
              </w:rPr>
              <w:t xml:space="preserve"> of the FCC’s media regulation</w:t>
            </w:r>
            <w:r w:rsidR="00124C84">
              <w:rPr>
                <w:sz w:val="22"/>
                <w:szCs w:val="22"/>
              </w:rPr>
              <w:t>s</w:t>
            </w:r>
            <w:r w:rsidR="00943281">
              <w:rPr>
                <w:sz w:val="22"/>
                <w:szCs w:val="22"/>
              </w:rPr>
              <w:t xml:space="preserve"> by promoting competition, localism, and diversity.  </w:t>
            </w:r>
            <w:r w:rsidR="00177893">
              <w:rPr>
                <w:sz w:val="22"/>
                <w:szCs w:val="22"/>
              </w:rPr>
              <w:t>I want to thank the Media Bureau team for their great work on this matter.”</w:t>
            </w:r>
          </w:p>
          <w:p w:rsidR="00F60AFC" w:rsidRPr="00F60AFC" w:rsidP="00F60AFC" w14:paraId="453C0F56" w14:textId="77777777">
            <w:pPr>
              <w:ind w:right="-77"/>
              <w:rPr>
                <w:sz w:val="22"/>
                <w:szCs w:val="22"/>
              </w:rPr>
            </w:pPr>
          </w:p>
          <w:p w:rsidR="00F60AFC" w:rsidRPr="00F60AFC" w:rsidP="00F60AFC" w14:paraId="2C253494" w14:textId="77777777">
            <w:pPr>
              <w:ind w:right="-77"/>
              <w:rPr>
                <w:b/>
                <w:bCs/>
                <w:sz w:val="22"/>
                <w:szCs w:val="22"/>
              </w:rPr>
            </w:pPr>
            <w:r w:rsidRPr="00F60AFC">
              <w:rPr>
                <w:b/>
                <w:bCs/>
                <w:sz w:val="22"/>
                <w:szCs w:val="22"/>
              </w:rPr>
              <w:t>Additional Background Information:</w:t>
            </w:r>
          </w:p>
          <w:p w:rsidR="00F60AFC" w:rsidP="00F60AFC" w14:paraId="2A5EDF8B" w14:textId="77777777">
            <w:pPr>
              <w:ind w:right="-77"/>
              <w:rPr>
                <w:sz w:val="22"/>
                <w:szCs w:val="22"/>
              </w:rPr>
            </w:pPr>
          </w:p>
          <w:p w:rsidR="00A01972" w:rsidP="00F60AFC" w14:paraId="48F11D9E" w14:textId="2FC9A4C7">
            <w:pPr>
              <w:ind w:right="-77"/>
              <w:rPr>
                <w:sz w:val="22"/>
                <w:szCs w:val="22"/>
              </w:rPr>
            </w:pPr>
            <w:r>
              <w:rPr>
                <w:sz w:val="22"/>
                <w:szCs w:val="22"/>
              </w:rPr>
              <w:t xml:space="preserve">On December 1, 2025, the FCC </w:t>
            </w:r>
            <w:r>
              <w:rPr>
                <w:sz w:val="22"/>
                <w:szCs w:val="22"/>
              </w:rPr>
              <w:t>accepted for</w:t>
            </w:r>
            <w:r>
              <w:rPr>
                <w:sz w:val="22"/>
                <w:szCs w:val="22"/>
              </w:rPr>
              <w:t xml:space="preserve"> filing</w:t>
            </w:r>
            <w:r w:rsidRPr="00A01972">
              <w:rPr>
                <w:sz w:val="22"/>
                <w:szCs w:val="22"/>
              </w:rPr>
              <w:t xml:space="preserve"> applications seeking approval to transfer control of </w:t>
            </w:r>
            <w:r w:rsidR="00124C84">
              <w:rPr>
                <w:sz w:val="22"/>
                <w:szCs w:val="22"/>
              </w:rPr>
              <w:t xml:space="preserve">certain TV stations from </w:t>
            </w:r>
            <w:r w:rsidRPr="00A01972">
              <w:rPr>
                <w:sz w:val="22"/>
                <w:szCs w:val="22"/>
              </w:rPr>
              <w:t xml:space="preserve">TEGNA to Nexstar. </w:t>
            </w:r>
            <w:r>
              <w:rPr>
                <w:sz w:val="22"/>
                <w:szCs w:val="22"/>
              </w:rPr>
              <w:t xml:space="preserve"> At the time, </w:t>
            </w:r>
            <w:r w:rsidRPr="00A01972">
              <w:rPr>
                <w:sz w:val="22"/>
                <w:szCs w:val="22"/>
              </w:rPr>
              <w:t>TEGNA operate</w:t>
            </w:r>
            <w:r>
              <w:rPr>
                <w:sz w:val="22"/>
                <w:szCs w:val="22"/>
              </w:rPr>
              <w:t>d</w:t>
            </w:r>
            <w:r w:rsidRPr="00A01972">
              <w:rPr>
                <w:sz w:val="22"/>
                <w:szCs w:val="22"/>
              </w:rPr>
              <w:t xml:space="preserve"> 64 full power broadcast television stations, one AM radio station, and one FM radio station. </w:t>
            </w:r>
            <w:r>
              <w:rPr>
                <w:sz w:val="22"/>
                <w:szCs w:val="22"/>
              </w:rPr>
              <w:t xml:space="preserve"> </w:t>
            </w:r>
            <w:r w:rsidRPr="00A01972">
              <w:rPr>
                <w:sz w:val="22"/>
                <w:szCs w:val="22"/>
              </w:rPr>
              <w:t>Nexstar operate</w:t>
            </w:r>
            <w:r>
              <w:rPr>
                <w:sz w:val="22"/>
                <w:szCs w:val="22"/>
              </w:rPr>
              <w:t>d</w:t>
            </w:r>
            <w:r w:rsidRPr="00A01972">
              <w:rPr>
                <w:sz w:val="22"/>
                <w:szCs w:val="22"/>
              </w:rPr>
              <w:t xml:space="preserve"> 201 stations in 116 television markets. </w:t>
            </w:r>
            <w:r>
              <w:rPr>
                <w:sz w:val="22"/>
                <w:szCs w:val="22"/>
              </w:rPr>
              <w:t xml:space="preserve"> </w:t>
            </w:r>
            <w:r w:rsidRPr="00A01972">
              <w:rPr>
                <w:sz w:val="22"/>
                <w:szCs w:val="22"/>
              </w:rPr>
              <w:t>According to the applicants’ press release, the companies’ footprints overla</w:t>
            </w:r>
            <w:r>
              <w:rPr>
                <w:sz w:val="22"/>
                <w:szCs w:val="22"/>
              </w:rPr>
              <w:t>p</w:t>
            </w:r>
            <w:r w:rsidRPr="00A01972">
              <w:rPr>
                <w:sz w:val="22"/>
                <w:szCs w:val="22"/>
              </w:rPr>
              <w:t>p</w:t>
            </w:r>
            <w:r>
              <w:rPr>
                <w:sz w:val="22"/>
                <w:szCs w:val="22"/>
              </w:rPr>
              <w:t>ed</w:t>
            </w:r>
            <w:r w:rsidRPr="00A01972">
              <w:rPr>
                <w:sz w:val="22"/>
                <w:szCs w:val="22"/>
              </w:rPr>
              <w:t xml:space="preserve"> in 35 designated market areas (DMAs), and the combined company w</w:t>
            </w:r>
            <w:r>
              <w:rPr>
                <w:sz w:val="22"/>
                <w:szCs w:val="22"/>
              </w:rPr>
              <w:t>ould</w:t>
            </w:r>
            <w:r w:rsidRPr="00A01972">
              <w:rPr>
                <w:sz w:val="22"/>
                <w:szCs w:val="22"/>
              </w:rPr>
              <w:t xml:space="preserve"> operate 265 full-power television stations in 44 states and the District of Columbia and in 132 of the country’s 210 television DMAs. </w:t>
            </w:r>
            <w:r>
              <w:rPr>
                <w:sz w:val="22"/>
                <w:szCs w:val="22"/>
              </w:rPr>
              <w:t xml:space="preserve"> </w:t>
            </w:r>
            <w:r w:rsidRPr="00A01972">
              <w:rPr>
                <w:sz w:val="22"/>
                <w:szCs w:val="22"/>
              </w:rPr>
              <w:t>The applicants s</w:t>
            </w:r>
            <w:r>
              <w:rPr>
                <w:sz w:val="22"/>
                <w:szCs w:val="22"/>
              </w:rPr>
              <w:t>ought</w:t>
            </w:r>
            <w:r w:rsidRPr="00A01972">
              <w:rPr>
                <w:sz w:val="22"/>
                <w:szCs w:val="22"/>
              </w:rPr>
              <w:t xml:space="preserve"> both a waiver of the FCC’s National </w:t>
            </w:r>
            <w:r w:rsidRPr="00A01972">
              <w:rPr>
                <w:sz w:val="22"/>
                <w:szCs w:val="22"/>
              </w:rPr>
              <w:t xml:space="preserve">Television Multiple Ownership rule and waivers of the Local Television Ownership rule in 23 DMAs to allow it to own more than two stations in the DMA; in addition, the consolidated company would own two stations in each of 17 DMAs. </w:t>
            </w:r>
            <w:r>
              <w:rPr>
                <w:sz w:val="22"/>
                <w:szCs w:val="22"/>
              </w:rPr>
              <w:t xml:space="preserve"> Nexstar has committed to divesting 6 stations across 6 different DMAs</w:t>
            </w:r>
            <w:r w:rsidR="00FB397B">
              <w:rPr>
                <w:sz w:val="22"/>
                <w:szCs w:val="22"/>
              </w:rPr>
              <w:t xml:space="preserve"> as well as commitments that go to affordability and localism</w:t>
            </w:r>
            <w:r>
              <w:rPr>
                <w:sz w:val="22"/>
                <w:szCs w:val="22"/>
              </w:rPr>
              <w:t>.</w:t>
            </w:r>
          </w:p>
          <w:p w:rsidR="00A01972" w:rsidRPr="00F60AFC" w:rsidP="00F60AFC" w14:paraId="0F1281EA" w14:textId="77777777">
            <w:pPr>
              <w:ind w:right="-77"/>
              <w:rPr>
                <w:sz w:val="22"/>
                <w:szCs w:val="22"/>
              </w:rPr>
            </w:pPr>
          </w:p>
          <w:p w:rsidR="004F0F1F" w:rsidRPr="00534778" w:rsidP="00850E26" w14:paraId="52BC08A1" w14:textId="77777777">
            <w:pPr>
              <w:ind w:right="72"/>
              <w:jc w:val="center"/>
              <w:rPr>
                <w:sz w:val="22"/>
                <w:szCs w:val="22"/>
                <w:lang w:val="pt-BR"/>
              </w:rPr>
            </w:pPr>
            <w:r w:rsidRPr="00534778">
              <w:rPr>
                <w:sz w:val="22"/>
                <w:szCs w:val="22"/>
                <w:lang w:val="pt-BR"/>
              </w:rPr>
              <w:t>###</w:t>
            </w:r>
          </w:p>
          <w:p w:rsidR="00104B0D" w:rsidRPr="00534778" w:rsidP="00104B0D" w14:paraId="12A3F92F" w14:textId="77777777">
            <w:pPr>
              <w:ind w:right="72"/>
              <w:jc w:val="center"/>
              <w:rPr>
                <w:b/>
                <w:bCs/>
                <w:sz w:val="22"/>
                <w:szCs w:val="22"/>
                <w:lang w:val="pt-BR"/>
              </w:rPr>
            </w:pPr>
            <w:r w:rsidRPr="00534778">
              <w:rPr>
                <w:b/>
                <w:bCs/>
                <w:sz w:val="22"/>
                <w:szCs w:val="22"/>
                <w:lang w:val="pt-BR"/>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D6F1E5C"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12186"/>
    <w:rsid w:val="00013E6B"/>
    <w:rsid w:val="00014F48"/>
    <w:rsid w:val="0002500C"/>
    <w:rsid w:val="000311FC"/>
    <w:rsid w:val="00040127"/>
    <w:rsid w:val="000457C6"/>
    <w:rsid w:val="00046988"/>
    <w:rsid w:val="00065E2D"/>
    <w:rsid w:val="00073056"/>
    <w:rsid w:val="00081232"/>
    <w:rsid w:val="00091E65"/>
    <w:rsid w:val="00096D4A"/>
    <w:rsid w:val="000A3783"/>
    <w:rsid w:val="000A38EA"/>
    <w:rsid w:val="000C1E47"/>
    <w:rsid w:val="000C26F3"/>
    <w:rsid w:val="000D4846"/>
    <w:rsid w:val="000E049E"/>
    <w:rsid w:val="000E0B1A"/>
    <w:rsid w:val="00104B0D"/>
    <w:rsid w:val="0010799B"/>
    <w:rsid w:val="00117DB2"/>
    <w:rsid w:val="00123ED2"/>
    <w:rsid w:val="00124C84"/>
    <w:rsid w:val="00125BE0"/>
    <w:rsid w:val="00134A4A"/>
    <w:rsid w:val="00134BC7"/>
    <w:rsid w:val="00142C13"/>
    <w:rsid w:val="00150380"/>
    <w:rsid w:val="00152776"/>
    <w:rsid w:val="00153222"/>
    <w:rsid w:val="001577D3"/>
    <w:rsid w:val="001733A6"/>
    <w:rsid w:val="00176080"/>
    <w:rsid w:val="00177893"/>
    <w:rsid w:val="00177C8F"/>
    <w:rsid w:val="001865A9"/>
    <w:rsid w:val="00187DB2"/>
    <w:rsid w:val="001B030B"/>
    <w:rsid w:val="001B20BB"/>
    <w:rsid w:val="001C4370"/>
    <w:rsid w:val="001D3779"/>
    <w:rsid w:val="001F0469"/>
    <w:rsid w:val="001F209C"/>
    <w:rsid w:val="001F6DCA"/>
    <w:rsid w:val="00202EF3"/>
    <w:rsid w:val="00203A98"/>
    <w:rsid w:val="00206EDD"/>
    <w:rsid w:val="0021247E"/>
    <w:rsid w:val="002146F6"/>
    <w:rsid w:val="00231C32"/>
    <w:rsid w:val="00240345"/>
    <w:rsid w:val="002421F0"/>
    <w:rsid w:val="00247274"/>
    <w:rsid w:val="00266966"/>
    <w:rsid w:val="00282685"/>
    <w:rsid w:val="00285C36"/>
    <w:rsid w:val="00286596"/>
    <w:rsid w:val="00294C0C"/>
    <w:rsid w:val="002A016A"/>
    <w:rsid w:val="002A0934"/>
    <w:rsid w:val="002B1013"/>
    <w:rsid w:val="002C0B0D"/>
    <w:rsid w:val="002C4377"/>
    <w:rsid w:val="002C5757"/>
    <w:rsid w:val="002D03E5"/>
    <w:rsid w:val="002D1E91"/>
    <w:rsid w:val="002D4180"/>
    <w:rsid w:val="002E165B"/>
    <w:rsid w:val="002E3E21"/>
    <w:rsid w:val="002E3F1D"/>
    <w:rsid w:val="002F31D0"/>
    <w:rsid w:val="00300359"/>
    <w:rsid w:val="0031131E"/>
    <w:rsid w:val="0031773E"/>
    <w:rsid w:val="003230CE"/>
    <w:rsid w:val="00333871"/>
    <w:rsid w:val="003427CE"/>
    <w:rsid w:val="00347716"/>
    <w:rsid w:val="003506E1"/>
    <w:rsid w:val="00353B95"/>
    <w:rsid w:val="0037213E"/>
    <w:rsid w:val="003727E3"/>
    <w:rsid w:val="00374AE5"/>
    <w:rsid w:val="0037558A"/>
    <w:rsid w:val="00385A93"/>
    <w:rsid w:val="003910F1"/>
    <w:rsid w:val="003B4268"/>
    <w:rsid w:val="003D5DCE"/>
    <w:rsid w:val="003D7499"/>
    <w:rsid w:val="003E42FC"/>
    <w:rsid w:val="003E5991"/>
    <w:rsid w:val="003F2135"/>
    <w:rsid w:val="003F344A"/>
    <w:rsid w:val="003F591F"/>
    <w:rsid w:val="00401F89"/>
    <w:rsid w:val="00403FF0"/>
    <w:rsid w:val="0041464A"/>
    <w:rsid w:val="0042046D"/>
    <w:rsid w:val="004207C0"/>
    <w:rsid w:val="0042116E"/>
    <w:rsid w:val="00422109"/>
    <w:rsid w:val="00424B52"/>
    <w:rsid w:val="00425AEF"/>
    <w:rsid w:val="00426518"/>
    <w:rsid w:val="00427B06"/>
    <w:rsid w:val="004371FA"/>
    <w:rsid w:val="00441F59"/>
    <w:rsid w:val="00444E07"/>
    <w:rsid w:val="00444FA9"/>
    <w:rsid w:val="0045680F"/>
    <w:rsid w:val="00464541"/>
    <w:rsid w:val="00473E9C"/>
    <w:rsid w:val="00474016"/>
    <w:rsid w:val="004745B2"/>
    <w:rsid w:val="00480099"/>
    <w:rsid w:val="00480FBB"/>
    <w:rsid w:val="00493D69"/>
    <w:rsid w:val="004941A2"/>
    <w:rsid w:val="00497858"/>
    <w:rsid w:val="004A0B8F"/>
    <w:rsid w:val="004A729A"/>
    <w:rsid w:val="004B2FB3"/>
    <w:rsid w:val="004B4FEA"/>
    <w:rsid w:val="004C0ADA"/>
    <w:rsid w:val="004C3057"/>
    <w:rsid w:val="004C433E"/>
    <w:rsid w:val="004C4512"/>
    <w:rsid w:val="004C4F36"/>
    <w:rsid w:val="004D3D85"/>
    <w:rsid w:val="004D6E1C"/>
    <w:rsid w:val="004E2BD8"/>
    <w:rsid w:val="004F0F1F"/>
    <w:rsid w:val="00500E42"/>
    <w:rsid w:val="005022AA"/>
    <w:rsid w:val="00504845"/>
    <w:rsid w:val="0050580C"/>
    <w:rsid w:val="0050757F"/>
    <w:rsid w:val="0051333C"/>
    <w:rsid w:val="00516AD2"/>
    <w:rsid w:val="005337D4"/>
    <w:rsid w:val="00534203"/>
    <w:rsid w:val="00534778"/>
    <w:rsid w:val="0054350A"/>
    <w:rsid w:val="00545DAE"/>
    <w:rsid w:val="0056630B"/>
    <w:rsid w:val="00571B83"/>
    <w:rsid w:val="00574BE5"/>
    <w:rsid w:val="00575A00"/>
    <w:rsid w:val="0057692E"/>
    <w:rsid w:val="005816A3"/>
    <w:rsid w:val="00586417"/>
    <w:rsid w:val="0058673C"/>
    <w:rsid w:val="00590A9D"/>
    <w:rsid w:val="00594504"/>
    <w:rsid w:val="005978F7"/>
    <w:rsid w:val="005A14C1"/>
    <w:rsid w:val="005A6C75"/>
    <w:rsid w:val="005A7972"/>
    <w:rsid w:val="005B0B66"/>
    <w:rsid w:val="005B15B7"/>
    <w:rsid w:val="005B17E7"/>
    <w:rsid w:val="005B2643"/>
    <w:rsid w:val="005D17FD"/>
    <w:rsid w:val="005E2CB0"/>
    <w:rsid w:val="005E6D1E"/>
    <w:rsid w:val="005F0D55"/>
    <w:rsid w:val="005F183E"/>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8015E"/>
    <w:rsid w:val="006861AB"/>
    <w:rsid w:val="00686B89"/>
    <w:rsid w:val="0069420F"/>
    <w:rsid w:val="006A2FC5"/>
    <w:rsid w:val="006A7D75"/>
    <w:rsid w:val="006B0363"/>
    <w:rsid w:val="006B0A70"/>
    <w:rsid w:val="006B606A"/>
    <w:rsid w:val="006C33AF"/>
    <w:rsid w:val="006D16EF"/>
    <w:rsid w:val="006D5D22"/>
    <w:rsid w:val="006D748C"/>
    <w:rsid w:val="006D78E7"/>
    <w:rsid w:val="006E0324"/>
    <w:rsid w:val="006E4A76"/>
    <w:rsid w:val="006F1DBD"/>
    <w:rsid w:val="00700556"/>
    <w:rsid w:val="00704DBA"/>
    <w:rsid w:val="0070589A"/>
    <w:rsid w:val="007167DD"/>
    <w:rsid w:val="007178C6"/>
    <w:rsid w:val="0072478B"/>
    <w:rsid w:val="0073414D"/>
    <w:rsid w:val="007475A1"/>
    <w:rsid w:val="00750A11"/>
    <w:rsid w:val="0075235E"/>
    <w:rsid w:val="007528A5"/>
    <w:rsid w:val="007732CC"/>
    <w:rsid w:val="00774079"/>
    <w:rsid w:val="0077752B"/>
    <w:rsid w:val="007926F8"/>
    <w:rsid w:val="00793D6F"/>
    <w:rsid w:val="00794090"/>
    <w:rsid w:val="007A44F8"/>
    <w:rsid w:val="007B41C7"/>
    <w:rsid w:val="007B6607"/>
    <w:rsid w:val="007D21BF"/>
    <w:rsid w:val="007D57C4"/>
    <w:rsid w:val="007F1F21"/>
    <w:rsid w:val="007F3C12"/>
    <w:rsid w:val="007F418E"/>
    <w:rsid w:val="007F5205"/>
    <w:rsid w:val="0080486B"/>
    <w:rsid w:val="00817F58"/>
    <w:rsid w:val="008215E7"/>
    <w:rsid w:val="00830FC6"/>
    <w:rsid w:val="00833E25"/>
    <w:rsid w:val="00843E4C"/>
    <w:rsid w:val="00850E26"/>
    <w:rsid w:val="00852BF6"/>
    <w:rsid w:val="00865EAA"/>
    <w:rsid w:val="00866F06"/>
    <w:rsid w:val="008728F5"/>
    <w:rsid w:val="008746AF"/>
    <w:rsid w:val="008824C2"/>
    <w:rsid w:val="00894F0A"/>
    <w:rsid w:val="008960E4"/>
    <w:rsid w:val="008A12E2"/>
    <w:rsid w:val="008A3940"/>
    <w:rsid w:val="008A6807"/>
    <w:rsid w:val="008B13C9"/>
    <w:rsid w:val="008B74C3"/>
    <w:rsid w:val="008C248C"/>
    <w:rsid w:val="008C5432"/>
    <w:rsid w:val="008C7BF1"/>
    <w:rsid w:val="008D00D6"/>
    <w:rsid w:val="008D484B"/>
    <w:rsid w:val="008D4D00"/>
    <w:rsid w:val="008D4E5E"/>
    <w:rsid w:val="008D7ABD"/>
    <w:rsid w:val="008E55A2"/>
    <w:rsid w:val="008F1609"/>
    <w:rsid w:val="008F78D8"/>
    <w:rsid w:val="009323EB"/>
    <w:rsid w:val="00932B29"/>
    <w:rsid w:val="0093373C"/>
    <w:rsid w:val="00933977"/>
    <w:rsid w:val="00943281"/>
    <w:rsid w:val="00954C62"/>
    <w:rsid w:val="00961620"/>
    <w:rsid w:val="00966815"/>
    <w:rsid w:val="009734B6"/>
    <w:rsid w:val="0098096F"/>
    <w:rsid w:val="0098437A"/>
    <w:rsid w:val="00986C92"/>
    <w:rsid w:val="00993C47"/>
    <w:rsid w:val="009972BC"/>
    <w:rsid w:val="009A5066"/>
    <w:rsid w:val="009B07DE"/>
    <w:rsid w:val="009B4B16"/>
    <w:rsid w:val="009B7F2E"/>
    <w:rsid w:val="009D287C"/>
    <w:rsid w:val="009D4230"/>
    <w:rsid w:val="009E54A1"/>
    <w:rsid w:val="009E5F77"/>
    <w:rsid w:val="009F0BB8"/>
    <w:rsid w:val="009F0DAE"/>
    <w:rsid w:val="009F4E25"/>
    <w:rsid w:val="009F5B1F"/>
    <w:rsid w:val="00A01972"/>
    <w:rsid w:val="00A14E92"/>
    <w:rsid w:val="00A225A9"/>
    <w:rsid w:val="00A3308E"/>
    <w:rsid w:val="00A35757"/>
    <w:rsid w:val="00A35DFD"/>
    <w:rsid w:val="00A441E5"/>
    <w:rsid w:val="00A50722"/>
    <w:rsid w:val="00A6714A"/>
    <w:rsid w:val="00A702DF"/>
    <w:rsid w:val="00A775A3"/>
    <w:rsid w:val="00A81700"/>
    <w:rsid w:val="00A81B5B"/>
    <w:rsid w:val="00A82FAD"/>
    <w:rsid w:val="00A87786"/>
    <w:rsid w:val="00A9673A"/>
    <w:rsid w:val="00A96EF2"/>
    <w:rsid w:val="00A973B8"/>
    <w:rsid w:val="00AA4804"/>
    <w:rsid w:val="00AA5C35"/>
    <w:rsid w:val="00AA5ED9"/>
    <w:rsid w:val="00AB6082"/>
    <w:rsid w:val="00AC0A38"/>
    <w:rsid w:val="00AC4274"/>
    <w:rsid w:val="00AC4E0E"/>
    <w:rsid w:val="00AC517B"/>
    <w:rsid w:val="00AD0D19"/>
    <w:rsid w:val="00AD4184"/>
    <w:rsid w:val="00AD452E"/>
    <w:rsid w:val="00AD7500"/>
    <w:rsid w:val="00AF051B"/>
    <w:rsid w:val="00AF15BE"/>
    <w:rsid w:val="00B037A2"/>
    <w:rsid w:val="00B130C2"/>
    <w:rsid w:val="00B1554F"/>
    <w:rsid w:val="00B31870"/>
    <w:rsid w:val="00B320B8"/>
    <w:rsid w:val="00B35569"/>
    <w:rsid w:val="00B35EE2"/>
    <w:rsid w:val="00B36DEF"/>
    <w:rsid w:val="00B526FE"/>
    <w:rsid w:val="00B57131"/>
    <w:rsid w:val="00B62EB9"/>
    <w:rsid w:val="00B62F2C"/>
    <w:rsid w:val="00B63F1D"/>
    <w:rsid w:val="00B70283"/>
    <w:rsid w:val="00B71F1C"/>
    <w:rsid w:val="00B72307"/>
    <w:rsid w:val="00B727C9"/>
    <w:rsid w:val="00B735C8"/>
    <w:rsid w:val="00B75A1C"/>
    <w:rsid w:val="00B76A63"/>
    <w:rsid w:val="00B818BB"/>
    <w:rsid w:val="00BA2994"/>
    <w:rsid w:val="00BA6350"/>
    <w:rsid w:val="00BB4E29"/>
    <w:rsid w:val="00BB74C9"/>
    <w:rsid w:val="00BC1B3F"/>
    <w:rsid w:val="00BC3AB6"/>
    <w:rsid w:val="00BD19E8"/>
    <w:rsid w:val="00BD4273"/>
    <w:rsid w:val="00BD54CE"/>
    <w:rsid w:val="00BF0444"/>
    <w:rsid w:val="00BF2BDA"/>
    <w:rsid w:val="00BF75D6"/>
    <w:rsid w:val="00C00F05"/>
    <w:rsid w:val="00C0698F"/>
    <w:rsid w:val="00C31ED8"/>
    <w:rsid w:val="00C321B1"/>
    <w:rsid w:val="00C351E0"/>
    <w:rsid w:val="00C432E4"/>
    <w:rsid w:val="00C43569"/>
    <w:rsid w:val="00C45ADA"/>
    <w:rsid w:val="00C513DA"/>
    <w:rsid w:val="00C65A3C"/>
    <w:rsid w:val="00C66FCE"/>
    <w:rsid w:val="00C70C26"/>
    <w:rsid w:val="00C72001"/>
    <w:rsid w:val="00C7593B"/>
    <w:rsid w:val="00C772B7"/>
    <w:rsid w:val="00C80347"/>
    <w:rsid w:val="00C819F3"/>
    <w:rsid w:val="00C85B09"/>
    <w:rsid w:val="00C870AC"/>
    <w:rsid w:val="00CB24D2"/>
    <w:rsid w:val="00CB7C1A"/>
    <w:rsid w:val="00CC0538"/>
    <w:rsid w:val="00CC5334"/>
    <w:rsid w:val="00CC5E08"/>
    <w:rsid w:val="00CC72B0"/>
    <w:rsid w:val="00CD5E93"/>
    <w:rsid w:val="00CE14FD"/>
    <w:rsid w:val="00CF1AB1"/>
    <w:rsid w:val="00CF3CEE"/>
    <w:rsid w:val="00CF6860"/>
    <w:rsid w:val="00D00024"/>
    <w:rsid w:val="00D02AC6"/>
    <w:rsid w:val="00D03F0C"/>
    <w:rsid w:val="00D04312"/>
    <w:rsid w:val="00D16A7F"/>
    <w:rsid w:val="00D16AD2"/>
    <w:rsid w:val="00D17208"/>
    <w:rsid w:val="00D22596"/>
    <w:rsid w:val="00D22691"/>
    <w:rsid w:val="00D24C3D"/>
    <w:rsid w:val="00D46CB1"/>
    <w:rsid w:val="00D723F0"/>
    <w:rsid w:val="00D76477"/>
    <w:rsid w:val="00D80B18"/>
    <w:rsid w:val="00D8133F"/>
    <w:rsid w:val="00D861EE"/>
    <w:rsid w:val="00D90FA1"/>
    <w:rsid w:val="00D91649"/>
    <w:rsid w:val="00D928A5"/>
    <w:rsid w:val="00D95B05"/>
    <w:rsid w:val="00D97E2D"/>
    <w:rsid w:val="00DA0D27"/>
    <w:rsid w:val="00DA103D"/>
    <w:rsid w:val="00DA45D3"/>
    <w:rsid w:val="00DA4772"/>
    <w:rsid w:val="00DA7B44"/>
    <w:rsid w:val="00DB0FA2"/>
    <w:rsid w:val="00DB2667"/>
    <w:rsid w:val="00DB67B7"/>
    <w:rsid w:val="00DC15A9"/>
    <w:rsid w:val="00DC2B03"/>
    <w:rsid w:val="00DC40AA"/>
    <w:rsid w:val="00DD06A9"/>
    <w:rsid w:val="00DD1750"/>
    <w:rsid w:val="00DD217B"/>
    <w:rsid w:val="00DD6C13"/>
    <w:rsid w:val="00DF5E56"/>
    <w:rsid w:val="00E01A6B"/>
    <w:rsid w:val="00E020F1"/>
    <w:rsid w:val="00E14016"/>
    <w:rsid w:val="00E17C8C"/>
    <w:rsid w:val="00E21B80"/>
    <w:rsid w:val="00E250B9"/>
    <w:rsid w:val="00E349AA"/>
    <w:rsid w:val="00E41390"/>
    <w:rsid w:val="00E41CA0"/>
    <w:rsid w:val="00E4366B"/>
    <w:rsid w:val="00E50A4A"/>
    <w:rsid w:val="00E606DE"/>
    <w:rsid w:val="00E644FE"/>
    <w:rsid w:val="00E70D4A"/>
    <w:rsid w:val="00E72733"/>
    <w:rsid w:val="00E742FA"/>
    <w:rsid w:val="00E76816"/>
    <w:rsid w:val="00E83DBF"/>
    <w:rsid w:val="00E84AC4"/>
    <w:rsid w:val="00E87C13"/>
    <w:rsid w:val="00E91E04"/>
    <w:rsid w:val="00E94CD9"/>
    <w:rsid w:val="00EA1A76"/>
    <w:rsid w:val="00EA290B"/>
    <w:rsid w:val="00EB19D3"/>
    <w:rsid w:val="00EB2820"/>
    <w:rsid w:val="00EB793A"/>
    <w:rsid w:val="00EE0E90"/>
    <w:rsid w:val="00EF3BCA"/>
    <w:rsid w:val="00EF729B"/>
    <w:rsid w:val="00F01B0D"/>
    <w:rsid w:val="00F1238F"/>
    <w:rsid w:val="00F16485"/>
    <w:rsid w:val="00F2102F"/>
    <w:rsid w:val="00F228ED"/>
    <w:rsid w:val="00F263A3"/>
    <w:rsid w:val="00F26E31"/>
    <w:rsid w:val="00F27C6C"/>
    <w:rsid w:val="00F30883"/>
    <w:rsid w:val="00F349AB"/>
    <w:rsid w:val="00F34A8D"/>
    <w:rsid w:val="00F35012"/>
    <w:rsid w:val="00F5023C"/>
    <w:rsid w:val="00F50D25"/>
    <w:rsid w:val="00F535D8"/>
    <w:rsid w:val="00F544DD"/>
    <w:rsid w:val="00F60AFC"/>
    <w:rsid w:val="00F61155"/>
    <w:rsid w:val="00F708E3"/>
    <w:rsid w:val="00F76561"/>
    <w:rsid w:val="00F84736"/>
    <w:rsid w:val="00F85CE6"/>
    <w:rsid w:val="00F93569"/>
    <w:rsid w:val="00FA305F"/>
    <w:rsid w:val="00FB397B"/>
    <w:rsid w:val="00FB6010"/>
    <w:rsid w:val="00FC4E5D"/>
    <w:rsid w:val="00FC5CD9"/>
    <w:rsid w:val="00FC6C29"/>
    <w:rsid w:val="00FD1ED5"/>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8FCCEEA6-1643-4CDF-9386-B95A58B0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