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RPr="00393DE9" w:rsidP="68B40A2B" w14:paraId="0F12F00C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393DE9">
              <w:rPr>
                <w:noProof/>
                <w:sz w:val="22"/>
                <w:szCs w:val="22"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RPr="00393DE9" w:rsidP="68B40A2B" w14:paraId="648FC87C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11A84" w:rsidRPr="00844140" w:rsidP="00B11A84" w14:paraId="23F1CA6B" w14:textId="12047461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844140">
              <w:rPr>
                <w:b/>
                <w:bCs/>
                <w:sz w:val="28"/>
                <w:szCs w:val="28"/>
              </w:rPr>
              <w:t>FACT SHEET: FCC Updates Covered List to Include Foreign-Made Consumer Routers, Prohibiting Approval of New Models</w:t>
            </w:r>
          </w:p>
          <w:p w:rsidR="00B11A84" w:rsidRPr="00AB5CD5" w:rsidP="000E069F" w14:paraId="2C3EFD7B" w14:textId="7384647F">
            <w:pPr>
              <w:jc w:val="center"/>
              <w:rPr>
                <w:i/>
              </w:rPr>
            </w:pPr>
            <w:r w:rsidRPr="00AB5CD5">
              <w:rPr>
                <w:i/>
              </w:rPr>
              <w:t xml:space="preserve">Update Follows </w:t>
            </w:r>
            <w:r w:rsidRPr="00AB5CD5" w:rsidR="00612241">
              <w:rPr>
                <w:i/>
              </w:rPr>
              <w:t xml:space="preserve">Determination </w:t>
            </w:r>
            <w:r w:rsidRPr="00AB5CD5">
              <w:rPr>
                <w:i/>
              </w:rPr>
              <w:t>by Executive Branch Agencies that</w:t>
            </w:r>
            <w:r w:rsidRPr="00AB5CD5" w:rsidR="00612241">
              <w:rPr>
                <w:i/>
              </w:rPr>
              <w:t xml:space="preserve"> </w:t>
            </w:r>
            <w:r w:rsidRPr="00AB5CD5" w:rsidR="00B05870">
              <w:rPr>
                <w:i/>
              </w:rPr>
              <w:t>Consumer-Grade</w:t>
            </w:r>
            <w:r w:rsidRPr="00AB5CD5" w:rsidR="00612241">
              <w:rPr>
                <w:i/>
              </w:rPr>
              <w:t xml:space="preserve"> Routers </w:t>
            </w:r>
            <w:r w:rsidRPr="00AB5CD5" w:rsidR="00A204F8">
              <w:rPr>
                <w:i/>
              </w:rPr>
              <w:t xml:space="preserve">Produced </w:t>
            </w:r>
            <w:r w:rsidRPr="00AB5CD5">
              <w:rPr>
                <w:i/>
              </w:rPr>
              <w:t>in</w:t>
            </w:r>
            <w:r w:rsidRPr="00AB5CD5" w:rsidR="00A204F8">
              <w:rPr>
                <w:i/>
              </w:rPr>
              <w:t xml:space="preserve"> Foreign Countries</w:t>
            </w:r>
            <w:r w:rsidRPr="00AB5CD5">
              <w:rPr>
                <w:i/>
              </w:rPr>
              <w:t xml:space="preserve"> Threaten National Security</w:t>
            </w:r>
          </w:p>
          <w:p w:rsidR="00814505" w:rsidRPr="00393DE9" w:rsidP="00814505" w14:paraId="7887F7F3" w14:textId="77777777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3050CC" w:rsidP="00814505" w14:paraId="725841A2" w14:textId="2FFAE690">
            <w:pPr>
              <w:rPr>
                <w:sz w:val="22"/>
                <w:szCs w:val="22"/>
              </w:rPr>
            </w:pPr>
            <w:r w:rsidRPr="00393DE9">
              <w:rPr>
                <w:color w:val="000000" w:themeColor="text1"/>
                <w:sz w:val="22"/>
                <w:szCs w:val="22"/>
              </w:rPr>
              <w:t xml:space="preserve">WASHINGTON, March </w:t>
            </w:r>
            <w:r w:rsidRPr="00393DE9" w:rsidR="0085135A">
              <w:rPr>
                <w:color w:val="000000" w:themeColor="text1"/>
                <w:sz w:val="22"/>
                <w:szCs w:val="22"/>
              </w:rPr>
              <w:t>23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, 2026—Today, the Federal Communications Commission </w:t>
            </w:r>
            <w:hyperlink r:id="rId5" w:history="1">
              <w:r w:rsidRPr="000E0C3F">
                <w:rPr>
                  <w:rStyle w:val="Hyperlink"/>
                  <w:sz w:val="22"/>
                  <w:szCs w:val="22"/>
                </w:rPr>
                <w:t>updated</w:t>
              </w:r>
            </w:hyperlink>
            <w:r w:rsidRPr="00393DE9">
              <w:rPr>
                <w:sz w:val="22"/>
                <w:szCs w:val="22"/>
              </w:rPr>
              <w:t xml:space="preserve"> 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its </w:t>
            </w:r>
            <w:hyperlink r:id="rId6" w:history="1">
              <w:r w:rsidRPr="00BA7859">
                <w:rPr>
                  <w:rStyle w:val="Hyperlink"/>
                  <w:sz w:val="22"/>
                  <w:szCs w:val="22"/>
                </w:rPr>
                <w:t>Covered List</w:t>
              </w:r>
            </w:hyperlink>
            <w:r w:rsidRPr="00393DE9">
              <w:rPr>
                <w:color w:val="000000" w:themeColor="text1"/>
                <w:sz w:val="22"/>
                <w:szCs w:val="22"/>
              </w:rPr>
              <w:t xml:space="preserve"> to include </w:t>
            </w:r>
            <w:r w:rsidRPr="00393DE9" w:rsidR="0085135A">
              <w:rPr>
                <w:color w:val="000000" w:themeColor="text1"/>
                <w:sz w:val="22"/>
                <w:szCs w:val="22"/>
              </w:rPr>
              <w:t>all consumer-grade routers</w:t>
            </w:r>
            <w:r w:rsidR="0054674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3DE9" w:rsidR="0085135A">
              <w:rPr>
                <w:color w:val="000000" w:themeColor="text1"/>
                <w:sz w:val="22"/>
                <w:szCs w:val="22"/>
              </w:rPr>
              <w:t>produced in foreign countries.</w:t>
            </w:r>
            <w:r w:rsidR="00F72D90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75596">
              <w:rPr>
                <w:color w:val="000000" w:themeColor="text1"/>
                <w:sz w:val="22"/>
                <w:szCs w:val="22"/>
              </w:rPr>
              <w:t xml:space="preserve">Routers are the boxes in every home that connect </w:t>
            </w:r>
            <w:r w:rsidR="00B24317">
              <w:rPr>
                <w:color w:val="000000" w:themeColor="text1"/>
                <w:sz w:val="22"/>
                <w:szCs w:val="22"/>
              </w:rPr>
              <w:t xml:space="preserve">computers, phones, and smart devices to the internet. </w:t>
            </w:r>
            <w:r w:rsidRPr="00393DE9" w:rsidR="0085135A">
              <w:rPr>
                <w:color w:val="000000" w:themeColor="text1"/>
                <w:sz w:val="22"/>
                <w:szCs w:val="22"/>
              </w:rPr>
              <w:t xml:space="preserve"> This followed a </w:t>
            </w:r>
            <w:hyperlink r:id="rId7" w:history="1">
              <w:r w:rsidRPr="0028181A" w:rsidR="0085135A">
                <w:rPr>
                  <w:rStyle w:val="Hyperlink"/>
                  <w:sz w:val="22"/>
                  <w:szCs w:val="22"/>
                </w:rPr>
                <w:t>determination</w:t>
              </w:r>
            </w:hyperlink>
            <w:r w:rsidRPr="00393DE9" w:rsidR="0085135A">
              <w:rPr>
                <w:color w:val="000000" w:themeColor="text1"/>
                <w:sz w:val="22"/>
                <w:szCs w:val="22"/>
              </w:rPr>
              <w:t xml:space="preserve"> by </w:t>
            </w:r>
            <w:r w:rsidRPr="00393DE9" w:rsidR="0085135A">
              <w:rPr>
                <w:sz w:val="22"/>
                <w:szCs w:val="22"/>
              </w:rPr>
              <w:t>a White</w:t>
            </w:r>
            <w:r w:rsidR="00065705">
              <w:rPr>
                <w:sz w:val="22"/>
                <w:szCs w:val="22"/>
              </w:rPr>
              <w:t xml:space="preserve"> </w:t>
            </w:r>
            <w:r w:rsidRPr="00393DE9" w:rsidR="0085135A">
              <w:rPr>
                <w:sz w:val="22"/>
                <w:szCs w:val="22"/>
              </w:rPr>
              <w:t>House</w:t>
            </w:r>
            <w:r w:rsidR="001E5B63">
              <w:rPr>
                <w:sz w:val="22"/>
                <w:szCs w:val="22"/>
              </w:rPr>
              <w:t>-</w:t>
            </w:r>
            <w:r w:rsidRPr="00393DE9" w:rsidR="0085135A">
              <w:rPr>
                <w:sz w:val="22"/>
                <w:szCs w:val="22"/>
              </w:rPr>
              <w:t>convened</w:t>
            </w:r>
            <w:r w:rsidRPr="00393DE9" w:rsidR="00814505">
              <w:rPr>
                <w:sz w:val="22"/>
                <w:szCs w:val="22"/>
              </w:rPr>
              <w:t xml:space="preserve"> Executive Branch interagency body with appropriate national security expertise </w:t>
            </w:r>
            <w:r w:rsidRPr="00393DE9" w:rsidR="00CC5536">
              <w:rPr>
                <w:sz w:val="22"/>
                <w:szCs w:val="22"/>
              </w:rPr>
              <w:t xml:space="preserve">that </w:t>
            </w:r>
            <w:r w:rsidRPr="00393DE9" w:rsidR="0085135A">
              <w:rPr>
                <w:sz w:val="22"/>
                <w:szCs w:val="22"/>
              </w:rPr>
              <w:t>such</w:t>
            </w:r>
            <w:r w:rsidRPr="00393DE9" w:rsidR="00205693">
              <w:rPr>
                <w:sz w:val="22"/>
                <w:szCs w:val="22"/>
              </w:rPr>
              <w:t xml:space="preserve"> </w:t>
            </w:r>
            <w:r w:rsidRPr="00393DE9" w:rsidR="00CC5536">
              <w:rPr>
                <w:sz w:val="22"/>
                <w:szCs w:val="22"/>
              </w:rPr>
              <w:t>routers</w:t>
            </w:r>
            <w:r w:rsidRPr="00393DE9" w:rsidR="002A4E76">
              <w:rPr>
                <w:sz w:val="22"/>
                <w:szCs w:val="22"/>
              </w:rPr>
              <w:t xml:space="preserve"> “</w:t>
            </w:r>
            <w:r w:rsidRPr="00393DE9" w:rsidR="0085135A">
              <w:rPr>
                <w:sz w:val="22"/>
                <w:szCs w:val="22"/>
              </w:rPr>
              <w:t>pose unacceptable risks to the national security of the United States or the safety and security of United States persons</w:t>
            </w:r>
            <w:r w:rsidRPr="00393DE9" w:rsidR="002A4E76">
              <w:rPr>
                <w:sz w:val="22"/>
                <w:szCs w:val="22"/>
              </w:rPr>
              <w:t>.”</w:t>
            </w:r>
          </w:p>
          <w:p w:rsidR="003050CC" w:rsidP="00814505" w14:paraId="6C6EF5CC" w14:textId="77777777">
            <w:pPr>
              <w:rPr>
                <w:sz w:val="22"/>
                <w:szCs w:val="22"/>
              </w:rPr>
            </w:pPr>
          </w:p>
          <w:p w:rsidR="003B18CC" w:rsidP="00814505" w14:paraId="1F320839" w14:textId="6A9BB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1476AE">
              <w:rPr>
                <w:sz w:val="22"/>
                <w:szCs w:val="22"/>
              </w:rPr>
              <w:t xml:space="preserve"> </w:t>
            </w:r>
            <w:r w:rsidR="00065705">
              <w:rPr>
                <w:sz w:val="22"/>
                <w:szCs w:val="22"/>
              </w:rPr>
              <w:t xml:space="preserve">Executive Branch </w:t>
            </w:r>
            <w:r w:rsidR="001476AE">
              <w:rPr>
                <w:sz w:val="22"/>
                <w:szCs w:val="22"/>
              </w:rPr>
              <w:t>determination</w:t>
            </w:r>
            <w:r w:rsidR="001E1F88">
              <w:rPr>
                <w:sz w:val="22"/>
                <w:szCs w:val="22"/>
              </w:rPr>
              <w:t xml:space="preserve"> noted that</w:t>
            </w:r>
            <w:r w:rsidR="004F72D5">
              <w:rPr>
                <w:sz w:val="22"/>
                <w:szCs w:val="22"/>
              </w:rPr>
              <w:t xml:space="preserve"> foreign-produced route</w:t>
            </w:r>
            <w:r w:rsidR="0057452A">
              <w:rPr>
                <w:sz w:val="22"/>
                <w:szCs w:val="22"/>
              </w:rPr>
              <w:t xml:space="preserve">rs </w:t>
            </w:r>
            <w:r>
              <w:rPr>
                <w:sz w:val="22"/>
                <w:szCs w:val="22"/>
              </w:rPr>
              <w:t xml:space="preserve">(1) </w:t>
            </w:r>
            <w:r w:rsidR="0057452A">
              <w:rPr>
                <w:sz w:val="22"/>
                <w:szCs w:val="22"/>
              </w:rPr>
              <w:t>introduce “</w:t>
            </w:r>
            <w:r w:rsidRPr="004F72D5" w:rsidR="004F72D5">
              <w:rPr>
                <w:sz w:val="22"/>
                <w:szCs w:val="22"/>
              </w:rPr>
              <w:t>a supply chain vulnerability that could disrupt the U.S. economy, critical infrastructure, and national defense</w:t>
            </w:r>
            <w:r w:rsidR="0057452A">
              <w:rPr>
                <w:sz w:val="22"/>
                <w:szCs w:val="22"/>
              </w:rPr>
              <w:t xml:space="preserve">” and </w:t>
            </w:r>
            <w:r>
              <w:rPr>
                <w:sz w:val="22"/>
                <w:szCs w:val="22"/>
              </w:rPr>
              <w:t xml:space="preserve">(2) </w:t>
            </w:r>
            <w:r w:rsidR="0057452A">
              <w:rPr>
                <w:sz w:val="22"/>
                <w:szCs w:val="22"/>
              </w:rPr>
              <w:t>pose “</w:t>
            </w:r>
            <w:r w:rsidRPr="004F72D5" w:rsidR="004F72D5">
              <w:rPr>
                <w:sz w:val="22"/>
                <w:szCs w:val="22"/>
              </w:rPr>
              <w:t>a severe cybersecurity risk that could be leveraged to immediately and severely disrupt U.S. critical infrastructure and directly harm U.S. persons.</w:t>
            </w:r>
            <w:r w:rsidR="0057452A">
              <w:rPr>
                <w:sz w:val="22"/>
                <w:szCs w:val="22"/>
              </w:rPr>
              <w:t>”</w:t>
            </w:r>
          </w:p>
          <w:p w:rsidR="003B18CC" w:rsidP="00814505" w14:paraId="00211FE3" w14:textId="77777777">
            <w:pPr>
              <w:rPr>
                <w:sz w:val="22"/>
                <w:szCs w:val="22"/>
              </w:rPr>
            </w:pPr>
          </w:p>
          <w:p w:rsidR="0057452A" w:rsidP="00814505" w14:paraId="42CDE95C" w14:textId="7B4DD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B18CC">
              <w:rPr>
                <w:sz w:val="22"/>
                <w:szCs w:val="22"/>
              </w:rPr>
              <w:t>resident</w:t>
            </w:r>
            <w:r w:rsidR="003E6BCA">
              <w:rPr>
                <w:sz w:val="22"/>
                <w:szCs w:val="22"/>
              </w:rPr>
              <w:t xml:space="preserve"> Trump’s</w:t>
            </w:r>
            <w:r w:rsidRPr="003B18CC">
              <w:rPr>
                <w:sz w:val="22"/>
                <w:szCs w:val="22"/>
              </w:rPr>
              <w:t xml:space="preserve"> 2025 National Security Strategy</w:t>
            </w:r>
            <w:r>
              <w:rPr>
                <w:sz w:val="22"/>
                <w:szCs w:val="22"/>
              </w:rPr>
              <w:t xml:space="preserve"> stated:</w:t>
            </w:r>
            <w:r w:rsidRPr="003B18CC">
              <w:rPr>
                <w:sz w:val="22"/>
                <w:szCs w:val="22"/>
              </w:rPr>
              <w:t xml:space="preserve"> “the United States must never be dependent on any outside power for core components—from raw materials to parts to finished products—necessary to the nation’s defense or economy. </w:t>
            </w:r>
            <w:r w:rsidR="000C3034">
              <w:rPr>
                <w:sz w:val="22"/>
                <w:szCs w:val="22"/>
              </w:rPr>
              <w:t xml:space="preserve"> </w:t>
            </w:r>
            <w:r w:rsidRPr="003B18CC">
              <w:rPr>
                <w:sz w:val="22"/>
                <w:szCs w:val="22"/>
              </w:rPr>
              <w:t>We must re-secure our own independent and reliable access to the goods we need to defend ourselves and preserve our way of life.”</w:t>
            </w:r>
            <w:r>
              <w:rPr>
                <w:sz w:val="22"/>
                <w:szCs w:val="22"/>
              </w:rPr>
              <w:t xml:space="preserve"> </w:t>
            </w:r>
          </w:p>
          <w:p w:rsidR="0014344A" w:rsidP="00814505" w14:paraId="566794B7" w14:textId="77777777">
            <w:pPr>
              <w:rPr>
                <w:sz w:val="22"/>
                <w:szCs w:val="22"/>
              </w:rPr>
            </w:pPr>
          </w:p>
          <w:p w:rsidR="0014344A" w:rsidP="00814505" w14:paraId="30DAC4C3" w14:textId="351F8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Malicious</w:t>
            </w:r>
            <w:r w:rsidRPr="0014344A">
              <w:rPr>
                <w:sz w:val="22"/>
                <w:szCs w:val="22"/>
              </w:rPr>
              <w:t xml:space="preserve"> actors have exploited security gaps in foreign-made routers to attack American households</w:t>
            </w:r>
            <w:r>
              <w:rPr>
                <w:sz w:val="22"/>
                <w:szCs w:val="22"/>
              </w:rPr>
              <w:t xml:space="preserve">, </w:t>
            </w:r>
            <w:r w:rsidRPr="0014344A">
              <w:rPr>
                <w:sz w:val="22"/>
                <w:szCs w:val="22"/>
              </w:rPr>
              <w:t xml:space="preserve">disrupt networks, enable espionage, and facilitate intellectual property theft. </w:t>
            </w:r>
            <w:r w:rsidR="001E5B63">
              <w:rPr>
                <w:sz w:val="22"/>
                <w:szCs w:val="22"/>
              </w:rPr>
              <w:t xml:space="preserve"> </w:t>
            </w:r>
            <w:r w:rsidR="003E6BCA">
              <w:rPr>
                <w:sz w:val="22"/>
                <w:szCs w:val="22"/>
              </w:rPr>
              <w:t>Foreign-made routers</w:t>
            </w:r>
            <w:r w:rsidRPr="0014344A">
              <w:rPr>
                <w:sz w:val="22"/>
                <w:szCs w:val="22"/>
              </w:rPr>
              <w:t xml:space="preserve"> were also involved in the Volt, Flax, and Salt Typhoon cyberattacks targeting vital U.S. infrastructure.</w:t>
            </w:r>
          </w:p>
          <w:p w:rsidR="0057452A" w:rsidP="00814505" w14:paraId="39A0ED40" w14:textId="77777777">
            <w:pPr>
              <w:rPr>
                <w:sz w:val="22"/>
                <w:szCs w:val="22"/>
              </w:rPr>
            </w:pPr>
          </w:p>
          <w:p w:rsidR="00AD6E32" w:rsidRPr="00393DE9" w:rsidP="00814505" w14:paraId="0F981C81" w14:textId="4BFBE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determination </w:t>
            </w:r>
            <w:r w:rsidR="001476AE">
              <w:rPr>
                <w:sz w:val="22"/>
                <w:szCs w:val="22"/>
              </w:rPr>
              <w:t xml:space="preserve">included </w:t>
            </w:r>
            <w:r w:rsidR="001E5A94">
              <w:rPr>
                <w:sz w:val="22"/>
                <w:szCs w:val="22"/>
              </w:rPr>
              <w:t xml:space="preserve">an exemption for </w:t>
            </w:r>
            <w:r w:rsidR="001476AE">
              <w:rPr>
                <w:sz w:val="22"/>
                <w:szCs w:val="22"/>
              </w:rPr>
              <w:t>routers</w:t>
            </w:r>
            <w:r w:rsidR="001E5A94">
              <w:rPr>
                <w:sz w:val="22"/>
                <w:szCs w:val="22"/>
              </w:rPr>
              <w:t xml:space="preserve"> that the Department of War (</w:t>
            </w:r>
            <w:r w:rsidR="001E5A94">
              <w:rPr>
                <w:sz w:val="22"/>
                <w:szCs w:val="22"/>
              </w:rPr>
              <w:t>DoW</w:t>
            </w:r>
            <w:r w:rsidR="001E5A94">
              <w:rPr>
                <w:sz w:val="22"/>
                <w:szCs w:val="22"/>
              </w:rPr>
              <w:t xml:space="preserve">) or the Department of Homeland Security (DHS) </w:t>
            </w:r>
            <w:r w:rsidR="001476AE">
              <w:rPr>
                <w:sz w:val="22"/>
                <w:szCs w:val="22"/>
              </w:rPr>
              <w:t>have granted “Conditional Approval” after finding that such device or devices</w:t>
            </w:r>
            <w:r w:rsidR="001E5A94">
              <w:rPr>
                <w:sz w:val="22"/>
                <w:szCs w:val="22"/>
              </w:rPr>
              <w:t xml:space="preserve"> do not pose such unacceptable risks.</w:t>
            </w:r>
            <w:r w:rsidR="003050CC">
              <w:rPr>
                <w:sz w:val="22"/>
                <w:szCs w:val="22"/>
              </w:rPr>
              <w:t xml:space="preserve">  Producers of consumer-grade routers are encouraged to </w:t>
            </w:r>
            <w:r w:rsidR="00270C45">
              <w:rPr>
                <w:sz w:val="22"/>
                <w:szCs w:val="22"/>
              </w:rPr>
              <w:t xml:space="preserve">submit an application for Conditional Approval </w:t>
            </w:r>
            <w:r w:rsidR="007809E7">
              <w:rPr>
                <w:sz w:val="22"/>
                <w:szCs w:val="22"/>
              </w:rPr>
              <w:t xml:space="preserve">using the </w:t>
            </w:r>
            <w:hyperlink r:id="rId8" w:history="1">
              <w:r w:rsidRPr="0018435D" w:rsidR="004A3384">
                <w:rPr>
                  <w:rStyle w:val="Hyperlink"/>
                  <w:sz w:val="22"/>
                  <w:szCs w:val="22"/>
                </w:rPr>
                <w:t>guidance</w:t>
              </w:r>
            </w:hyperlink>
            <w:r w:rsidR="004A3384">
              <w:rPr>
                <w:sz w:val="22"/>
                <w:szCs w:val="22"/>
              </w:rPr>
              <w:t xml:space="preserve"> attached to the determination.</w:t>
            </w:r>
            <w:r w:rsidR="00FF31F4">
              <w:rPr>
                <w:sz w:val="22"/>
                <w:szCs w:val="22"/>
              </w:rPr>
              <w:t xml:space="preserve">  Applications should be submitted to </w:t>
            </w:r>
            <w:hyperlink r:id="rId9" w:history="1">
              <w:r w:rsidRPr="00816FFE" w:rsidR="005D7420">
                <w:rPr>
                  <w:rStyle w:val="Hyperlink"/>
                  <w:sz w:val="22"/>
                  <w:szCs w:val="22"/>
                </w:rPr>
                <w:t>conditional-approvals@fcc.gov</w:t>
              </w:r>
            </w:hyperlink>
            <w:r w:rsidR="005D7420">
              <w:rPr>
                <w:sz w:val="22"/>
                <w:szCs w:val="22"/>
              </w:rPr>
              <w:t xml:space="preserve">. </w:t>
            </w:r>
          </w:p>
          <w:p w:rsidR="00AD6E32" w:rsidRPr="00393DE9" w:rsidP="00AD6E32" w14:paraId="1FEF2A1C" w14:textId="77777777">
            <w:pPr>
              <w:rPr>
                <w:color w:val="000000" w:themeColor="text1"/>
                <w:sz w:val="22"/>
                <w:szCs w:val="22"/>
              </w:rPr>
            </w:pPr>
          </w:p>
          <w:p w:rsidR="00AD6E32" w:rsidRPr="00393DE9" w:rsidP="00AD6E32" w14:paraId="264E9C0C" w14:textId="7BF0BAF3">
            <w:pPr>
              <w:rPr>
                <w:color w:val="000000" w:themeColor="text1"/>
                <w:sz w:val="22"/>
                <w:szCs w:val="22"/>
              </w:rPr>
            </w:pPr>
            <w:r w:rsidRPr="00393DE9">
              <w:rPr>
                <w:color w:val="000000" w:themeColor="text1"/>
                <w:sz w:val="22"/>
                <w:szCs w:val="22"/>
              </w:rPr>
              <w:t xml:space="preserve">As outlined below, today’s </w:t>
            </w:r>
            <w:r w:rsidR="00E80608">
              <w:rPr>
                <w:color w:val="000000" w:themeColor="text1"/>
                <w:sz w:val="22"/>
                <w:szCs w:val="22"/>
              </w:rPr>
              <w:t>action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 does not impact a consumer’s </w:t>
            </w:r>
            <w:r w:rsidR="00E80608">
              <w:rPr>
                <w:color w:val="000000" w:themeColor="text1"/>
                <w:sz w:val="22"/>
                <w:szCs w:val="22"/>
              </w:rPr>
              <w:t>continued use of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 routers they previously acquired. </w:t>
            </w:r>
            <w:r w:rsidR="001E5B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Nor does </w:t>
            </w:r>
            <w:r w:rsidR="00AA2DA5">
              <w:rPr>
                <w:color w:val="000000" w:themeColor="text1"/>
                <w:sz w:val="22"/>
                <w:szCs w:val="22"/>
              </w:rPr>
              <w:t>it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 prevent retailers from continuing to sell, import, or market router models approved previously through the FCC’s equipment authorization process. </w:t>
            </w:r>
            <w:r w:rsidR="001E5B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By operation of the FCC’s Covered List rules, the restrictions imposed </w:t>
            </w:r>
            <w:r w:rsidR="00E80608">
              <w:rPr>
                <w:color w:val="000000" w:themeColor="text1"/>
                <w:sz w:val="22"/>
                <w:szCs w:val="22"/>
              </w:rPr>
              <w:t>today</w:t>
            </w:r>
            <w:r w:rsidRPr="00393DE9">
              <w:rPr>
                <w:color w:val="000000" w:themeColor="text1"/>
                <w:sz w:val="22"/>
                <w:szCs w:val="22"/>
              </w:rPr>
              <w:t xml:space="preserve"> apply to new device models.</w:t>
            </w:r>
          </w:p>
          <w:p w:rsidR="002A4E76" w:rsidRPr="00393DE9" w:rsidP="00814505" w14:paraId="7FC53971" w14:textId="77777777">
            <w:pPr>
              <w:rPr>
                <w:sz w:val="22"/>
                <w:szCs w:val="22"/>
              </w:rPr>
            </w:pPr>
          </w:p>
          <w:p w:rsidR="00E95B9A" w:rsidRPr="00393DE9" w:rsidP="00E95B9A" w14:paraId="0DD1814D" w14:textId="77777777">
            <w:pPr>
              <w:rPr>
                <w:b/>
                <w:sz w:val="22"/>
                <w:szCs w:val="22"/>
              </w:rPr>
            </w:pPr>
            <w:r w:rsidRPr="00393DE9">
              <w:rPr>
                <w:b/>
                <w:sz w:val="22"/>
                <w:szCs w:val="22"/>
              </w:rPr>
              <w:t xml:space="preserve">Chairman Carr issued the following statement: </w:t>
            </w:r>
          </w:p>
          <w:p w:rsidR="00E95B9A" w:rsidRPr="00393DE9" w:rsidP="00E95B9A" w14:paraId="4B40B6B2" w14:textId="77777777">
            <w:pPr>
              <w:rPr>
                <w:b/>
                <w:sz w:val="22"/>
                <w:szCs w:val="22"/>
              </w:rPr>
            </w:pPr>
          </w:p>
          <w:p w:rsidR="00E95B9A" w:rsidRPr="00393DE9" w:rsidP="00E95B9A" w14:paraId="5178CDC0" w14:textId="6792E799">
            <w:pPr>
              <w:rPr>
                <w:sz w:val="22"/>
                <w:szCs w:val="22"/>
              </w:rPr>
            </w:pPr>
            <w:r w:rsidRPr="00393DE9">
              <w:rPr>
                <w:sz w:val="22"/>
                <w:szCs w:val="22"/>
              </w:rPr>
              <w:t>“I welcome this Executive Branch national security determination, and I am pleased that the FCC has now added foreign</w:t>
            </w:r>
            <w:r w:rsidR="00AB7DF5">
              <w:rPr>
                <w:sz w:val="22"/>
                <w:szCs w:val="22"/>
              </w:rPr>
              <w:t>-</w:t>
            </w:r>
            <w:r w:rsidRPr="00393DE9">
              <w:rPr>
                <w:sz w:val="22"/>
                <w:szCs w:val="22"/>
              </w:rPr>
              <w:t>produced routers, which</w:t>
            </w:r>
            <w:r w:rsidRPr="00393DE9" w:rsidR="00AD6E32">
              <w:rPr>
                <w:sz w:val="22"/>
                <w:szCs w:val="22"/>
              </w:rPr>
              <w:t xml:space="preserve"> were found to</w:t>
            </w:r>
            <w:r w:rsidRPr="00393DE9">
              <w:rPr>
                <w:sz w:val="22"/>
                <w:szCs w:val="22"/>
              </w:rPr>
              <w:t xml:space="preserve"> pose an unacceptable national security risk, to the FCC’s Covered List. </w:t>
            </w:r>
            <w:r w:rsidR="00B66311">
              <w:rPr>
                <w:sz w:val="22"/>
                <w:szCs w:val="22"/>
              </w:rPr>
              <w:t xml:space="preserve"> Following</w:t>
            </w:r>
            <w:r w:rsidRPr="00393DE9" w:rsidR="00AD6E32">
              <w:rPr>
                <w:sz w:val="22"/>
                <w:szCs w:val="22"/>
              </w:rPr>
              <w:t xml:space="preserve"> President Trump’s leadership, </w:t>
            </w:r>
            <w:r w:rsidR="00B66311">
              <w:rPr>
                <w:sz w:val="22"/>
                <w:szCs w:val="22"/>
              </w:rPr>
              <w:t xml:space="preserve">the FCC will </w:t>
            </w:r>
            <w:r w:rsidR="003E344F">
              <w:rPr>
                <w:sz w:val="22"/>
                <w:szCs w:val="22"/>
              </w:rPr>
              <w:t>continue do our part in</w:t>
            </w:r>
            <w:r w:rsidR="00B66311">
              <w:rPr>
                <w:sz w:val="22"/>
                <w:szCs w:val="22"/>
              </w:rPr>
              <w:t xml:space="preserve"> mak</w:t>
            </w:r>
            <w:r w:rsidR="003E344F">
              <w:rPr>
                <w:sz w:val="22"/>
                <w:szCs w:val="22"/>
              </w:rPr>
              <w:t>ing</w:t>
            </w:r>
            <w:r w:rsidR="00B66311">
              <w:rPr>
                <w:sz w:val="22"/>
                <w:szCs w:val="22"/>
              </w:rPr>
              <w:t xml:space="preserve"> sure that U.S. cybers</w:t>
            </w:r>
            <w:r w:rsidR="003E344F">
              <w:rPr>
                <w:sz w:val="22"/>
                <w:szCs w:val="22"/>
              </w:rPr>
              <w:t>pace</w:t>
            </w:r>
            <w:r w:rsidR="00B66311">
              <w:rPr>
                <w:sz w:val="22"/>
                <w:szCs w:val="22"/>
              </w:rPr>
              <w:t>, critical infrastructure, and supply chains are safe and secure.</w:t>
            </w:r>
            <w:r w:rsidR="003E344F">
              <w:rPr>
                <w:sz w:val="22"/>
                <w:szCs w:val="22"/>
              </w:rPr>
              <w:t>”</w:t>
            </w:r>
          </w:p>
          <w:p w:rsidR="007417A0" w:rsidRPr="00393DE9" w:rsidP="0079772F" w14:paraId="56BC7E32" w14:textId="77777777">
            <w:pPr>
              <w:rPr>
                <w:sz w:val="22"/>
                <w:szCs w:val="22"/>
              </w:rPr>
            </w:pPr>
          </w:p>
          <w:p w:rsidR="00AD6E32" w:rsidRPr="00393DE9" w:rsidP="00AD6E32" w14:paraId="4F63B2FE" w14:textId="77777777">
            <w:pPr>
              <w:rPr>
                <w:b/>
                <w:bCs/>
                <w:sz w:val="22"/>
                <w:szCs w:val="22"/>
              </w:rPr>
            </w:pPr>
            <w:r w:rsidRPr="00393DE9">
              <w:rPr>
                <w:b/>
                <w:bCs/>
                <w:sz w:val="22"/>
                <w:szCs w:val="22"/>
              </w:rPr>
              <w:t xml:space="preserve">Additional Background: </w:t>
            </w:r>
          </w:p>
          <w:p w:rsidR="00C12EA4" w:rsidRPr="00734E3A" w:rsidP="002E519C" w14:paraId="661AA070" w14:textId="7F92DF0A">
            <w:pPr>
              <w:rPr>
                <w:b/>
                <w:bCs/>
              </w:rPr>
            </w:pPr>
          </w:p>
          <w:p w:rsidR="00734E3A" w:rsidRPr="002E519C" w:rsidP="002E519C" w14:paraId="5051A64F" w14:textId="11E6321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</w:rPr>
            </w:pP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The FCC’s Covered List is a list of </w:t>
            </w:r>
            <w:r w:rsidRPr="002E519C" w:rsidR="00AD6E32">
              <w:rPr>
                <w:rFonts w:ascii="Times New Roman" w:hAnsi="Times New Roman" w:cs="Times New Roman"/>
                <w:sz w:val="22"/>
                <w:szCs w:val="22"/>
              </w:rPr>
              <w:t>communications equipment and services that are deemed to pose an unacceptable risk to the national security of the U.S. or the safety and security of U.S. persons.</w:t>
            </w:r>
          </w:p>
          <w:p w:rsidR="00734E3A" w:rsidRPr="002E519C" w:rsidP="002E519C" w14:paraId="55390F45" w14:textId="29D01A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Under the Secure and Trusted Communications Networks Act, the Commission can update the Covered List only at the direction of national security authorities. </w:t>
            </w:r>
            <w:r w:rsidR="001E5B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>In other words, the Commission cannot update this list on its own and is required to implement determinations that are made by our national security agency experts.</w:t>
            </w:r>
          </w:p>
          <w:p w:rsidR="00734E3A" w:rsidRPr="002E519C" w:rsidP="002E519C" w14:paraId="51753999" w14:textId="0DA5394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Equipment on the Covered List (“covered” equipment) is prohibited from getting FCC equipment authorization. Most </w:t>
            </w:r>
            <w:r w:rsidRPr="002E519C" w:rsidR="007367D6">
              <w:rPr>
                <w:rFonts w:ascii="Times New Roman" w:hAnsi="Times New Roman" w:cs="Times New Roman"/>
                <w:sz w:val="22"/>
                <w:szCs w:val="22"/>
              </w:rPr>
              <w:t>electronic</w:t>
            </w: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 devices</w:t>
            </w:r>
            <w:r w:rsidRPr="002E519C" w:rsidR="007367D6">
              <w:rPr>
                <w:rFonts w:ascii="Times New Roman" w:hAnsi="Times New Roman" w:cs="Times New Roman"/>
                <w:sz w:val="22"/>
                <w:szCs w:val="22"/>
              </w:rPr>
              <w:t xml:space="preserve"> (including consumer-grade routers)</w:t>
            </w: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 require FCC equipment authorization prior to importation, marketing, or sale in the U.S. </w:t>
            </w:r>
            <w:r w:rsidR="001E5B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>Covered equipment is banned from receiving new equipment authorizations, preventing new devices from entering the U.S. market</w:t>
            </w:r>
            <w:r w:rsidRPr="002E519C" w:rsidR="007367D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367D6" w:rsidRPr="002E519C" w:rsidP="002E519C" w14:paraId="2E5AE1FC" w14:textId="30BF7FC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 xml:space="preserve">The Cybersecurity and Infrastructure Security Agency encourages organizations to use the Covered List for risk management analysis in their regulatory compliance efforts. </w:t>
            </w:r>
          </w:p>
          <w:p w:rsidR="00D85CE0" w:rsidRPr="002E519C" w:rsidP="007367D6" w14:paraId="43F02076" w14:textId="32B3719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3DE9">
              <w:rPr>
                <w:rFonts w:ascii="Times New Roman" w:hAnsi="Times New Roman" w:cs="Times New Roman"/>
                <w:sz w:val="22"/>
                <w:szCs w:val="22"/>
              </w:rPr>
              <w:t xml:space="preserve">Following a similar National Security Determination in December, and a follow-up </w:t>
            </w:r>
            <w:r w:rsidRPr="00393DE9" w:rsidR="009C207E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393DE9">
              <w:rPr>
                <w:rFonts w:ascii="Times New Roman" w:hAnsi="Times New Roman" w:cs="Times New Roman"/>
                <w:sz w:val="22"/>
                <w:szCs w:val="22"/>
              </w:rPr>
              <w:t>etermination in January, the FCC recently added the following to the Covered List: “</w:t>
            </w:r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Uncrewed aircraft systems (UAS) and UAS critical components produced in a foreign country†† —except,  (a) </w:t>
            </w:r>
            <w:hyperlink r:id="rId10" w:history="1"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UAS</w:t>
              </w:r>
            </w:hyperlink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 and </w:t>
            </w:r>
            <w:hyperlink r:id="rId11" w:history="1"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UAS critical components</w:t>
              </w:r>
            </w:hyperlink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 included on the Defense Contract Management Agency’s (DCMA’s) Blue UAS Cleared List, until January 1, 2027,</w:t>
            </w:r>
            <w:r w:rsidRPr="00393DE9" w:rsidR="00C12EA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#</w:t>
            </w:r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  (b) UAS critical components that qualify as “domestic end products” under the Buy American Standard, </w:t>
            </w:r>
            <w:hyperlink r:id="rId12" w:history="1"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48 CFR 25.101(a)</w:t>
              </w:r>
            </w:hyperlink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, until January 1, 2027; and (c) </w:t>
            </w:r>
            <w:hyperlink r:id="rId6" w:anchor="conditional-approvals" w:history="1"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 xml:space="preserve">devices which have been granted a Conditional Approval by </w:t>
              </w:r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DoW</w:t>
              </w:r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 xml:space="preserve"> or DHS</w:t>
              </w:r>
            </w:hyperlink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—and all communications and video surveillance equipment and services listed in Section 1709(a)(1) of the </w:t>
            </w:r>
            <w:hyperlink r:id="rId13" w:history="1">
              <w:r w:rsidRPr="00393DE9" w:rsidR="00C12EA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FY25 National Defense Authorization Act</w:t>
              </w:r>
            </w:hyperlink>
            <w:r w:rsidRPr="00393DE9" w:rsidR="00C12EA4">
              <w:rPr>
                <w:rFonts w:ascii="Times New Roman" w:hAnsi="Times New Roman" w:cs="Times New Roman"/>
                <w:sz w:val="22"/>
                <w:szCs w:val="22"/>
              </w:rPr>
              <w:t> (Pub. L. 118-159)”</w:t>
            </w:r>
            <w:r w:rsidR="005B27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34E3A" w:rsidRPr="00393DE9" w:rsidP="002E519C" w14:paraId="3FE91C4D" w14:textId="77777777">
            <w:pPr>
              <w:pStyle w:val="ListParagraph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93DE9" w:rsidP="00393DE9" w14:paraId="0B064E1F" w14:textId="77777777">
            <w:pPr>
              <w:rPr>
                <w:b/>
                <w:bCs/>
                <w:sz w:val="22"/>
                <w:szCs w:val="22"/>
              </w:rPr>
            </w:pPr>
            <w:r w:rsidRPr="00393DE9">
              <w:rPr>
                <w:b/>
                <w:bCs/>
                <w:sz w:val="22"/>
                <w:szCs w:val="22"/>
              </w:rPr>
              <w:t xml:space="preserve">What does this mean? </w:t>
            </w:r>
          </w:p>
          <w:p w:rsidR="00734E3A" w:rsidRPr="002E519C" w:rsidP="002E519C" w14:paraId="222A8C93" w14:textId="77777777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DE9" w:rsidRPr="003F23C2" w:rsidP="00393DE9" w14:paraId="41453C55" w14:textId="385D6BD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E519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New</w:t>
            </w:r>
            <w:r w:rsidRP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E519C">
              <w:rPr>
                <w:rFonts w:ascii="Times New Roman" w:hAnsi="Times New Roman" w:cs="Times New Roman"/>
                <w:sz w:val="22"/>
                <w:szCs w:val="22"/>
              </w:rPr>
              <w:t>devices</w:t>
            </w:r>
            <w:r w:rsidRPr="003F23C2">
              <w:rPr>
                <w:rFonts w:ascii="Times New Roman" w:hAnsi="Times New Roman" w:cs="Times New Roman"/>
                <w:sz w:val="22"/>
                <w:szCs w:val="22"/>
              </w:rPr>
              <w:t xml:space="preserve"> on the Covered List, such as foreign-made </w:t>
            </w:r>
            <w:r w:rsidR="00BA2A53">
              <w:rPr>
                <w:rFonts w:ascii="Times New Roman" w:hAnsi="Times New Roman" w:cs="Times New Roman"/>
                <w:sz w:val="22"/>
                <w:szCs w:val="22"/>
              </w:rPr>
              <w:t>consumer-grade routers</w:t>
            </w:r>
            <w:r w:rsidRPr="003F23C2">
              <w:rPr>
                <w:rFonts w:ascii="Times New Roman" w:hAnsi="Times New Roman" w:cs="Times New Roman"/>
                <w:sz w:val="22"/>
                <w:szCs w:val="22"/>
              </w:rPr>
              <w:t xml:space="preserve">, are prohibited from receiving FCC authorization and are therefore prohibited from being imported for use or sale in the U.S. </w:t>
            </w:r>
            <w:r w:rsidR="001E5B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23C2">
              <w:rPr>
                <w:rFonts w:ascii="Times New Roman" w:hAnsi="Times New Roman" w:cs="Times New Roman"/>
                <w:sz w:val="22"/>
                <w:szCs w:val="22"/>
              </w:rPr>
              <w:t xml:space="preserve">This update to the Covered List does not prohibit the import, sale, or use of any existing device models the FCC previously authorized. </w:t>
            </w:r>
          </w:p>
          <w:p w:rsidR="00AD6E32" w:rsidP="00393DE9" w14:paraId="3B419F56" w14:textId="09CBC4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This action does not affect any previously-purchased</w:t>
            </w:r>
            <w:r w:rsidRPr="003F23C2" w:rsid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consumer-grade routers</w:t>
            </w:r>
            <w:r w:rsidRP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1E5B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2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23C2">
              <w:rPr>
                <w:rFonts w:ascii="Times New Roman" w:hAnsi="Times New Roman" w:cs="Times New Roman"/>
                <w:sz w:val="22"/>
                <w:szCs w:val="22"/>
              </w:rPr>
              <w:t xml:space="preserve">Consumers can continue to use any </w:t>
            </w:r>
            <w:r w:rsidR="00DF23AF">
              <w:rPr>
                <w:rFonts w:ascii="Times New Roman" w:hAnsi="Times New Roman" w:cs="Times New Roman"/>
                <w:sz w:val="22"/>
                <w:szCs w:val="22"/>
              </w:rPr>
              <w:t xml:space="preserve">router </w:t>
            </w:r>
            <w:r w:rsidRPr="003F23C2">
              <w:rPr>
                <w:rFonts w:ascii="Times New Roman" w:hAnsi="Times New Roman" w:cs="Times New Roman"/>
                <w:sz w:val="22"/>
                <w:szCs w:val="22"/>
              </w:rPr>
              <w:t xml:space="preserve">they have already lawfully purchased or acquired. </w:t>
            </w:r>
          </w:p>
          <w:p w:rsidR="00E13D81" w:rsidP="00393DE9" w14:paraId="2CAD5074" w14:textId="2D5AD25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13D81">
              <w:rPr>
                <w:rFonts w:ascii="Times New Roman" w:hAnsi="Times New Roman" w:cs="Times New Roman"/>
                <w:sz w:val="22"/>
                <w:szCs w:val="22"/>
              </w:rPr>
              <w:t>Producers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consumer-grade routers that receive </w:t>
            </w:r>
            <w:r w:rsidRPr="00E13D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Conditional Approval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0334">
              <w:rPr>
                <w:rFonts w:ascii="Times New Roman" w:hAnsi="Times New Roman" w:cs="Times New Roman"/>
                <w:sz w:val="22"/>
                <w:szCs w:val="22"/>
              </w:rPr>
              <w:t xml:space="preserve">from </w:t>
            </w:r>
            <w:r w:rsidR="00F00334">
              <w:rPr>
                <w:rFonts w:ascii="Times New Roman" w:hAnsi="Times New Roman" w:cs="Times New Roman"/>
                <w:sz w:val="22"/>
                <w:szCs w:val="22"/>
              </w:rPr>
              <w:t>DoW</w:t>
            </w:r>
            <w:r w:rsidR="00F00334">
              <w:rPr>
                <w:rFonts w:ascii="Times New Roman" w:hAnsi="Times New Roman" w:cs="Times New Roman"/>
                <w:sz w:val="22"/>
                <w:szCs w:val="22"/>
              </w:rPr>
              <w:t xml:space="preserve"> or DHS can continue to receive FCC equipment authorizations. </w:t>
            </w:r>
            <w:r w:rsidR="00201F2F">
              <w:rPr>
                <w:rFonts w:ascii="Times New Roman" w:hAnsi="Times New Roman" w:cs="Times New Roman"/>
                <w:sz w:val="22"/>
                <w:szCs w:val="22"/>
              </w:rPr>
              <w:t xml:space="preserve"> Interested applicants are encouraged to submit </w:t>
            </w:r>
            <w:hyperlink r:id="rId8" w:history="1">
              <w:r w:rsidRPr="00C93217" w:rsidR="00201F2F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applications</w:t>
              </w:r>
            </w:hyperlink>
            <w:r w:rsidR="00201F2F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hyperlink r:id="rId9" w:history="1">
              <w:r w:rsidRPr="00271A50" w:rsidR="00201F2F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conditional-approvals@fcc.gov</w:t>
              </w:r>
            </w:hyperlink>
            <w:r w:rsidR="00201F2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01F2F" w:rsidP="00201F2F" w14:paraId="13058EBC" w14:textId="77777777">
            <w:pPr>
              <w:rPr>
                <w:sz w:val="22"/>
                <w:szCs w:val="22"/>
              </w:rPr>
            </w:pPr>
          </w:p>
          <w:p w:rsidR="00201F2F" w:rsidRPr="00201F2F" w:rsidP="00201F2F" w14:paraId="3B0E755E" w14:textId="6B7C2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 more information, please see our </w:t>
            </w:r>
            <w:hyperlink r:id="rId14" w:history="1">
              <w:r w:rsidRPr="00A673C2">
                <w:rPr>
                  <w:rStyle w:val="Hyperlink"/>
                  <w:b/>
                  <w:bCs/>
                  <w:sz w:val="22"/>
                  <w:szCs w:val="22"/>
                </w:rPr>
                <w:t>FAQ page</w:t>
              </w:r>
            </w:hyperlink>
            <w:r>
              <w:rPr>
                <w:b/>
                <w:bCs/>
                <w:sz w:val="22"/>
                <w:szCs w:val="22"/>
              </w:rPr>
              <w:t>.</w:t>
            </w:r>
          </w:p>
          <w:p w:rsidR="001E04E4" w:rsidRPr="00393DE9" w:rsidP="00B11A84" w14:paraId="40A5DFCC" w14:textId="77777777">
            <w:pPr>
              <w:rPr>
                <w:color w:val="000000" w:themeColor="text1"/>
                <w:sz w:val="22"/>
                <w:szCs w:val="22"/>
              </w:rPr>
            </w:pPr>
          </w:p>
          <w:p w:rsidR="00B11A84" w:rsidRPr="00393DE9" w:rsidP="00B11A84" w14:paraId="04767EDF" w14:textId="77777777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393DE9">
              <w:rPr>
                <w:sz w:val="22"/>
                <w:szCs w:val="22"/>
                <w:lang w:val="pt-BR"/>
              </w:rPr>
              <w:t>###</w:t>
            </w:r>
          </w:p>
          <w:p w:rsidR="00B11A84" w:rsidRPr="00393DE9" w:rsidP="00B11A84" w14:paraId="50EDD966" w14:textId="77777777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393DE9">
              <w:rPr>
                <w:sz w:val="22"/>
                <w:szCs w:val="22"/>
                <w:lang w:val="pt-BR"/>
              </w:rPr>
              <w:br/>
            </w:r>
            <w:r w:rsidRPr="00393DE9">
              <w:rPr>
                <w:b/>
                <w:bCs/>
                <w:sz w:val="22"/>
                <w:szCs w:val="22"/>
                <w:lang w:val="pt-BR"/>
              </w:rPr>
              <w:t>Media Contact: MediaRelations@fcc.gov / (202) 418-0500</w:t>
            </w:r>
          </w:p>
          <w:p w:rsidR="00B11A84" w:rsidRPr="00393DE9" w:rsidP="00B11A84" w14:paraId="4FB9F439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393DE9">
              <w:rPr>
                <w:b/>
                <w:bCs/>
                <w:sz w:val="22"/>
                <w:szCs w:val="22"/>
              </w:rPr>
              <w:t xml:space="preserve">@FCC / </w:t>
            </w:r>
            <w:hyperlink r:id="rId15" w:history="1">
              <w:r w:rsidRPr="00393DE9">
                <w:rPr>
                  <w:rStyle w:val="Hyperlink"/>
                  <w:b/>
                  <w:bCs/>
                  <w:sz w:val="22"/>
                  <w:szCs w:val="22"/>
                </w:rPr>
                <w:t>www.fcc.gov</w:t>
              </w:r>
            </w:hyperlink>
          </w:p>
          <w:p w:rsidR="00B11A84" w:rsidRPr="00AB5CD5" w:rsidP="00AB7DF5" w14:paraId="2BDB0434" w14:textId="77777777">
            <w:pPr>
              <w:ind w:right="72"/>
              <w:jc w:val="center"/>
              <w:rPr>
                <w:b/>
                <w:bCs/>
                <w:sz w:val="18"/>
                <w:szCs w:val="18"/>
              </w:rPr>
            </w:pPr>
          </w:p>
          <w:p w:rsidR="00F60AFC" w:rsidRPr="00AB5CD5" w:rsidP="00AB5CD5" w14:paraId="02A990ED" w14:textId="0C3CFC09">
            <w:pPr>
              <w:jc w:val="center"/>
              <w:rPr>
                <w:sz w:val="18"/>
                <w:szCs w:val="18"/>
              </w:rPr>
            </w:pPr>
            <w:r w:rsidRPr="00AB5CD5">
              <w:rPr>
                <w:i/>
                <w:iCs/>
                <w:sz w:val="18"/>
                <w:szCs w:val="18"/>
              </w:rPr>
              <w:t>This is an unofficial announcement of Commission action.  Release of the full text of a Commission order constitutes official action.  See MCI v. FCC, 515 F.2d 385 (D.C. Cir. 1974).</w:t>
            </w:r>
          </w:p>
          <w:p w:rsidR="00FF105E" w:rsidRPr="00393DE9" w:rsidP="008A6807" w14:paraId="379B4635" w14:textId="16A7A70E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D24C3D" w:rsidRPr="00393DE9" w14:paraId="0D6F1E5C" w14:textId="77777777">
      <w:pPr>
        <w:rPr>
          <w:b/>
          <w:bCs/>
          <w:sz w:val="22"/>
          <w:szCs w:val="2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205C385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B12D30"/>
    <w:multiLevelType w:val="hybridMultilevel"/>
    <w:tmpl w:val="663EF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D2956"/>
    <w:multiLevelType w:val="hybridMultilevel"/>
    <w:tmpl w:val="D0DC1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>
    <w:nsid w:val="383D353D"/>
    <w:multiLevelType w:val="hybridMultilevel"/>
    <w:tmpl w:val="69C87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A8CAB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501199"/>
    <w:multiLevelType w:val="hybridMultilevel"/>
    <w:tmpl w:val="C2781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51B8D"/>
    <w:multiLevelType w:val="hybridMultilevel"/>
    <w:tmpl w:val="4552D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F1802"/>
    <w:multiLevelType w:val="hybridMultilevel"/>
    <w:tmpl w:val="5C8CC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77E1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0F11355"/>
    <w:multiLevelType w:val="hybridMultilevel"/>
    <w:tmpl w:val="BB6A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068657">
    <w:abstractNumId w:val="3"/>
  </w:num>
  <w:num w:numId="2" w16cid:durableId="1196311438">
    <w:abstractNumId w:val="8"/>
  </w:num>
  <w:num w:numId="3" w16cid:durableId="2024552784">
    <w:abstractNumId w:val="2"/>
  </w:num>
  <w:num w:numId="4" w16cid:durableId="1010715946">
    <w:abstractNumId w:val="10"/>
  </w:num>
  <w:num w:numId="5" w16cid:durableId="1680160047">
    <w:abstractNumId w:val="0"/>
  </w:num>
  <w:num w:numId="6" w16cid:durableId="993022793">
    <w:abstractNumId w:val="9"/>
  </w:num>
  <w:num w:numId="7" w16cid:durableId="158934132">
    <w:abstractNumId w:val="1"/>
  </w:num>
  <w:num w:numId="8" w16cid:durableId="1142430797">
    <w:abstractNumId w:val="5"/>
  </w:num>
  <w:num w:numId="9" w16cid:durableId="2120756310">
    <w:abstractNumId w:val="7"/>
  </w:num>
  <w:num w:numId="10" w16cid:durableId="476922418">
    <w:abstractNumId w:val="6"/>
  </w:num>
  <w:num w:numId="11" w16cid:durableId="1551570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3E6B"/>
    <w:rsid w:val="00014F48"/>
    <w:rsid w:val="0002500C"/>
    <w:rsid w:val="000309A3"/>
    <w:rsid w:val="000311FC"/>
    <w:rsid w:val="00040127"/>
    <w:rsid w:val="00043194"/>
    <w:rsid w:val="00045846"/>
    <w:rsid w:val="00046988"/>
    <w:rsid w:val="00057DC4"/>
    <w:rsid w:val="00065705"/>
    <w:rsid w:val="00065E2D"/>
    <w:rsid w:val="0006643B"/>
    <w:rsid w:val="00081232"/>
    <w:rsid w:val="00091E65"/>
    <w:rsid w:val="00096D4A"/>
    <w:rsid w:val="000A2058"/>
    <w:rsid w:val="000A3783"/>
    <w:rsid w:val="000A38EA"/>
    <w:rsid w:val="000B478F"/>
    <w:rsid w:val="000C1E47"/>
    <w:rsid w:val="000C26F3"/>
    <w:rsid w:val="000C3034"/>
    <w:rsid w:val="000D1D0C"/>
    <w:rsid w:val="000D4846"/>
    <w:rsid w:val="000D5585"/>
    <w:rsid w:val="000E049E"/>
    <w:rsid w:val="000E069F"/>
    <w:rsid w:val="000E0B1A"/>
    <w:rsid w:val="000E0C3F"/>
    <w:rsid w:val="00104B0D"/>
    <w:rsid w:val="0010799B"/>
    <w:rsid w:val="00117DB2"/>
    <w:rsid w:val="00123ED2"/>
    <w:rsid w:val="00125BE0"/>
    <w:rsid w:val="00134A4A"/>
    <w:rsid w:val="00134BC7"/>
    <w:rsid w:val="00142C13"/>
    <w:rsid w:val="0014344A"/>
    <w:rsid w:val="001476AE"/>
    <w:rsid w:val="001500F9"/>
    <w:rsid w:val="00150380"/>
    <w:rsid w:val="00152776"/>
    <w:rsid w:val="00153222"/>
    <w:rsid w:val="001577D3"/>
    <w:rsid w:val="00170E66"/>
    <w:rsid w:val="001733A6"/>
    <w:rsid w:val="0018435D"/>
    <w:rsid w:val="001865A9"/>
    <w:rsid w:val="00187DB2"/>
    <w:rsid w:val="001971D8"/>
    <w:rsid w:val="001B030B"/>
    <w:rsid w:val="001B20BB"/>
    <w:rsid w:val="001B314E"/>
    <w:rsid w:val="001C4370"/>
    <w:rsid w:val="001C7284"/>
    <w:rsid w:val="001D2C87"/>
    <w:rsid w:val="001D3779"/>
    <w:rsid w:val="001E04E4"/>
    <w:rsid w:val="001E1F88"/>
    <w:rsid w:val="001E5A94"/>
    <w:rsid w:val="001E5B63"/>
    <w:rsid w:val="001F0469"/>
    <w:rsid w:val="001F209C"/>
    <w:rsid w:val="00201F2F"/>
    <w:rsid w:val="00202EF3"/>
    <w:rsid w:val="00203A98"/>
    <w:rsid w:val="00205693"/>
    <w:rsid w:val="00206EDD"/>
    <w:rsid w:val="0021247E"/>
    <w:rsid w:val="002146F6"/>
    <w:rsid w:val="00231C32"/>
    <w:rsid w:val="00240345"/>
    <w:rsid w:val="002421F0"/>
    <w:rsid w:val="00247274"/>
    <w:rsid w:val="0025132C"/>
    <w:rsid w:val="00256687"/>
    <w:rsid w:val="00266966"/>
    <w:rsid w:val="00270C45"/>
    <w:rsid w:val="00271A50"/>
    <w:rsid w:val="0028181A"/>
    <w:rsid w:val="00282685"/>
    <w:rsid w:val="00285C36"/>
    <w:rsid w:val="00286596"/>
    <w:rsid w:val="00294C0C"/>
    <w:rsid w:val="00295AF1"/>
    <w:rsid w:val="002A016A"/>
    <w:rsid w:val="002A0934"/>
    <w:rsid w:val="002A4E76"/>
    <w:rsid w:val="002B1013"/>
    <w:rsid w:val="002B73C3"/>
    <w:rsid w:val="002B7C2C"/>
    <w:rsid w:val="002C0B0D"/>
    <w:rsid w:val="002C4377"/>
    <w:rsid w:val="002D03E5"/>
    <w:rsid w:val="002D1E91"/>
    <w:rsid w:val="002D4180"/>
    <w:rsid w:val="002E165B"/>
    <w:rsid w:val="002E3F1D"/>
    <w:rsid w:val="002E519C"/>
    <w:rsid w:val="002F31D0"/>
    <w:rsid w:val="00300359"/>
    <w:rsid w:val="003050CC"/>
    <w:rsid w:val="0031131E"/>
    <w:rsid w:val="0031773E"/>
    <w:rsid w:val="003230CE"/>
    <w:rsid w:val="00330926"/>
    <w:rsid w:val="00333871"/>
    <w:rsid w:val="003427CE"/>
    <w:rsid w:val="00346D9C"/>
    <w:rsid w:val="00347716"/>
    <w:rsid w:val="003506E1"/>
    <w:rsid w:val="00353B95"/>
    <w:rsid w:val="003634D9"/>
    <w:rsid w:val="003727E3"/>
    <w:rsid w:val="00374AE5"/>
    <w:rsid w:val="0037558A"/>
    <w:rsid w:val="00385A93"/>
    <w:rsid w:val="003910F1"/>
    <w:rsid w:val="00393DE9"/>
    <w:rsid w:val="003B18CC"/>
    <w:rsid w:val="003B4268"/>
    <w:rsid w:val="003D5DCE"/>
    <w:rsid w:val="003D722B"/>
    <w:rsid w:val="003D7499"/>
    <w:rsid w:val="003E344F"/>
    <w:rsid w:val="003E42FC"/>
    <w:rsid w:val="003E4D1D"/>
    <w:rsid w:val="003E5991"/>
    <w:rsid w:val="003E6BCA"/>
    <w:rsid w:val="003F2135"/>
    <w:rsid w:val="003F23C2"/>
    <w:rsid w:val="003F344A"/>
    <w:rsid w:val="003F591F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73E9C"/>
    <w:rsid w:val="00474016"/>
    <w:rsid w:val="004745B2"/>
    <w:rsid w:val="00475596"/>
    <w:rsid w:val="00480099"/>
    <w:rsid w:val="004941A2"/>
    <w:rsid w:val="00497858"/>
    <w:rsid w:val="004A3384"/>
    <w:rsid w:val="004A729A"/>
    <w:rsid w:val="004B2DB5"/>
    <w:rsid w:val="004B2FB3"/>
    <w:rsid w:val="004B4FEA"/>
    <w:rsid w:val="004B7C31"/>
    <w:rsid w:val="004C0ADA"/>
    <w:rsid w:val="004C3057"/>
    <w:rsid w:val="004C433E"/>
    <w:rsid w:val="004C4512"/>
    <w:rsid w:val="004C4F36"/>
    <w:rsid w:val="004D2A72"/>
    <w:rsid w:val="004D3D85"/>
    <w:rsid w:val="004E2BD8"/>
    <w:rsid w:val="004E54D9"/>
    <w:rsid w:val="004F0D5A"/>
    <w:rsid w:val="004F0F1F"/>
    <w:rsid w:val="004F72D5"/>
    <w:rsid w:val="004F77D5"/>
    <w:rsid w:val="00500E42"/>
    <w:rsid w:val="005022AA"/>
    <w:rsid w:val="00504845"/>
    <w:rsid w:val="0050757F"/>
    <w:rsid w:val="0051333C"/>
    <w:rsid w:val="005168A5"/>
    <w:rsid w:val="00516AD2"/>
    <w:rsid w:val="005337D4"/>
    <w:rsid w:val="00534203"/>
    <w:rsid w:val="00545DAE"/>
    <w:rsid w:val="00546747"/>
    <w:rsid w:val="00570040"/>
    <w:rsid w:val="00571B83"/>
    <w:rsid w:val="0057452A"/>
    <w:rsid w:val="00574BE5"/>
    <w:rsid w:val="00575A00"/>
    <w:rsid w:val="00586417"/>
    <w:rsid w:val="0058673C"/>
    <w:rsid w:val="00594504"/>
    <w:rsid w:val="005A14C1"/>
    <w:rsid w:val="005A7972"/>
    <w:rsid w:val="005B0B66"/>
    <w:rsid w:val="005B17E7"/>
    <w:rsid w:val="005B2643"/>
    <w:rsid w:val="005B27F2"/>
    <w:rsid w:val="005D17FD"/>
    <w:rsid w:val="005D5CC9"/>
    <w:rsid w:val="005D7420"/>
    <w:rsid w:val="005E2CB0"/>
    <w:rsid w:val="005F0D55"/>
    <w:rsid w:val="005F183E"/>
    <w:rsid w:val="005F5A09"/>
    <w:rsid w:val="00600DDA"/>
    <w:rsid w:val="006033F5"/>
    <w:rsid w:val="00603A30"/>
    <w:rsid w:val="00604211"/>
    <w:rsid w:val="0061224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813"/>
    <w:rsid w:val="00674C86"/>
    <w:rsid w:val="006760EC"/>
    <w:rsid w:val="0068015E"/>
    <w:rsid w:val="006861AB"/>
    <w:rsid w:val="00686B89"/>
    <w:rsid w:val="0069420F"/>
    <w:rsid w:val="006A0A1E"/>
    <w:rsid w:val="006A2FC5"/>
    <w:rsid w:val="006A7D75"/>
    <w:rsid w:val="006B0A70"/>
    <w:rsid w:val="006B5A10"/>
    <w:rsid w:val="006B606A"/>
    <w:rsid w:val="006C33AF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178C6"/>
    <w:rsid w:val="0072478B"/>
    <w:rsid w:val="0073414D"/>
    <w:rsid w:val="00734E3A"/>
    <w:rsid w:val="007367D6"/>
    <w:rsid w:val="007417A0"/>
    <w:rsid w:val="007475A1"/>
    <w:rsid w:val="00750A11"/>
    <w:rsid w:val="0075235E"/>
    <w:rsid w:val="007528A5"/>
    <w:rsid w:val="00756B68"/>
    <w:rsid w:val="007732CC"/>
    <w:rsid w:val="00774079"/>
    <w:rsid w:val="0077752B"/>
    <w:rsid w:val="007809E7"/>
    <w:rsid w:val="00783A59"/>
    <w:rsid w:val="0078718D"/>
    <w:rsid w:val="007926F8"/>
    <w:rsid w:val="00793412"/>
    <w:rsid w:val="00793D6F"/>
    <w:rsid w:val="00794090"/>
    <w:rsid w:val="007973F8"/>
    <w:rsid w:val="0079772F"/>
    <w:rsid w:val="007A44F8"/>
    <w:rsid w:val="007B41C7"/>
    <w:rsid w:val="007D21BF"/>
    <w:rsid w:val="007F1F21"/>
    <w:rsid w:val="007F3C12"/>
    <w:rsid w:val="007F418E"/>
    <w:rsid w:val="007F5205"/>
    <w:rsid w:val="0080486B"/>
    <w:rsid w:val="00814505"/>
    <w:rsid w:val="00816FFE"/>
    <w:rsid w:val="00817F58"/>
    <w:rsid w:val="008210A1"/>
    <w:rsid w:val="008215E7"/>
    <w:rsid w:val="0082781B"/>
    <w:rsid w:val="00830FC6"/>
    <w:rsid w:val="0083591E"/>
    <w:rsid w:val="00844140"/>
    <w:rsid w:val="00850E26"/>
    <w:rsid w:val="0085135A"/>
    <w:rsid w:val="00852BF6"/>
    <w:rsid w:val="00865EAA"/>
    <w:rsid w:val="00866F06"/>
    <w:rsid w:val="008728F5"/>
    <w:rsid w:val="008746AF"/>
    <w:rsid w:val="008824C2"/>
    <w:rsid w:val="008960E4"/>
    <w:rsid w:val="008A3940"/>
    <w:rsid w:val="008A6807"/>
    <w:rsid w:val="008B13C9"/>
    <w:rsid w:val="008B74C3"/>
    <w:rsid w:val="008C18C7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78D8"/>
    <w:rsid w:val="00923B3E"/>
    <w:rsid w:val="0093103D"/>
    <w:rsid w:val="0093373C"/>
    <w:rsid w:val="00933977"/>
    <w:rsid w:val="009402B0"/>
    <w:rsid w:val="009542AD"/>
    <w:rsid w:val="00954C62"/>
    <w:rsid w:val="00961620"/>
    <w:rsid w:val="00962195"/>
    <w:rsid w:val="009633FE"/>
    <w:rsid w:val="00966815"/>
    <w:rsid w:val="009734B6"/>
    <w:rsid w:val="0098096F"/>
    <w:rsid w:val="0098437A"/>
    <w:rsid w:val="00986C92"/>
    <w:rsid w:val="00993C47"/>
    <w:rsid w:val="009972BC"/>
    <w:rsid w:val="009B07DE"/>
    <w:rsid w:val="009B4B16"/>
    <w:rsid w:val="009B7F2E"/>
    <w:rsid w:val="009C207E"/>
    <w:rsid w:val="009C38C1"/>
    <w:rsid w:val="009C499F"/>
    <w:rsid w:val="009D4230"/>
    <w:rsid w:val="009E4163"/>
    <w:rsid w:val="009E54A1"/>
    <w:rsid w:val="009E5F77"/>
    <w:rsid w:val="009E6293"/>
    <w:rsid w:val="009F0DAE"/>
    <w:rsid w:val="009F2232"/>
    <w:rsid w:val="009F3898"/>
    <w:rsid w:val="009F4E25"/>
    <w:rsid w:val="009F5B1F"/>
    <w:rsid w:val="00A14E92"/>
    <w:rsid w:val="00A204F8"/>
    <w:rsid w:val="00A225A9"/>
    <w:rsid w:val="00A3308E"/>
    <w:rsid w:val="00A35757"/>
    <w:rsid w:val="00A35DFD"/>
    <w:rsid w:val="00A441E5"/>
    <w:rsid w:val="00A50722"/>
    <w:rsid w:val="00A6714A"/>
    <w:rsid w:val="00A673C2"/>
    <w:rsid w:val="00A702DF"/>
    <w:rsid w:val="00A732D8"/>
    <w:rsid w:val="00A775A3"/>
    <w:rsid w:val="00A81700"/>
    <w:rsid w:val="00A818C6"/>
    <w:rsid w:val="00A81B5B"/>
    <w:rsid w:val="00A82FAD"/>
    <w:rsid w:val="00A83A76"/>
    <w:rsid w:val="00A91229"/>
    <w:rsid w:val="00A9673A"/>
    <w:rsid w:val="00A96EF2"/>
    <w:rsid w:val="00A973B8"/>
    <w:rsid w:val="00AA2DA5"/>
    <w:rsid w:val="00AA5C35"/>
    <w:rsid w:val="00AA5ED9"/>
    <w:rsid w:val="00AB2278"/>
    <w:rsid w:val="00AB5CD5"/>
    <w:rsid w:val="00AB7DF5"/>
    <w:rsid w:val="00AC0A38"/>
    <w:rsid w:val="00AC4274"/>
    <w:rsid w:val="00AC4E0E"/>
    <w:rsid w:val="00AC517B"/>
    <w:rsid w:val="00AD0D19"/>
    <w:rsid w:val="00AD0E50"/>
    <w:rsid w:val="00AD4184"/>
    <w:rsid w:val="00AD452E"/>
    <w:rsid w:val="00AD518F"/>
    <w:rsid w:val="00AD6E32"/>
    <w:rsid w:val="00AF051B"/>
    <w:rsid w:val="00B037A2"/>
    <w:rsid w:val="00B05870"/>
    <w:rsid w:val="00B07603"/>
    <w:rsid w:val="00B11A84"/>
    <w:rsid w:val="00B24317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66311"/>
    <w:rsid w:val="00B70283"/>
    <w:rsid w:val="00B71F1C"/>
    <w:rsid w:val="00B72307"/>
    <w:rsid w:val="00B727C9"/>
    <w:rsid w:val="00B72E04"/>
    <w:rsid w:val="00B735C8"/>
    <w:rsid w:val="00B76A63"/>
    <w:rsid w:val="00B76DD8"/>
    <w:rsid w:val="00B818BB"/>
    <w:rsid w:val="00BA2A53"/>
    <w:rsid w:val="00BA6350"/>
    <w:rsid w:val="00BA7859"/>
    <w:rsid w:val="00BB4E29"/>
    <w:rsid w:val="00BB74C9"/>
    <w:rsid w:val="00BC1B3F"/>
    <w:rsid w:val="00BC3AB6"/>
    <w:rsid w:val="00BD19E8"/>
    <w:rsid w:val="00BD3CC3"/>
    <w:rsid w:val="00BD4273"/>
    <w:rsid w:val="00BE4BFF"/>
    <w:rsid w:val="00BF25F0"/>
    <w:rsid w:val="00BF2BDA"/>
    <w:rsid w:val="00BF4A12"/>
    <w:rsid w:val="00C0698F"/>
    <w:rsid w:val="00C12EA4"/>
    <w:rsid w:val="00C21842"/>
    <w:rsid w:val="00C31ED8"/>
    <w:rsid w:val="00C321B1"/>
    <w:rsid w:val="00C432E4"/>
    <w:rsid w:val="00C45ADA"/>
    <w:rsid w:val="00C513DA"/>
    <w:rsid w:val="00C64C39"/>
    <w:rsid w:val="00C65A3C"/>
    <w:rsid w:val="00C70C26"/>
    <w:rsid w:val="00C72001"/>
    <w:rsid w:val="00C7593B"/>
    <w:rsid w:val="00C7650F"/>
    <w:rsid w:val="00C772B7"/>
    <w:rsid w:val="00C80347"/>
    <w:rsid w:val="00C819F3"/>
    <w:rsid w:val="00C82F5B"/>
    <w:rsid w:val="00C85B09"/>
    <w:rsid w:val="00C870AC"/>
    <w:rsid w:val="00C93217"/>
    <w:rsid w:val="00CA2788"/>
    <w:rsid w:val="00CB24D2"/>
    <w:rsid w:val="00CB7C1A"/>
    <w:rsid w:val="00CC0538"/>
    <w:rsid w:val="00CC5536"/>
    <w:rsid w:val="00CC5E08"/>
    <w:rsid w:val="00CC72B0"/>
    <w:rsid w:val="00CE09D6"/>
    <w:rsid w:val="00CE14FD"/>
    <w:rsid w:val="00CF0916"/>
    <w:rsid w:val="00CF1AB1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269FC"/>
    <w:rsid w:val="00D46CB1"/>
    <w:rsid w:val="00D723F0"/>
    <w:rsid w:val="00D80B18"/>
    <w:rsid w:val="00D8133F"/>
    <w:rsid w:val="00D85CE0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F23AF"/>
    <w:rsid w:val="00E020F1"/>
    <w:rsid w:val="00E13D81"/>
    <w:rsid w:val="00E17C8C"/>
    <w:rsid w:val="00E349AA"/>
    <w:rsid w:val="00E41390"/>
    <w:rsid w:val="00E41CA0"/>
    <w:rsid w:val="00E4366B"/>
    <w:rsid w:val="00E50A4A"/>
    <w:rsid w:val="00E606DE"/>
    <w:rsid w:val="00E644FE"/>
    <w:rsid w:val="00E70D4A"/>
    <w:rsid w:val="00E72733"/>
    <w:rsid w:val="00E742FA"/>
    <w:rsid w:val="00E75732"/>
    <w:rsid w:val="00E76816"/>
    <w:rsid w:val="00E80608"/>
    <w:rsid w:val="00E83DBF"/>
    <w:rsid w:val="00E87C13"/>
    <w:rsid w:val="00E91E04"/>
    <w:rsid w:val="00E94CD9"/>
    <w:rsid w:val="00E95B9A"/>
    <w:rsid w:val="00EA1A76"/>
    <w:rsid w:val="00EA290B"/>
    <w:rsid w:val="00EB19D3"/>
    <w:rsid w:val="00EB2820"/>
    <w:rsid w:val="00EE0E90"/>
    <w:rsid w:val="00EF3BCA"/>
    <w:rsid w:val="00EF729B"/>
    <w:rsid w:val="00F00334"/>
    <w:rsid w:val="00F01B0D"/>
    <w:rsid w:val="00F1238F"/>
    <w:rsid w:val="00F16485"/>
    <w:rsid w:val="00F228ED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60AFC"/>
    <w:rsid w:val="00F61155"/>
    <w:rsid w:val="00F708E3"/>
    <w:rsid w:val="00F72D90"/>
    <w:rsid w:val="00F76561"/>
    <w:rsid w:val="00F773A0"/>
    <w:rsid w:val="00F84736"/>
    <w:rsid w:val="00F93569"/>
    <w:rsid w:val="00FC6C29"/>
    <w:rsid w:val="00FD58E0"/>
    <w:rsid w:val="00FD71AE"/>
    <w:rsid w:val="00FE0198"/>
    <w:rsid w:val="00FE3A7C"/>
    <w:rsid w:val="00FF105E"/>
    <w:rsid w:val="00FF1C0B"/>
    <w:rsid w:val="00FF232D"/>
    <w:rsid w:val="00FF31F4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C593AE34-C739-45FC-8F09-A5324F6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1A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4163"/>
    <w:rPr>
      <w:b/>
      <w:bCs/>
    </w:rPr>
  </w:style>
  <w:style w:type="paragraph" w:customStyle="1" w:styleId="Default">
    <w:name w:val="Default"/>
    <w:rsid w:val="008210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luelist.appsplatformportals.us/Cleared-List/" TargetMode="External" /><Relationship Id="rId11" Type="http://schemas.openxmlformats.org/officeDocument/2006/relationships/hyperlink" Target="https://bluelist.appsplatformportals.us/Framework/" TargetMode="External" /><Relationship Id="rId12" Type="http://schemas.openxmlformats.org/officeDocument/2006/relationships/hyperlink" Target="https://www.ecfr.gov/current/title-48/chapter-1/subchapter-D/part-25/subpart-25.1/section-25.101" TargetMode="External" /><Relationship Id="rId13" Type="http://schemas.openxmlformats.org/officeDocument/2006/relationships/hyperlink" Target="https://www.congress.gov/118/plaws/publ159/PLAW-118publ159.pdf" TargetMode="External" /><Relationship Id="rId14" Type="http://schemas.openxmlformats.org/officeDocument/2006/relationships/hyperlink" Target="https://www.fcc.gov/faqs-recent-updates-fcc-covered-list-regarding-routers-produced-foreign-countries" TargetMode="External" /><Relationship Id="rId15" Type="http://schemas.openxmlformats.org/officeDocument/2006/relationships/hyperlink" Target="http://www.fcc.gov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document/fcc-adds-routers-produced-foreign-countries-covered-list" TargetMode="External" /><Relationship Id="rId6" Type="http://schemas.openxmlformats.org/officeDocument/2006/relationships/hyperlink" Target="https://www.fcc.gov/supplychain/coveredlist" TargetMode="External" /><Relationship Id="rId7" Type="http://schemas.openxmlformats.org/officeDocument/2006/relationships/hyperlink" Target="https://www.fcc.gov/sites/default/files/NSD-Routers0326.pdf" TargetMode="External" /><Relationship Id="rId8" Type="http://schemas.openxmlformats.org/officeDocument/2006/relationships/hyperlink" Target="https://www.fcc.gov/sites/default/files/Guidance-for-Conditional-Approvals-Submissions0326.pdf" TargetMode="External" /><Relationship Id="rId9" Type="http://schemas.openxmlformats.org/officeDocument/2006/relationships/hyperlink" Target="mailto:conditional-approvals@fc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