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204CE3" w14:paraId="5FCF4CB7" w14:textId="5272A4DA">
      <w:pPr>
        <w:rPr>
          <w:sz w:val="22"/>
          <w:szCs w:val="22"/>
        </w:rPr>
      </w:pPr>
    </w:p>
    <w:p w:rsidR="001C5FF8" w:rsidP="001C5FF8" w14:paraId="0C32B5CC" w14:textId="55AE66E3">
      <w:pPr>
        <w:rPr>
          <w:b/>
          <w:sz w:val="22"/>
          <w:szCs w:val="22"/>
        </w:rPr>
      </w:pPr>
      <w:r>
        <w:rPr>
          <w:b/>
          <w:sz w:val="22"/>
          <w:szCs w:val="22"/>
        </w:rPr>
        <w:t>BY CERTIFIED MAIL</w:t>
      </w:r>
      <w:r w:rsidR="00655415">
        <w:rPr>
          <w:b/>
          <w:sz w:val="22"/>
          <w:szCs w:val="22"/>
        </w:rPr>
        <w:t>, RETURN RECEIPT REQUESTED</w:t>
      </w:r>
      <w:r w:rsidR="007B5E86">
        <w:rPr>
          <w:b/>
          <w:sz w:val="22"/>
          <w:szCs w:val="22"/>
        </w:rPr>
        <w:t>,</w:t>
      </w:r>
    </w:p>
    <w:p w:rsidR="007B5E86" w:rsidRPr="009014F9" w:rsidP="001C5FF8" w14:paraId="13EFDFC0" w14:textId="3581AA9D">
      <w:pPr>
        <w:rPr>
          <w:b/>
          <w:sz w:val="22"/>
          <w:szCs w:val="22"/>
        </w:rPr>
      </w:pPr>
      <w:r>
        <w:rPr>
          <w:b/>
          <w:sz w:val="22"/>
          <w:szCs w:val="22"/>
        </w:rPr>
        <w:t>F</w:t>
      </w:r>
      <w:r>
        <w:rPr>
          <w:b/>
          <w:sz w:val="22"/>
          <w:szCs w:val="22"/>
        </w:rPr>
        <w:t>IRST CLASS MAIL</w:t>
      </w:r>
      <w:r w:rsidR="003F0889">
        <w:rPr>
          <w:b/>
          <w:sz w:val="22"/>
          <w:szCs w:val="22"/>
        </w:rPr>
        <w:t xml:space="preserve"> </w:t>
      </w:r>
      <w:r>
        <w:rPr>
          <w:b/>
          <w:sz w:val="22"/>
          <w:szCs w:val="22"/>
        </w:rPr>
        <w:t>AND</w:t>
      </w:r>
      <w:r>
        <w:rPr>
          <w:b/>
          <w:sz w:val="22"/>
          <w:szCs w:val="22"/>
        </w:rPr>
        <w:t xml:space="preserve"> UPS</w:t>
      </w:r>
    </w:p>
    <w:p w:rsidR="00655415" w:rsidP="001C5FF8" w14:paraId="4295B385" w14:textId="77777777">
      <w:pPr>
        <w:rPr>
          <w:sz w:val="22"/>
          <w:szCs w:val="22"/>
        </w:rPr>
      </w:pPr>
    </w:p>
    <w:p w:rsidR="001C5FF8" w:rsidP="001C5FF8" w14:paraId="1074FF78" w14:textId="75185C31">
      <w:pPr>
        <w:rPr>
          <w:sz w:val="22"/>
          <w:szCs w:val="22"/>
        </w:rPr>
      </w:pPr>
      <w:r>
        <w:rPr>
          <w:sz w:val="22"/>
          <w:szCs w:val="22"/>
        </w:rPr>
        <w:t>David O. Knudtson</w:t>
      </w:r>
    </w:p>
    <w:p w:rsidR="00C77705" w:rsidP="001C5FF8" w14:paraId="15819455" w14:textId="56FB8F0F">
      <w:pPr>
        <w:rPr>
          <w:sz w:val="22"/>
          <w:szCs w:val="22"/>
        </w:rPr>
      </w:pPr>
      <w:r>
        <w:rPr>
          <w:sz w:val="22"/>
          <w:szCs w:val="22"/>
        </w:rPr>
        <w:t xml:space="preserve">125 North </w:t>
      </w:r>
      <w:r>
        <w:rPr>
          <w:sz w:val="22"/>
          <w:szCs w:val="22"/>
        </w:rPr>
        <w:t>Balph</w:t>
      </w:r>
      <w:r>
        <w:rPr>
          <w:sz w:val="22"/>
          <w:szCs w:val="22"/>
        </w:rPr>
        <w:t xml:space="preserve"> Avenue</w:t>
      </w:r>
    </w:p>
    <w:p w:rsidR="001C5FF8" w:rsidP="001C5FF8" w14:paraId="132B13DE" w14:textId="47863A50">
      <w:pPr>
        <w:rPr>
          <w:sz w:val="22"/>
          <w:szCs w:val="22"/>
        </w:rPr>
      </w:pPr>
      <w:r>
        <w:rPr>
          <w:sz w:val="22"/>
          <w:szCs w:val="22"/>
        </w:rPr>
        <w:t>Pittsburgh, P</w:t>
      </w:r>
      <w:r w:rsidR="00530F57">
        <w:rPr>
          <w:sz w:val="22"/>
          <w:szCs w:val="22"/>
        </w:rPr>
        <w:t xml:space="preserve">A </w:t>
      </w:r>
      <w:r w:rsidR="00DE10E8">
        <w:rPr>
          <w:sz w:val="22"/>
          <w:szCs w:val="22"/>
        </w:rPr>
        <w:t>15202</w:t>
      </w:r>
    </w:p>
    <w:p w:rsidR="001C5FF8" w:rsidP="001C5FF8" w14:paraId="2DA93DEE" w14:textId="3141CBD7">
      <w:pPr>
        <w:rPr>
          <w:sz w:val="22"/>
          <w:szCs w:val="22"/>
        </w:rPr>
      </w:pPr>
    </w:p>
    <w:p w:rsidR="001C5FF8" w:rsidRPr="001C5FF8" w:rsidP="001C5FF8" w14:paraId="1B6D32F7" w14:textId="77777777">
      <w:pPr>
        <w:jc w:val="center"/>
        <w:rPr>
          <w:b/>
          <w:sz w:val="22"/>
          <w:szCs w:val="22"/>
        </w:rPr>
      </w:pPr>
      <w:r w:rsidRPr="001C5FF8">
        <w:rPr>
          <w:b/>
          <w:sz w:val="22"/>
          <w:szCs w:val="22"/>
        </w:rPr>
        <w:t>NOTICE OF UNLICENSED OPERATION AND</w:t>
      </w:r>
    </w:p>
    <w:p w:rsidR="001C5FF8" w:rsidP="001C5FF8" w14:paraId="4435C4E2" w14:textId="1D935B30">
      <w:pPr>
        <w:jc w:val="center"/>
        <w:rPr>
          <w:sz w:val="22"/>
          <w:szCs w:val="22"/>
        </w:rPr>
      </w:pPr>
      <w:r w:rsidRPr="001C5FF8">
        <w:rPr>
          <w:b/>
          <w:sz w:val="22"/>
          <w:szCs w:val="22"/>
        </w:rPr>
        <w:t>NOTIFICATION OF HARMFUL INTERFERENCE</w:t>
      </w:r>
    </w:p>
    <w:p w:rsidR="001C5FF8" w:rsidP="001C5FF8" w14:paraId="391DFFFA" w14:textId="4EF1F4DC">
      <w:pPr>
        <w:jc w:val="right"/>
        <w:rPr>
          <w:sz w:val="22"/>
          <w:szCs w:val="22"/>
        </w:rPr>
      </w:pPr>
    </w:p>
    <w:p w:rsidR="001C5FF8" w:rsidP="001C5FF8" w14:paraId="334B6A00" w14:textId="3EE46C0F">
      <w:pPr>
        <w:jc w:val="right"/>
        <w:rPr>
          <w:sz w:val="22"/>
          <w:szCs w:val="22"/>
        </w:rPr>
      </w:pPr>
      <w:r>
        <w:rPr>
          <w:sz w:val="22"/>
          <w:szCs w:val="22"/>
        </w:rPr>
        <w:t xml:space="preserve">Case Number: </w:t>
      </w:r>
      <w:r w:rsidRPr="00F74AC2" w:rsidR="00F74AC2">
        <w:rPr>
          <w:sz w:val="22"/>
          <w:szCs w:val="22"/>
        </w:rPr>
        <w:t>EB-FIELDNER-25-00039052</w:t>
      </w:r>
    </w:p>
    <w:p w:rsidR="001C5FF8" w:rsidP="001C5FF8" w14:paraId="094EEA12" w14:textId="337674AE">
      <w:pPr>
        <w:rPr>
          <w:sz w:val="22"/>
          <w:szCs w:val="22"/>
        </w:rPr>
      </w:pPr>
    </w:p>
    <w:p w:rsidR="001C5FF8" w:rsidP="001C5FF8" w14:paraId="6D1942FF" w14:textId="4505F1F9">
      <w:pPr>
        <w:spacing w:after="240"/>
        <w:rPr>
          <w:sz w:val="22"/>
          <w:szCs w:val="22"/>
        </w:rPr>
      </w:pPr>
      <w:r>
        <w:rPr>
          <w:sz w:val="22"/>
          <w:szCs w:val="22"/>
        </w:rPr>
        <w:t>T</w:t>
      </w:r>
      <w:r w:rsidRPr="001C5FF8">
        <w:rPr>
          <w:sz w:val="22"/>
          <w:szCs w:val="22"/>
        </w:rPr>
        <w:t xml:space="preserve">he </w:t>
      </w:r>
      <w:r w:rsidRPr="001C5FF8">
        <w:rPr>
          <w:sz w:val="22"/>
          <w:szCs w:val="22"/>
        </w:rPr>
        <w:t>Federal Communications Commission (FCC or Commission) received a complaint</w:t>
      </w:r>
      <w:r w:rsidR="00C77B9C">
        <w:rPr>
          <w:sz w:val="22"/>
          <w:szCs w:val="22"/>
        </w:rPr>
        <w:t xml:space="preserve"> from Allegheny County P</w:t>
      </w:r>
      <w:r w:rsidR="00841555">
        <w:rPr>
          <w:sz w:val="22"/>
          <w:szCs w:val="22"/>
        </w:rPr>
        <w:t>ennsylvania</w:t>
      </w:r>
      <w:r w:rsidR="00C77B9C">
        <w:rPr>
          <w:sz w:val="22"/>
          <w:szCs w:val="22"/>
        </w:rPr>
        <w:t xml:space="preserve"> Emergency Services</w:t>
      </w:r>
      <w:r w:rsidRPr="001C5FF8">
        <w:rPr>
          <w:sz w:val="22"/>
          <w:szCs w:val="22"/>
        </w:rPr>
        <w:t xml:space="preserve"> </w:t>
      </w:r>
      <w:r w:rsidR="00705134">
        <w:rPr>
          <w:sz w:val="22"/>
          <w:szCs w:val="22"/>
        </w:rPr>
        <w:t xml:space="preserve">(Allegheny County) </w:t>
      </w:r>
      <w:r w:rsidRPr="001C5FF8">
        <w:rPr>
          <w:sz w:val="22"/>
          <w:szCs w:val="22"/>
        </w:rPr>
        <w:t xml:space="preserve">concerning interference </w:t>
      </w:r>
      <w:r w:rsidRPr="001C5FF8">
        <w:rPr>
          <w:sz w:val="22"/>
          <w:szCs w:val="22"/>
        </w:rPr>
        <w:t>to</w:t>
      </w:r>
      <w:r w:rsidRPr="001C5FF8">
        <w:rPr>
          <w:sz w:val="22"/>
          <w:szCs w:val="22"/>
        </w:rPr>
        <w:t xml:space="preserve"> </w:t>
      </w:r>
      <w:r w:rsidR="001D3E5E">
        <w:rPr>
          <w:sz w:val="22"/>
          <w:szCs w:val="22"/>
        </w:rPr>
        <w:t>its</w:t>
      </w:r>
      <w:r w:rsidR="005D2A99">
        <w:rPr>
          <w:sz w:val="22"/>
          <w:szCs w:val="22"/>
        </w:rPr>
        <w:t xml:space="preserve"> 911 </w:t>
      </w:r>
      <w:r w:rsidR="00A54BFB">
        <w:rPr>
          <w:sz w:val="22"/>
          <w:szCs w:val="22"/>
        </w:rPr>
        <w:t xml:space="preserve">emergency communications </w:t>
      </w:r>
      <w:r w:rsidR="000F16D0">
        <w:rPr>
          <w:sz w:val="22"/>
          <w:szCs w:val="22"/>
        </w:rPr>
        <w:t>channel</w:t>
      </w:r>
      <w:r w:rsidR="005D2A99">
        <w:rPr>
          <w:sz w:val="22"/>
          <w:szCs w:val="22"/>
        </w:rPr>
        <w:t xml:space="preserve"> </w:t>
      </w:r>
      <w:r w:rsidR="00750C5F">
        <w:rPr>
          <w:sz w:val="22"/>
          <w:szCs w:val="22"/>
        </w:rPr>
        <w:t xml:space="preserve">operating </w:t>
      </w:r>
      <w:r w:rsidRPr="001C5FF8">
        <w:rPr>
          <w:sz w:val="22"/>
          <w:szCs w:val="22"/>
        </w:rPr>
        <w:t xml:space="preserve">on </w:t>
      </w:r>
      <w:r w:rsidR="00C55DD9">
        <w:rPr>
          <w:sz w:val="22"/>
          <w:szCs w:val="22"/>
        </w:rPr>
        <w:t>470.4375 MHz</w:t>
      </w:r>
      <w:r w:rsidRPr="001C5FF8">
        <w:rPr>
          <w:sz w:val="22"/>
          <w:szCs w:val="22"/>
        </w:rPr>
        <w:t xml:space="preserve"> in </w:t>
      </w:r>
      <w:r w:rsidR="00C55DD9">
        <w:rPr>
          <w:sz w:val="22"/>
          <w:szCs w:val="22"/>
        </w:rPr>
        <w:t>Pittsburgh, Pennsylvania</w:t>
      </w:r>
      <w:r w:rsidRPr="001C5FF8">
        <w:rPr>
          <w:sz w:val="22"/>
          <w:szCs w:val="22"/>
        </w:rPr>
        <w:t xml:space="preserve">.  On </w:t>
      </w:r>
      <w:r w:rsidR="00C55DD9">
        <w:rPr>
          <w:sz w:val="22"/>
          <w:szCs w:val="22"/>
        </w:rPr>
        <w:t>July 30, 2025</w:t>
      </w:r>
      <w:r w:rsidRPr="001C5FF8">
        <w:rPr>
          <w:sz w:val="22"/>
          <w:szCs w:val="22"/>
        </w:rPr>
        <w:t xml:space="preserve">, Agents from the </w:t>
      </w:r>
      <w:r w:rsidR="00C55DD9">
        <w:rPr>
          <w:sz w:val="22"/>
          <w:szCs w:val="22"/>
        </w:rPr>
        <w:t>Columbia Office</w:t>
      </w:r>
      <w:r w:rsidRPr="001C5FF8">
        <w:rPr>
          <w:sz w:val="22"/>
          <w:szCs w:val="22"/>
        </w:rPr>
        <w:t xml:space="preserve"> of the FCC’s Enforcement Bureau</w:t>
      </w:r>
      <w:r w:rsidR="00042F96">
        <w:rPr>
          <w:sz w:val="22"/>
          <w:szCs w:val="22"/>
        </w:rPr>
        <w:t xml:space="preserve"> (Agents)</w:t>
      </w:r>
      <w:r w:rsidRPr="001C5FF8">
        <w:rPr>
          <w:sz w:val="22"/>
          <w:szCs w:val="22"/>
        </w:rPr>
        <w:t xml:space="preserve"> </w:t>
      </w:r>
      <w:r w:rsidRPr="001C5FF8">
        <w:rPr>
          <w:sz w:val="22"/>
          <w:szCs w:val="22"/>
        </w:rPr>
        <w:t>conducted an investigation</w:t>
      </w:r>
      <w:r w:rsidRPr="001C5FF8">
        <w:rPr>
          <w:sz w:val="22"/>
          <w:szCs w:val="22"/>
        </w:rPr>
        <w:t xml:space="preserve"> and determined</w:t>
      </w:r>
      <w:r w:rsidR="0087331F">
        <w:rPr>
          <w:sz w:val="22"/>
          <w:szCs w:val="22"/>
        </w:rPr>
        <w:t>,</w:t>
      </w:r>
      <w:r w:rsidR="00F74EC4">
        <w:rPr>
          <w:sz w:val="22"/>
          <w:szCs w:val="22"/>
        </w:rPr>
        <w:t xml:space="preserve"> using direction finding techniques</w:t>
      </w:r>
      <w:r w:rsidR="0087331F">
        <w:rPr>
          <w:sz w:val="22"/>
          <w:szCs w:val="22"/>
        </w:rPr>
        <w:t>,</w:t>
      </w:r>
      <w:r w:rsidRPr="001C5FF8">
        <w:rPr>
          <w:sz w:val="22"/>
          <w:szCs w:val="22"/>
        </w:rPr>
        <w:t xml:space="preserve"> that the source of the interference to </w:t>
      </w:r>
      <w:r w:rsidR="00705134">
        <w:rPr>
          <w:sz w:val="22"/>
          <w:szCs w:val="22"/>
        </w:rPr>
        <w:t>the Allegheny County system</w:t>
      </w:r>
      <w:r w:rsidRPr="001C5FF8">
        <w:rPr>
          <w:sz w:val="22"/>
          <w:szCs w:val="22"/>
        </w:rPr>
        <w:t xml:space="preserve"> was a </w:t>
      </w:r>
      <w:r w:rsidR="008269C0">
        <w:rPr>
          <w:sz w:val="22"/>
          <w:szCs w:val="22"/>
        </w:rPr>
        <w:t xml:space="preserve">signal </w:t>
      </w:r>
      <w:r w:rsidR="00060453">
        <w:rPr>
          <w:sz w:val="22"/>
          <w:szCs w:val="22"/>
        </w:rPr>
        <w:t>emanating</w:t>
      </w:r>
      <w:r w:rsidR="00E74867">
        <w:rPr>
          <w:sz w:val="22"/>
          <w:szCs w:val="22"/>
        </w:rPr>
        <w:t xml:space="preserve"> from the residence of David O. Knudtson</w:t>
      </w:r>
      <w:r w:rsidR="00A03EEB">
        <w:rPr>
          <w:sz w:val="22"/>
          <w:szCs w:val="22"/>
        </w:rPr>
        <w:t xml:space="preserve"> (Knudtson)</w:t>
      </w:r>
      <w:r w:rsidR="00D269E2">
        <w:rPr>
          <w:sz w:val="22"/>
          <w:szCs w:val="22"/>
        </w:rPr>
        <w:t xml:space="preserve">, licensee of amateur radio station </w:t>
      </w:r>
      <w:r w:rsidR="00F46718">
        <w:rPr>
          <w:sz w:val="22"/>
          <w:szCs w:val="22"/>
        </w:rPr>
        <w:t>KD3ASC</w:t>
      </w:r>
      <w:r w:rsidRPr="001C5FF8">
        <w:rPr>
          <w:sz w:val="22"/>
          <w:szCs w:val="22"/>
        </w:rPr>
        <w:t xml:space="preserve">.  After the Agents notified </w:t>
      </w:r>
      <w:r w:rsidR="00A03EEB">
        <w:rPr>
          <w:sz w:val="22"/>
          <w:szCs w:val="22"/>
        </w:rPr>
        <w:t>Knudtson</w:t>
      </w:r>
      <w:r w:rsidR="00C52FA4">
        <w:rPr>
          <w:sz w:val="22"/>
          <w:szCs w:val="22"/>
        </w:rPr>
        <w:t xml:space="preserve"> </w:t>
      </w:r>
      <w:r w:rsidRPr="001C5FF8">
        <w:rPr>
          <w:sz w:val="22"/>
          <w:szCs w:val="22"/>
        </w:rPr>
        <w:t xml:space="preserve">of the </w:t>
      </w:r>
      <w:r w:rsidR="005763A1">
        <w:rPr>
          <w:sz w:val="22"/>
          <w:szCs w:val="22"/>
        </w:rPr>
        <w:t>inter</w:t>
      </w:r>
      <w:r w:rsidRPr="001C5FF8">
        <w:rPr>
          <w:sz w:val="22"/>
          <w:szCs w:val="22"/>
        </w:rPr>
        <w:t xml:space="preserve">ference issue, </w:t>
      </w:r>
      <w:r w:rsidR="00A03EEB">
        <w:rPr>
          <w:sz w:val="22"/>
          <w:szCs w:val="22"/>
        </w:rPr>
        <w:t>he</w:t>
      </w:r>
      <w:r w:rsidR="001A03AB">
        <w:rPr>
          <w:sz w:val="22"/>
          <w:szCs w:val="22"/>
        </w:rPr>
        <w:t xml:space="preserve"> pro</w:t>
      </w:r>
      <w:r w:rsidR="00D748CC">
        <w:rPr>
          <w:sz w:val="22"/>
          <w:szCs w:val="22"/>
        </w:rPr>
        <w:t xml:space="preserve">duced </w:t>
      </w:r>
      <w:r w:rsidR="00146268">
        <w:rPr>
          <w:sz w:val="22"/>
          <w:szCs w:val="22"/>
        </w:rPr>
        <w:t>a handheld radio</w:t>
      </w:r>
      <w:r w:rsidR="00D43E03">
        <w:rPr>
          <w:sz w:val="22"/>
          <w:szCs w:val="22"/>
        </w:rPr>
        <w:t xml:space="preserve"> </w:t>
      </w:r>
      <w:r w:rsidR="00D748CC">
        <w:rPr>
          <w:sz w:val="22"/>
          <w:szCs w:val="22"/>
        </w:rPr>
        <w:t>(</w:t>
      </w:r>
      <w:r w:rsidR="00D43E03">
        <w:rPr>
          <w:sz w:val="22"/>
          <w:szCs w:val="22"/>
        </w:rPr>
        <w:t xml:space="preserve">identified as a </w:t>
      </w:r>
      <w:r w:rsidRPr="00D43E03" w:rsidR="00D43E03">
        <w:rPr>
          <w:sz w:val="22"/>
          <w:szCs w:val="22"/>
        </w:rPr>
        <w:t>BTech UV-Pro</w:t>
      </w:r>
      <w:r w:rsidR="00D748CC">
        <w:rPr>
          <w:sz w:val="22"/>
          <w:szCs w:val="22"/>
        </w:rPr>
        <w:t>)</w:t>
      </w:r>
      <w:r w:rsidR="00D43E03">
        <w:rPr>
          <w:sz w:val="22"/>
          <w:szCs w:val="22"/>
        </w:rPr>
        <w:t xml:space="preserve">. </w:t>
      </w:r>
      <w:r w:rsidR="00223942">
        <w:rPr>
          <w:sz w:val="22"/>
          <w:szCs w:val="22"/>
        </w:rPr>
        <w:t xml:space="preserve"> </w:t>
      </w:r>
      <w:r w:rsidR="00774746">
        <w:rPr>
          <w:sz w:val="22"/>
          <w:szCs w:val="22"/>
        </w:rPr>
        <w:t xml:space="preserve">An examination of the radio determined that </w:t>
      </w:r>
      <w:r w:rsidR="00C40AE1">
        <w:rPr>
          <w:sz w:val="22"/>
          <w:szCs w:val="22"/>
        </w:rPr>
        <w:t>it had been</w:t>
      </w:r>
      <w:r w:rsidR="00A669C8">
        <w:rPr>
          <w:sz w:val="22"/>
          <w:szCs w:val="22"/>
        </w:rPr>
        <w:t xml:space="preserve"> modified to </w:t>
      </w:r>
      <w:r w:rsidR="00DF7329">
        <w:rPr>
          <w:sz w:val="22"/>
          <w:szCs w:val="22"/>
        </w:rPr>
        <w:t>monitor</w:t>
      </w:r>
      <w:r w:rsidRPr="00A625CB" w:rsidR="00A625CB">
        <w:rPr>
          <w:sz w:val="22"/>
          <w:szCs w:val="22"/>
        </w:rPr>
        <w:t xml:space="preserve"> the </w:t>
      </w:r>
      <w:r w:rsidR="00C56157">
        <w:rPr>
          <w:sz w:val="22"/>
          <w:szCs w:val="22"/>
        </w:rPr>
        <w:t xml:space="preserve">Allegheny County </w:t>
      </w:r>
      <w:r w:rsidR="000F16D0">
        <w:rPr>
          <w:sz w:val="22"/>
          <w:szCs w:val="22"/>
        </w:rPr>
        <w:t>channel</w:t>
      </w:r>
      <w:r w:rsidRPr="00A625CB" w:rsidR="00A625CB">
        <w:rPr>
          <w:sz w:val="22"/>
          <w:szCs w:val="22"/>
        </w:rPr>
        <w:t xml:space="preserve">, </w:t>
      </w:r>
      <w:r w:rsidR="008D5C88">
        <w:rPr>
          <w:sz w:val="22"/>
          <w:szCs w:val="22"/>
        </w:rPr>
        <w:t xml:space="preserve">and its </w:t>
      </w:r>
      <w:r w:rsidRPr="00A625CB" w:rsidR="00A625CB">
        <w:rPr>
          <w:sz w:val="22"/>
          <w:szCs w:val="22"/>
        </w:rPr>
        <w:t>“Audio Rel</w:t>
      </w:r>
      <w:r w:rsidR="00A669C8">
        <w:rPr>
          <w:sz w:val="22"/>
          <w:szCs w:val="22"/>
        </w:rPr>
        <w:t>a</w:t>
      </w:r>
      <w:r w:rsidRPr="00A625CB" w:rsidR="00A625CB">
        <w:rPr>
          <w:sz w:val="22"/>
          <w:szCs w:val="22"/>
        </w:rPr>
        <w:t>y” f</w:t>
      </w:r>
      <w:r w:rsidR="00713BED">
        <w:rPr>
          <w:sz w:val="22"/>
          <w:szCs w:val="22"/>
        </w:rPr>
        <w:t>eature</w:t>
      </w:r>
      <w:r w:rsidRPr="00A625CB" w:rsidR="00A625CB">
        <w:rPr>
          <w:sz w:val="22"/>
          <w:szCs w:val="22"/>
        </w:rPr>
        <w:t xml:space="preserve"> </w:t>
      </w:r>
      <w:r w:rsidR="008D5C88">
        <w:rPr>
          <w:sz w:val="22"/>
          <w:szCs w:val="22"/>
        </w:rPr>
        <w:t>had been activated</w:t>
      </w:r>
      <w:r w:rsidRPr="00A625CB" w:rsidR="00A625CB">
        <w:rPr>
          <w:sz w:val="22"/>
          <w:szCs w:val="22"/>
        </w:rPr>
        <w:t xml:space="preserve">. </w:t>
      </w:r>
      <w:r w:rsidR="00D10BAB">
        <w:rPr>
          <w:sz w:val="22"/>
          <w:szCs w:val="22"/>
        </w:rPr>
        <w:t xml:space="preserve"> </w:t>
      </w:r>
      <w:r w:rsidRPr="00A625CB" w:rsidR="00A625CB">
        <w:rPr>
          <w:sz w:val="22"/>
          <w:szCs w:val="22"/>
        </w:rPr>
        <w:t xml:space="preserve">This </w:t>
      </w:r>
      <w:r w:rsidR="00235F12">
        <w:rPr>
          <w:sz w:val="22"/>
          <w:szCs w:val="22"/>
        </w:rPr>
        <w:t xml:space="preserve">feature </w:t>
      </w:r>
      <w:r w:rsidR="00A669C8">
        <w:rPr>
          <w:sz w:val="22"/>
          <w:szCs w:val="22"/>
        </w:rPr>
        <w:t>turn</w:t>
      </w:r>
      <w:r w:rsidR="001A76B6">
        <w:rPr>
          <w:sz w:val="22"/>
          <w:szCs w:val="22"/>
        </w:rPr>
        <w:t>ed</w:t>
      </w:r>
      <w:r w:rsidR="00A669C8">
        <w:rPr>
          <w:sz w:val="22"/>
          <w:szCs w:val="22"/>
        </w:rPr>
        <w:t xml:space="preserve"> </w:t>
      </w:r>
      <w:r w:rsidR="00AE499E">
        <w:rPr>
          <w:sz w:val="22"/>
          <w:szCs w:val="22"/>
        </w:rPr>
        <w:t xml:space="preserve">Knudtson’s </w:t>
      </w:r>
      <w:r w:rsidR="00A669C8">
        <w:rPr>
          <w:sz w:val="22"/>
          <w:szCs w:val="22"/>
        </w:rPr>
        <w:t xml:space="preserve">radio into a </w:t>
      </w:r>
      <w:r w:rsidRPr="00A625CB" w:rsidR="00A625CB">
        <w:rPr>
          <w:sz w:val="22"/>
          <w:szCs w:val="22"/>
        </w:rPr>
        <w:t>simplex repeater</w:t>
      </w:r>
      <w:r w:rsidR="006A4DFC">
        <w:rPr>
          <w:sz w:val="22"/>
          <w:szCs w:val="22"/>
        </w:rPr>
        <w:t xml:space="preserve"> that was</w:t>
      </w:r>
      <w:r w:rsidR="00A669C8">
        <w:rPr>
          <w:sz w:val="22"/>
          <w:szCs w:val="22"/>
        </w:rPr>
        <w:t xml:space="preserve"> </w:t>
      </w:r>
      <w:r w:rsidR="00064566">
        <w:rPr>
          <w:sz w:val="22"/>
          <w:szCs w:val="22"/>
        </w:rPr>
        <w:t>re</w:t>
      </w:r>
      <w:r w:rsidR="00A669C8">
        <w:rPr>
          <w:sz w:val="22"/>
          <w:szCs w:val="22"/>
        </w:rPr>
        <w:t>transmitting the Allegheny County</w:t>
      </w:r>
      <w:r w:rsidR="00064566">
        <w:rPr>
          <w:sz w:val="22"/>
          <w:szCs w:val="22"/>
        </w:rPr>
        <w:t xml:space="preserve"> </w:t>
      </w:r>
      <w:r w:rsidR="000F16D0">
        <w:rPr>
          <w:sz w:val="22"/>
          <w:szCs w:val="22"/>
        </w:rPr>
        <w:t>channel</w:t>
      </w:r>
      <w:r w:rsidR="00064566">
        <w:rPr>
          <w:sz w:val="22"/>
          <w:szCs w:val="22"/>
        </w:rPr>
        <w:t>.</w:t>
      </w:r>
      <w:r w:rsidR="00A669C8">
        <w:rPr>
          <w:sz w:val="22"/>
          <w:szCs w:val="22"/>
        </w:rPr>
        <w:t xml:space="preserve"> </w:t>
      </w:r>
      <w:r w:rsidR="00916AF8">
        <w:rPr>
          <w:sz w:val="22"/>
          <w:szCs w:val="22"/>
        </w:rPr>
        <w:t xml:space="preserve"> </w:t>
      </w:r>
      <w:r w:rsidR="00BA2D38">
        <w:rPr>
          <w:sz w:val="22"/>
          <w:szCs w:val="22"/>
        </w:rPr>
        <w:t xml:space="preserve">Knudtson </w:t>
      </w:r>
      <w:r w:rsidR="006A4DFC">
        <w:rPr>
          <w:sz w:val="22"/>
          <w:szCs w:val="22"/>
        </w:rPr>
        <w:t>surrendered the radio to the Agents.  Subsequently, t</w:t>
      </w:r>
      <w:r w:rsidRPr="001C5FF8">
        <w:rPr>
          <w:sz w:val="22"/>
          <w:szCs w:val="22"/>
        </w:rPr>
        <w:t xml:space="preserve">he Agents verified </w:t>
      </w:r>
      <w:r w:rsidR="005763A1">
        <w:rPr>
          <w:sz w:val="22"/>
          <w:szCs w:val="22"/>
        </w:rPr>
        <w:t xml:space="preserve">that </w:t>
      </w:r>
      <w:r w:rsidRPr="001C5FF8">
        <w:rPr>
          <w:sz w:val="22"/>
          <w:szCs w:val="22"/>
        </w:rPr>
        <w:t xml:space="preserve">the interference to </w:t>
      </w:r>
      <w:r w:rsidR="005763A1">
        <w:rPr>
          <w:sz w:val="22"/>
          <w:szCs w:val="22"/>
        </w:rPr>
        <w:t xml:space="preserve">the </w:t>
      </w:r>
      <w:r w:rsidR="00D269E2">
        <w:rPr>
          <w:sz w:val="22"/>
          <w:szCs w:val="22"/>
        </w:rPr>
        <w:t>Allegheny County system had</w:t>
      </w:r>
      <w:r>
        <w:rPr>
          <w:sz w:val="22"/>
          <w:szCs w:val="22"/>
        </w:rPr>
        <w:t xml:space="preserve"> </w:t>
      </w:r>
      <w:r w:rsidRPr="001C5FF8">
        <w:rPr>
          <w:sz w:val="22"/>
          <w:szCs w:val="22"/>
        </w:rPr>
        <w:t>ceased.</w:t>
      </w:r>
    </w:p>
    <w:p w:rsidR="001B77B7" w:rsidP="001C5FF8" w14:paraId="7EC81CAA" w14:textId="242A3D9F">
      <w:pPr>
        <w:spacing w:after="240"/>
        <w:rPr>
          <w:sz w:val="22"/>
          <w:szCs w:val="22"/>
        </w:rPr>
      </w:pPr>
      <w:r>
        <w:rPr>
          <w:sz w:val="22"/>
          <w:szCs w:val="22"/>
        </w:rPr>
        <w:t xml:space="preserve">Radio stations, including those operating on </w:t>
      </w:r>
      <w:r w:rsidR="00D84225">
        <w:rPr>
          <w:sz w:val="22"/>
          <w:szCs w:val="22"/>
        </w:rPr>
        <w:t xml:space="preserve">470.4375 MHz, must be licensed by the FCC pursuant to the </w:t>
      </w:r>
      <w:r w:rsidRPr="001C5FF8" w:rsidR="001C5FF8">
        <w:rPr>
          <w:sz w:val="22"/>
          <w:szCs w:val="22"/>
        </w:rPr>
        <w:t>Communications Act of 1934, as amended (Act)</w:t>
      </w:r>
      <w:r w:rsidR="00C44A56">
        <w:rPr>
          <w:sz w:val="22"/>
          <w:szCs w:val="22"/>
        </w:rPr>
        <w:t xml:space="preserve"> </w:t>
      </w:r>
      <w:r w:rsidRPr="000E394A" w:rsidR="00C44A56">
        <w:rPr>
          <w:sz w:val="22"/>
          <w:szCs w:val="22"/>
        </w:rPr>
        <w:t>and Section 1.90</w:t>
      </w:r>
      <w:r w:rsidRPr="000E394A" w:rsidR="00FB02DC">
        <w:rPr>
          <w:sz w:val="22"/>
          <w:szCs w:val="22"/>
        </w:rPr>
        <w:t>3</w:t>
      </w:r>
      <w:r w:rsidRPr="000E394A" w:rsidR="00C44A56">
        <w:rPr>
          <w:sz w:val="22"/>
          <w:szCs w:val="22"/>
        </w:rPr>
        <w:t xml:space="preserve">(a) of the </w:t>
      </w:r>
      <w:r w:rsidR="00F74EC4">
        <w:rPr>
          <w:sz w:val="22"/>
          <w:szCs w:val="22"/>
        </w:rPr>
        <w:t>Commission’s</w:t>
      </w:r>
      <w:r w:rsidRPr="000E394A" w:rsidR="00F74EC4">
        <w:rPr>
          <w:sz w:val="22"/>
          <w:szCs w:val="22"/>
        </w:rPr>
        <w:t xml:space="preserve"> </w:t>
      </w:r>
      <w:r w:rsidRPr="000E394A" w:rsidR="00C44A56">
        <w:rPr>
          <w:sz w:val="22"/>
          <w:szCs w:val="22"/>
        </w:rPr>
        <w:t>rules</w:t>
      </w:r>
      <w:r w:rsidR="00F74EC4">
        <w:rPr>
          <w:sz w:val="22"/>
          <w:szCs w:val="22"/>
        </w:rPr>
        <w:t xml:space="preserve"> (Rules)</w:t>
      </w:r>
      <w:r w:rsidRPr="001C5FF8" w:rsidR="001C5FF8">
        <w:rPr>
          <w:sz w:val="22"/>
          <w:szCs w:val="22"/>
        </w:rPr>
        <w:t>.</w:t>
      </w:r>
      <w:r>
        <w:rPr>
          <w:rStyle w:val="FootnoteReference"/>
          <w:sz w:val="22"/>
          <w:szCs w:val="22"/>
        </w:rPr>
        <w:footnoteReference w:id="2"/>
      </w:r>
      <w:r w:rsidRPr="001C5FF8" w:rsidR="001C5FF8">
        <w:rPr>
          <w:sz w:val="22"/>
          <w:szCs w:val="22"/>
        </w:rPr>
        <w:t xml:space="preserve">  The only exception to this licensing requirement is for certain transmitters using or operating at a power level or mode of operation that complies with the standards established in </w:t>
      </w:r>
      <w:r w:rsidR="00F33831">
        <w:rPr>
          <w:sz w:val="22"/>
          <w:szCs w:val="22"/>
        </w:rPr>
        <w:t>p</w:t>
      </w:r>
      <w:r w:rsidRPr="001C5FF8" w:rsidR="001C5FF8">
        <w:rPr>
          <w:sz w:val="22"/>
          <w:szCs w:val="22"/>
        </w:rPr>
        <w:t xml:space="preserve">art 15 of the </w:t>
      </w:r>
      <w:r w:rsidR="00F74EC4">
        <w:rPr>
          <w:sz w:val="22"/>
          <w:szCs w:val="22"/>
        </w:rPr>
        <w:t>Rules</w:t>
      </w:r>
      <w:r w:rsidRPr="001C5FF8" w:rsidR="001C5FF8">
        <w:rPr>
          <w:sz w:val="22"/>
          <w:szCs w:val="22"/>
        </w:rPr>
        <w:t>.</w:t>
      </w:r>
      <w:r>
        <w:rPr>
          <w:rStyle w:val="FootnoteReference"/>
          <w:sz w:val="22"/>
          <w:szCs w:val="22"/>
        </w:rPr>
        <w:footnoteReference w:id="3"/>
      </w:r>
      <w:r w:rsidRPr="001C5FF8" w:rsidR="001C5FF8">
        <w:rPr>
          <w:sz w:val="22"/>
          <w:szCs w:val="22"/>
        </w:rPr>
        <w:t xml:space="preserve">  </w:t>
      </w:r>
      <w:r w:rsidRPr="001C5FF8" w:rsidR="006047CF">
        <w:rPr>
          <w:sz w:val="22"/>
          <w:szCs w:val="22"/>
        </w:rPr>
        <w:t xml:space="preserve">Non-licensed operation pursuant to </w:t>
      </w:r>
      <w:r w:rsidR="006047CF">
        <w:rPr>
          <w:sz w:val="22"/>
          <w:szCs w:val="22"/>
        </w:rPr>
        <w:t>p</w:t>
      </w:r>
      <w:r w:rsidRPr="001C5FF8" w:rsidR="006047CF">
        <w:rPr>
          <w:sz w:val="22"/>
          <w:szCs w:val="22"/>
        </w:rPr>
        <w:t xml:space="preserve">art 15 of the </w:t>
      </w:r>
      <w:r w:rsidR="00F74EC4">
        <w:rPr>
          <w:sz w:val="22"/>
          <w:szCs w:val="22"/>
        </w:rPr>
        <w:t>Rules</w:t>
      </w:r>
      <w:r w:rsidRPr="001C5FF8" w:rsidR="006047CF">
        <w:rPr>
          <w:sz w:val="22"/>
          <w:szCs w:val="22"/>
        </w:rPr>
        <w:t>, however, is conditioned upon compliance with all applicable regulations in the subpart.</w:t>
      </w:r>
      <w:r>
        <w:rPr>
          <w:rStyle w:val="FootnoteReference"/>
          <w:sz w:val="22"/>
          <w:szCs w:val="22"/>
        </w:rPr>
        <w:footnoteReference w:id="4"/>
      </w:r>
      <w:r w:rsidRPr="001C5FF8" w:rsidR="006047CF">
        <w:rPr>
          <w:sz w:val="22"/>
          <w:szCs w:val="22"/>
        </w:rPr>
        <w:t xml:space="preserve">  All intentional radiators operating pursuant to </w:t>
      </w:r>
      <w:r w:rsidR="006047CF">
        <w:rPr>
          <w:sz w:val="22"/>
          <w:szCs w:val="22"/>
        </w:rPr>
        <w:t>p</w:t>
      </w:r>
      <w:r w:rsidRPr="001C5FF8" w:rsidR="006047CF">
        <w:rPr>
          <w:sz w:val="22"/>
          <w:szCs w:val="22"/>
        </w:rPr>
        <w:t xml:space="preserve">art 15 of the FCC’s </w:t>
      </w:r>
      <w:r w:rsidR="00F74EC4">
        <w:rPr>
          <w:sz w:val="22"/>
          <w:szCs w:val="22"/>
        </w:rPr>
        <w:t>Rules</w:t>
      </w:r>
      <w:r w:rsidRPr="001C5FF8" w:rsidR="00F74EC4">
        <w:rPr>
          <w:sz w:val="22"/>
          <w:szCs w:val="22"/>
        </w:rPr>
        <w:t xml:space="preserve"> </w:t>
      </w:r>
      <w:r w:rsidRPr="001C5FF8" w:rsidR="006047CF">
        <w:rPr>
          <w:sz w:val="22"/>
          <w:szCs w:val="22"/>
        </w:rPr>
        <w:t xml:space="preserve">must be certified for use as a </w:t>
      </w:r>
      <w:r w:rsidR="006047CF">
        <w:rPr>
          <w:sz w:val="22"/>
          <w:szCs w:val="22"/>
        </w:rPr>
        <w:t>p</w:t>
      </w:r>
      <w:r w:rsidRPr="001C5FF8" w:rsidR="006047CF">
        <w:rPr>
          <w:sz w:val="22"/>
          <w:szCs w:val="22"/>
        </w:rPr>
        <w:t>art 15 device</w:t>
      </w:r>
      <w:r w:rsidR="00AF74F8">
        <w:rPr>
          <w:sz w:val="22"/>
          <w:szCs w:val="22"/>
        </w:rPr>
        <w:t>.</w:t>
      </w:r>
      <w:r>
        <w:rPr>
          <w:rStyle w:val="FootnoteReference"/>
          <w:sz w:val="22"/>
          <w:szCs w:val="22"/>
        </w:rPr>
        <w:footnoteReference w:id="5"/>
      </w:r>
      <w:r w:rsidRPr="001C5FF8" w:rsidR="006047CF">
        <w:rPr>
          <w:sz w:val="22"/>
          <w:szCs w:val="22"/>
        </w:rPr>
        <w:t xml:space="preserve"> and failure to operate such device consistent with its authorization violates </w:t>
      </w:r>
      <w:r w:rsidR="006047CF">
        <w:rPr>
          <w:sz w:val="22"/>
          <w:szCs w:val="22"/>
        </w:rPr>
        <w:t>p</w:t>
      </w:r>
      <w:r w:rsidRPr="001C5FF8" w:rsidR="006047CF">
        <w:rPr>
          <w:sz w:val="22"/>
          <w:szCs w:val="22"/>
        </w:rPr>
        <w:t xml:space="preserve">art 15 of the </w:t>
      </w:r>
      <w:r w:rsidR="00F74EC4">
        <w:rPr>
          <w:sz w:val="22"/>
          <w:szCs w:val="22"/>
        </w:rPr>
        <w:t>Rules</w:t>
      </w:r>
      <w:r w:rsidRPr="001C5FF8" w:rsidR="006047CF">
        <w:rPr>
          <w:sz w:val="22"/>
          <w:szCs w:val="22"/>
        </w:rPr>
        <w:t>.</w:t>
      </w:r>
      <w:r w:rsidR="006047CF">
        <w:rPr>
          <w:sz w:val="22"/>
          <w:szCs w:val="22"/>
        </w:rPr>
        <w:t xml:space="preserve"> </w:t>
      </w:r>
    </w:p>
    <w:p w:rsidR="001C5FF8" w:rsidRPr="008952F8" w:rsidP="001C5FF8" w14:paraId="23C71A71" w14:textId="586E04E7">
      <w:pPr>
        <w:spacing w:after="240"/>
        <w:rPr>
          <w:sz w:val="22"/>
          <w:szCs w:val="22"/>
        </w:rPr>
      </w:pPr>
      <w:r w:rsidRPr="000E394A">
        <w:rPr>
          <w:sz w:val="22"/>
          <w:szCs w:val="22"/>
        </w:rPr>
        <w:t xml:space="preserve">Section 97.301(a) of the </w:t>
      </w:r>
      <w:r>
        <w:rPr>
          <w:sz w:val="22"/>
          <w:szCs w:val="22"/>
        </w:rPr>
        <w:t>Rules</w:t>
      </w:r>
      <w:r w:rsidRPr="000E394A">
        <w:rPr>
          <w:sz w:val="22"/>
          <w:szCs w:val="22"/>
        </w:rPr>
        <w:t xml:space="preserve"> </w:t>
      </w:r>
      <w:r w:rsidRPr="000E394A">
        <w:rPr>
          <w:sz w:val="22"/>
          <w:szCs w:val="22"/>
        </w:rPr>
        <w:t xml:space="preserve">lists the frequency bands that are available for an amateur radio operator </w:t>
      </w:r>
      <w:r>
        <w:rPr>
          <w:sz w:val="22"/>
          <w:szCs w:val="22"/>
        </w:rPr>
        <w:t xml:space="preserve">like Knudtson </w:t>
      </w:r>
      <w:r w:rsidRPr="000E394A">
        <w:rPr>
          <w:sz w:val="22"/>
          <w:szCs w:val="22"/>
        </w:rPr>
        <w:t xml:space="preserve">who </w:t>
      </w:r>
      <w:r>
        <w:rPr>
          <w:sz w:val="22"/>
          <w:szCs w:val="22"/>
        </w:rPr>
        <w:t>holds</w:t>
      </w:r>
      <w:r w:rsidRPr="000E394A">
        <w:rPr>
          <w:sz w:val="22"/>
          <w:szCs w:val="22"/>
        </w:rPr>
        <w:t xml:space="preserve"> a Technician </w:t>
      </w:r>
      <w:r>
        <w:rPr>
          <w:sz w:val="22"/>
          <w:szCs w:val="22"/>
        </w:rPr>
        <w:t>class amateur radio</w:t>
      </w:r>
      <w:r w:rsidRPr="000E394A">
        <w:rPr>
          <w:sz w:val="22"/>
          <w:szCs w:val="22"/>
        </w:rPr>
        <w:t xml:space="preserve"> license.</w:t>
      </w:r>
      <w:r>
        <w:rPr>
          <w:rStyle w:val="FootnoteReference"/>
          <w:szCs w:val="22"/>
        </w:rPr>
        <w:footnoteReference w:id="6"/>
      </w:r>
      <w:r w:rsidRPr="000E394A">
        <w:rPr>
          <w:sz w:val="22"/>
          <w:szCs w:val="22"/>
        </w:rPr>
        <w:t xml:space="preserve">  The investigation determined that </w:t>
      </w:r>
      <w:r>
        <w:rPr>
          <w:sz w:val="22"/>
          <w:szCs w:val="22"/>
        </w:rPr>
        <w:t>Knudtson</w:t>
      </w:r>
      <w:r w:rsidRPr="000E394A">
        <w:rPr>
          <w:sz w:val="22"/>
          <w:szCs w:val="22"/>
        </w:rPr>
        <w:t xml:space="preserve"> transmitted on a frequency </w:t>
      </w:r>
      <w:r w:rsidR="00336224">
        <w:rPr>
          <w:sz w:val="22"/>
          <w:szCs w:val="22"/>
        </w:rPr>
        <w:t>outside of</w:t>
      </w:r>
      <w:r w:rsidR="002853C2">
        <w:rPr>
          <w:sz w:val="22"/>
          <w:szCs w:val="22"/>
        </w:rPr>
        <w:t xml:space="preserve"> these bands</w:t>
      </w:r>
      <w:r w:rsidRPr="000E394A">
        <w:rPr>
          <w:sz w:val="22"/>
          <w:szCs w:val="22"/>
        </w:rPr>
        <w:t xml:space="preserve">.  </w:t>
      </w:r>
      <w:r>
        <w:rPr>
          <w:sz w:val="22"/>
          <w:szCs w:val="22"/>
        </w:rPr>
        <w:t>Specifically,</w:t>
      </w:r>
      <w:r w:rsidR="00F74EC4">
        <w:rPr>
          <w:sz w:val="22"/>
          <w:szCs w:val="22"/>
        </w:rPr>
        <w:t xml:space="preserve"> </w:t>
      </w:r>
      <w:r w:rsidR="00813F80">
        <w:rPr>
          <w:sz w:val="22"/>
          <w:szCs w:val="22"/>
        </w:rPr>
        <w:t xml:space="preserve">on </w:t>
      </w:r>
      <w:r w:rsidR="000144FE">
        <w:rPr>
          <w:sz w:val="22"/>
          <w:szCs w:val="22"/>
        </w:rPr>
        <w:t>July 30, 2025</w:t>
      </w:r>
      <w:r w:rsidRPr="001C5FF8" w:rsidR="000144FE">
        <w:rPr>
          <w:sz w:val="22"/>
          <w:szCs w:val="22"/>
        </w:rPr>
        <w:t>,</w:t>
      </w:r>
      <w:r w:rsidR="000144FE">
        <w:rPr>
          <w:sz w:val="22"/>
          <w:szCs w:val="22"/>
        </w:rPr>
        <w:t xml:space="preserve"> </w:t>
      </w:r>
      <w:r w:rsidR="00F74EC4">
        <w:rPr>
          <w:sz w:val="22"/>
          <w:szCs w:val="22"/>
        </w:rPr>
        <w:t xml:space="preserve">Knudtson </w:t>
      </w:r>
      <w:r>
        <w:rPr>
          <w:sz w:val="22"/>
          <w:szCs w:val="22"/>
        </w:rPr>
        <w:t>operated on</w:t>
      </w:r>
      <w:r w:rsidRPr="008952F8" w:rsidR="00CA1D14">
        <w:rPr>
          <w:sz w:val="22"/>
          <w:szCs w:val="22"/>
        </w:rPr>
        <w:t xml:space="preserve"> 470.4375 MHz</w:t>
      </w:r>
      <w:r w:rsidR="00693D5A">
        <w:rPr>
          <w:sz w:val="22"/>
          <w:szCs w:val="22"/>
        </w:rPr>
        <w:t xml:space="preserve">, and therefore, he </w:t>
      </w:r>
      <w:r w:rsidR="009853CF">
        <w:rPr>
          <w:sz w:val="22"/>
          <w:szCs w:val="22"/>
        </w:rPr>
        <w:t>operated without the required authorization</w:t>
      </w:r>
      <w:r>
        <w:rPr>
          <w:rStyle w:val="FootnoteReference"/>
          <w:sz w:val="22"/>
          <w:szCs w:val="22"/>
        </w:rPr>
        <w:footnoteReference w:id="7"/>
      </w:r>
      <w:r w:rsidRPr="000E394A">
        <w:rPr>
          <w:sz w:val="22"/>
          <w:szCs w:val="22"/>
        </w:rPr>
        <w:t xml:space="preserve"> </w:t>
      </w:r>
      <w:r w:rsidR="003A4780">
        <w:rPr>
          <w:sz w:val="22"/>
          <w:szCs w:val="22"/>
        </w:rPr>
        <w:t>for</w:t>
      </w:r>
      <w:r>
        <w:rPr>
          <w:sz w:val="22"/>
          <w:szCs w:val="22"/>
        </w:rPr>
        <w:t xml:space="preserve"> that frequency </w:t>
      </w:r>
      <w:r w:rsidRPr="000E394A">
        <w:rPr>
          <w:sz w:val="22"/>
          <w:szCs w:val="22"/>
        </w:rPr>
        <w:t xml:space="preserve">in violation of </w:t>
      </w:r>
      <w:r w:rsidRPr="000E394A" w:rsidR="00F33831">
        <w:rPr>
          <w:sz w:val="22"/>
          <w:szCs w:val="22"/>
        </w:rPr>
        <w:t>section 301 of the Act</w:t>
      </w:r>
      <w:r w:rsidRPr="000E394A" w:rsidR="002561B6">
        <w:rPr>
          <w:sz w:val="22"/>
          <w:szCs w:val="22"/>
        </w:rPr>
        <w:t>,</w:t>
      </w:r>
      <w:r>
        <w:rPr>
          <w:rStyle w:val="FootnoteReference"/>
          <w:sz w:val="22"/>
          <w:szCs w:val="22"/>
        </w:rPr>
        <w:footnoteReference w:id="8"/>
      </w:r>
      <w:r w:rsidRPr="000E394A" w:rsidR="00F33831">
        <w:rPr>
          <w:sz w:val="22"/>
          <w:szCs w:val="22"/>
        </w:rPr>
        <w:t xml:space="preserve"> </w:t>
      </w:r>
      <w:r w:rsidR="00F15565">
        <w:rPr>
          <w:sz w:val="22"/>
          <w:szCs w:val="22"/>
        </w:rPr>
        <w:t xml:space="preserve">and </w:t>
      </w:r>
      <w:r w:rsidR="00C91789">
        <w:rPr>
          <w:sz w:val="22"/>
          <w:szCs w:val="22"/>
        </w:rPr>
        <w:t>s</w:t>
      </w:r>
      <w:r w:rsidRPr="000E394A" w:rsidR="00C91789">
        <w:rPr>
          <w:sz w:val="22"/>
          <w:szCs w:val="22"/>
        </w:rPr>
        <w:t>ection</w:t>
      </w:r>
      <w:r w:rsidR="00FF760B">
        <w:rPr>
          <w:sz w:val="22"/>
          <w:szCs w:val="22"/>
        </w:rPr>
        <w:t>s</w:t>
      </w:r>
      <w:r w:rsidR="00C91789">
        <w:rPr>
          <w:sz w:val="22"/>
          <w:szCs w:val="22"/>
        </w:rPr>
        <w:t xml:space="preserve"> </w:t>
      </w:r>
      <w:r w:rsidRPr="000E394A" w:rsidR="00C91789">
        <w:rPr>
          <w:sz w:val="22"/>
          <w:szCs w:val="22"/>
        </w:rPr>
        <w:t xml:space="preserve">97.301(a) </w:t>
      </w:r>
      <w:r w:rsidR="00C91789">
        <w:rPr>
          <w:sz w:val="22"/>
          <w:szCs w:val="22"/>
        </w:rPr>
        <w:t>and</w:t>
      </w:r>
      <w:r w:rsidRPr="000E394A" w:rsidR="00C91789">
        <w:rPr>
          <w:sz w:val="22"/>
          <w:szCs w:val="22"/>
        </w:rPr>
        <w:t xml:space="preserve"> </w:t>
      </w:r>
      <w:r w:rsidRPr="000E394A" w:rsidR="00FB02DC">
        <w:rPr>
          <w:sz w:val="22"/>
          <w:szCs w:val="22"/>
        </w:rPr>
        <w:t xml:space="preserve">1.903(a) of the </w:t>
      </w:r>
      <w:r w:rsidR="00F74EC4">
        <w:rPr>
          <w:sz w:val="22"/>
          <w:szCs w:val="22"/>
        </w:rPr>
        <w:t>Rules</w:t>
      </w:r>
      <w:r w:rsidR="00000982">
        <w:rPr>
          <w:sz w:val="22"/>
          <w:szCs w:val="22"/>
        </w:rPr>
        <w:t>.</w:t>
      </w:r>
      <w:r>
        <w:rPr>
          <w:rStyle w:val="FootnoteReference"/>
          <w:sz w:val="22"/>
          <w:szCs w:val="22"/>
        </w:rPr>
        <w:footnoteReference w:id="9"/>
      </w:r>
      <w:r w:rsidR="00000982">
        <w:rPr>
          <w:sz w:val="22"/>
          <w:szCs w:val="22"/>
        </w:rPr>
        <w:t xml:space="preserve">  </w:t>
      </w:r>
    </w:p>
    <w:p w:rsidR="001C5FF8" w:rsidRPr="008952F8" w:rsidP="00746187" w14:paraId="2E0D15F9" w14:textId="2E5D7774">
      <w:pPr>
        <w:spacing w:after="240"/>
        <w:rPr>
          <w:sz w:val="22"/>
          <w:szCs w:val="22"/>
        </w:rPr>
      </w:pPr>
      <w:r w:rsidRPr="000E394A">
        <w:rPr>
          <w:sz w:val="22"/>
          <w:szCs w:val="22"/>
        </w:rPr>
        <w:t xml:space="preserve">Finally, </w:t>
      </w:r>
      <w:r w:rsidR="00C91789">
        <w:rPr>
          <w:sz w:val="22"/>
          <w:szCs w:val="22"/>
        </w:rPr>
        <w:t>section 333 of the Act states that “[n]</w:t>
      </w:r>
      <w:r w:rsidRPr="00C91789" w:rsidR="00C91789">
        <w:rPr>
          <w:sz w:val="22"/>
          <w:szCs w:val="22"/>
        </w:rPr>
        <w:t>o person shall willfully or maliciously interfere with or cause interference to any radio communications of any station licensed or authorized by or under this chapter or operated by the United States Government</w:t>
      </w:r>
      <w:r w:rsidR="00C91789">
        <w:rPr>
          <w:sz w:val="22"/>
          <w:szCs w:val="22"/>
        </w:rPr>
        <w:t>”</w:t>
      </w:r>
      <w:r>
        <w:rPr>
          <w:rStyle w:val="FootnoteReference"/>
          <w:sz w:val="22"/>
          <w:szCs w:val="22"/>
        </w:rPr>
        <w:footnoteReference w:id="10"/>
      </w:r>
      <w:r w:rsidR="00C91789">
        <w:rPr>
          <w:sz w:val="22"/>
          <w:szCs w:val="22"/>
        </w:rPr>
        <w:t xml:space="preserve"> and </w:t>
      </w:r>
      <w:r w:rsidRPr="00C91789" w:rsidR="00C91789">
        <w:rPr>
          <w:sz w:val="22"/>
          <w:szCs w:val="22"/>
        </w:rPr>
        <w:t xml:space="preserve"> </w:t>
      </w:r>
      <w:r w:rsidR="00C91789">
        <w:rPr>
          <w:sz w:val="22"/>
          <w:szCs w:val="22"/>
        </w:rPr>
        <w:t>s</w:t>
      </w:r>
      <w:r w:rsidRPr="000E394A" w:rsidR="00C91789">
        <w:rPr>
          <w:sz w:val="22"/>
          <w:szCs w:val="22"/>
        </w:rPr>
        <w:t xml:space="preserve">ection </w:t>
      </w:r>
      <w:r w:rsidRPr="000E394A" w:rsidR="00A30D7A">
        <w:rPr>
          <w:sz w:val="22"/>
          <w:szCs w:val="22"/>
        </w:rPr>
        <w:t xml:space="preserve">97.101(d) of the </w:t>
      </w:r>
      <w:r w:rsidR="00F74EC4">
        <w:rPr>
          <w:sz w:val="22"/>
          <w:szCs w:val="22"/>
        </w:rPr>
        <w:t>Rules</w:t>
      </w:r>
      <w:r w:rsidRPr="000E394A" w:rsidR="00F74EC4">
        <w:rPr>
          <w:sz w:val="22"/>
          <w:szCs w:val="22"/>
        </w:rPr>
        <w:t xml:space="preserve"> </w:t>
      </w:r>
      <w:r w:rsidRPr="000E394A" w:rsidR="00A30D7A">
        <w:rPr>
          <w:sz w:val="22"/>
          <w:szCs w:val="22"/>
        </w:rPr>
        <w:t>states that “[n]o amateur operator shall willfully or maliciously interfere with or cause interference to any radio communication or signal.”</w:t>
      </w:r>
      <w:r>
        <w:rPr>
          <w:rStyle w:val="FootnoteReference"/>
          <w:sz w:val="22"/>
          <w:szCs w:val="22"/>
        </w:rPr>
        <w:footnoteReference w:id="11"/>
      </w:r>
      <w:r w:rsidRPr="000E394A" w:rsidR="00A30D7A">
        <w:rPr>
          <w:sz w:val="22"/>
          <w:szCs w:val="22"/>
        </w:rPr>
        <w:t xml:space="preserve">  </w:t>
      </w:r>
      <w:r w:rsidRPr="000E394A" w:rsidR="009C0B8E">
        <w:rPr>
          <w:sz w:val="22"/>
          <w:szCs w:val="22"/>
        </w:rPr>
        <w:t xml:space="preserve">Agents identified </w:t>
      </w:r>
      <w:r w:rsidR="0010213A">
        <w:rPr>
          <w:sz w:val="22"/>
          <w:szCs w:val="22"/>
        </w:rPr>
        <w:t>an</w:t>
      </w:r>
      <w:r w:rsidRPr="000E394A">
        <w:rPr>
          <w:sz w:val="22"/>
          <w:szCs w:val="22"/>
        </w:rPr>
        <w:t xml:space="preserve"> </w:t>
      </w:r>
      <w:r w:rsidRPr="000E394A" w:rsidR="00450B08">
        <w:rPr>
          <w:sz w:val="22"/>
          <w:szCs w:val="22"/>
        </w:rPr>
        <w:t xml:space="preserve">amateur radio </w:t>
      </w:r>
      <w:r w:rsidR="0010213A">
        <w:rPr>
          <w:sz w:val="22"/>
          <w:szCs w:val="22"/>
        </w:rPr>
        <w:t>in Knudtson’s</w:t>
      </w:r>
      <w:r w:rsidRPr="000E394A" w:rsidR="0010213A">
        <w:rPr>
          <w:sz w:val="22"/>
          <w:szCs w:val="22"/>
        </w:rPr>
        <w:t xml:space="preserve"> </w:t>
      </w:r>
      <w:r w:rsidR="0010213A">
        <w:rPr>
          <w:sz w:val="22"/>
          <w:szCs w:val="22"/>
        </w:rPr>
        <w:t xml:space="preserve">possession </w:t>
      </w:r>
      <w:r w:rsidRPr="000E394A" w:rsidR="00020400">
        <w:rPr>
          <w:sz w:val="22"/>
          <w:szCs w:val="22"/>
        </w:rPr>
        <w:t>as the device</w:t>
      </w:r>
      <w:r w:rsidRPr="000E394A" w:rsidR="00450B08">
        <w:rPr>
          <w:sz w:val="22"/>
          <w:szCs w:val="22"/>
        </w:rPr>
        <w:t xml:space="preserve"> </w:t>
      </w:r>
      <w:r w:rsidRPr="000E394A" w:rsidR="00020400">
        <w:rPr>
          <w:sz w:val="22"/>
          <w:szCs w:val="22"/>
        </w:rPr>
        <w:t>transmitting</w:t>
      </w:r>
      <w:r w:rsidRPr="000E394A">
        <w:rPr>
          <w:sz w:val="22"/>
          <w:szCs w:val="22"/>
        </w:rPr>
        <w:t xml:space="preserve"> on </w:t>
      </w:r>
      <w:r w:rsidRPr="000E394A" w:rsidR="00746187">
        <w:rPr>
          <w:sz w:val="22"/>
          <w:szCs w:val="22"/>
        </w:rPr>
        <w:t xml:space="preserve">frequency </w:t>
      </w:r>
      <w:r w:rsidRPr="000E394A" w:rsidR="00F323EE">
        <w:rPr>
          <w:sz w:val="22"/>
          <w:szCs w:val="22"/>
        </w:rPr>
        <w:t>470.4375 MHz</w:t>
      </w:r>
      <w:r w:rsidR="0026532B">
        <w:rPr>
          <w:sz w:val="22"/>
          <w:szCs w:val="22"/>
        </w:rPr>
        <w:t xml:space="preserve"> </w:t>
      </w:r>
      <w:r w:rsidR="003A2F14">
        <w:rPr>
          <w:sz w:val="22"/>
          <w:szCs w:val="22"/>
        </w:rPr>
        <w:t>and causing</w:t>
      </w:r>
      <w:r w:rsidRPr="000E394A" w:rsidR="00D47F59">
        <w:rPr>
          <w:sz w:val="22"/>
          <w:szCs w:val="22"/>
        </w:rPr>
        <w:t xml:space="preserve"> harmful interference to </w:t>
      </w:r>
      <w:r w:rsidR="003A2F14">
        <w:rPr>
          <w:sz w:val="22"/>
          <w:szCs w:val="22"/>
        </w:rPr>
        <w:t>Allegheny County’s</w:t>
      </w:r>
      <w:r w:rsidR="00634250">
        <w:rPr>
          <w:sz w:val="22"/>
          <w:szCs w:val="22"/>
        </w:rPr>
        <w:t xml:space="preserve"> </w:t>
      </w:r>
      <w:r w:rsidRPr="000E394A" w:rsidR="00D47F59">
        <w:rPr>
          <w:sz w:val="22"/>
          <w:szCs w:val="22"/>
        </w:rPr>
        <w:t>licensed public safety radio communications system</w:t>
      </w:r>
      <w:r w:rsidRPr="000E394A" w:rsidR="00191D5D">
        <w:rPr>
          <w:sz w:val="22"/>
          <w:szCs w:val="22"/>
        </w:rPr>
        <w:t>.</w:t>
      </w:r>
      <w:r w:rsidRPr="000E394A" w:rsidR="00574458">
        <w:rPr>
          <w:sz w:val="22"/>
          <w:szCs w:val="22"/>
        </w:rPr>
        <w:t xml:space="preserve"> </w:t>
      </w:r>
      <w:r w:rsidR="00C91789">
        <w:rPr>
          <w:sz w:val="22"/>
          <w:szCs w:val="22"/>
        </w:rPr>
        <w:t xml:space="preserve"> </w:t>
      </w:r>
      <w:r w:rsidRPr="000E394A" w:rsidR="00996CC2">
        <w:rPr>
          <w:sz w:val="22"/>
          <w:szCs w:val="22"/>
        </w:rPr>
        <w:t xml:space="preserve">Consequently, </w:t>
      </w:r>
      <w:r w:rsidR="00C527D7">
        <w:rPr>
          <w:sz w:val="22"/>
          <w:szCs w:val="22"/>
        </w:rPr>
        <w:t>Knudtson’s operation of his device</w:t>
      </w:r>
      <w:r w:rsidRPr="000E394A" w:rsidR="00DE0D1D">
        <w:rPr>
          <w:sz w:val="22"/>
          <w:szCs w:val="22"/>
        </w:rPr>
        <w:t xml:space="preserve"> was </w:t>
      </w:r>
      <w:r w:rsidRPr="000E394A" w:rsidR="00574458">
        <w:rPr>
          <w:sz w:val="22"/>
          <w:szCs w:val="22"/>
        </w:rPr>
        <w:t xml:space="preserve">in violation of </w:t>
      </w:r>
      <w:r w:rsidR="00634250">
        <w:rPr>
          <w:sz w:val="22"/>
          <w:szCs w:val="22"/>
        </w:rPr>
        <w:t xml:space="preserve">section 333 of the Act and section </w:t>
      </w:r>
      <w:r w:rsidRPr="000E394A" w:rsidR="000D41E6">
        <w:rPr>
          <w:sz w:val="22"/>
          <w:szCs w:val="22"/>
        </w:rPr>
        <w:t xml:space="preserve">97.101(d) of the </w:t>
      </w:r>
      <w:r w:rsidR="00F74EC4">
        <w:rPr>
          <w:sz w:val="22"/>
          <w:szCs w:val="22"/>
        </w:rPr>
        <w:t>Rules</w:t>
      </w:r>
      <w:r w:rsidRPr="000E394A" w:rsidR="00D47F59">
        <w:rPr>
          <w:sz w:val="22"/>
          <w:szCs w:val="22"/>
        </w:rPr>
        <w:t>.</w:t>
      </w:r>
      <w:r>
        <w:rPr>
          <w:rStyle w:val="FootnoteReference"/>
          <w:sz w:val="22"/>
          <w:szCs w:val="22"/>
        </w:rPr>
        <w:footnoteReference w:id="12"/>
      </w:r>
      <w:r w:rsidRPr="008952F8" w:rsidR="00D47F59">
        <w:rPr>
          <w:sz w:val="22"/>
          <w:szCs w:val="22"/>
        </w:rPr>
        <w:t xml:space="preserve">  </w:t>
      </w:r>
    </w:p>
    <w:p w:rsidR="001C5FF8" w:rsidP="001C5FF8" w14:paraId="53B8E705" w14:textId="48D84B8C">
      <w:pPr>
        <w:spacing w:after="240"/>
        <w:rPr>
          <w:sz w:val="22"/>
          <w:szCs w:val="22"/>
        </w:rPr>
      </w:pPr>
      <w:r w:rsidRPr="000E394A">
        <w:rPr>
          <w:sz w:val="22"/>
          <w:szCs w:val="22"/>
        </w:rPr>
        <w:t xml:space="preserve">You are hereby warned that operation of radio transmitting equipment without a valid radio station authorization </w:t>
      </w:r>
      <w:r w:rsidRPr="000E394A" w:rsidR="00A133B2">
        <w:rPr>
          <w:sz w:val="22"/>
          <w:szCs w:val="22"/>
        </w:rPr>
        <w:t xml:space="preserve">and that causes harmful interference </w:t>
      </w:r>
      <w:r w:rsidRPr="000E394A">
        <w:rPr>
          <w:sz w:val="22"/>
          <w:szCs w:val="22"/>
        </w:rPr>
        <w:t xml:space="preserve">constitutes a violation of the Federal laws cited above and could subject the operator to severe penalties, including, but not limited to, substantial monetary fines, </w:t>
      </w:r>
      <w:r w:rsidRPr="000E394A">
        <w:rPr>
          <w:i/>
          <w:iCs/>
          <w:sz w:val="22"/>
          <w:szCs w:val="22"/>
        </w:rPr>
        <w:t>in rem</w:t>
      </w:r>
      <w:r w:rsidRPr="000E394A">
        <w:rPr>
          <w:sz w:val="22"/>
          <w:szCs w:val="22"/>
        </w:rPr>
        <w:t xml:space="preserve"> arrest action against the offending radio equipment, and criminal sanctions includ</w:t>
      </w:r>
      <w:r w:rsidRPr="000E394A" w:rsidR="00CD7148">
        <w:rPr>
          <w:sz w:val="22"/>
          <w:szCs w:val="22"/>
        </w:rPr>
        <w:t>ing</w:t>
      </w:r>
      <w:r w:rsidRPr="000E394A">
        <w:rPr>
          <w:sz w:val="22"/>
          <w:szCs w:val="22"/>
        </w:rPr>
        <w:t xml:space="preserve"> imprisonment.</w:t>
      </w:r>
      <w:r>
        <w:rPr>
          <w:rStyle w:val="FootnoteReference"/>
          <w:sz w:val="22"/>
          <w:szCs w:val="22"/>
        </w:rPr>
        <w:footnoteReference w:id="13"/>
      </w:r>
      <w:r w:rsidRPr="008952F8" w:rsidR="00D74820">
        <w:rPr>
          <w:sz w:val="22"/>
          <w:szCs w:val="22"/>
        </w:rPr>
        <w:t xml:space="preserve">  </w:t>
      </w:r>
      <w:r w:rsidRPr="008952F8">
        <w:rPr>
          <w:sz w:val="22"/>
          <w:szCs w:val="22"/>
        </w:rPr>
        <w:t>Because unlicensed operation creates a danger of interference to important radio communications services and may subject the operator to severe penalties, this letter emphasizes the importance of complying strictly with these legal requirements.</w:t>
      </w:r>
      <w:r>
        <w:rPr>
          <w:rStyle w:val="FootnoteReference"/>
          <w:sz w:val="22"/>
          <w:szCs w:val="22"/>
        </w:rPr>
        <w:footnoteReference w:id="14"/>
      </w:r>
      <w:r w:rsidRPr="001C5FF8">
        <w:rPr>
          <w:sz w:val="22"/>
          <w:szCs w:val="22"/>
        </w:rPr>
        <w:t xml:space="preserve"> </w:t>
      </w:r>
    </w:p>
    <w:p w:rsidR="00DB44F5" w:rsidP="000E394A" w14:paraId="629A0367" w14:textId="4086AC14">
      <w:pPr>
        <w:spacing w:after="240"/>
        <w:rPr>
          <w:b/>
          <w:sz w:val="22"/>
          <w:szCs w:val="22"/>
        </w:rPr>
      </w:pPr>
      <w:r w:rsidRPr="00B341C7">
        <w:rPr>
          <w:b/>
          <w:sz w:val="22"/>
          <w:szCs w:val="22"/>
        </w:rPr>
        <w:t xml:space="preserve">UNAUTHORIZED OPERATION OF THIS RADIO </w:t>
      </w:r>
      <w:r w:rsidR="00167791">
        <w:rPr>
          <w:b/>
          <w:sz w:val="22"/>
          <w:szCs w:val="22"/>
        </w:rPr>
        <w:t>STATION</w:t>
      </w:r>
      <w:r w:rsidRPr="00B341C7">
        <w:rPr>
          <w:b/>
          <w:sz w:val="22"/>
          <w:szCs w:val="22"/>
        </w:rPr>
        <w:t xml:space="preserve"> AND ASSOCIATED HARMFUL INTERFERENCE MUST </w:t>
      </w:r>
      <w:r w:rsidR="00167791">
        <w:rPr>
          <w:b/>
          <w:sz w:val="22"/>
          <w:szCs w:val="22"/>
        </w:rPr>
        <w:t>BE DISCONTINUED IMMEDIATELY</w:t>
      </w:r>
      <w:r w:rsidRPr="00B341C7">
        <w:rPr>
          <w:b/>
          <w:sz w:val="22"/>
          <w:szCs w:val="22"/>
        </w:rPr>
        <w:t xml:space="preserve"> AND MUST NOT RESUME</w:t>
      </w:r>
      <w:r>
        <w:rPr>
          <w:b/>
          <w:sz w:val="22"/>
          <w:szCs w:val="22"/>
        </w:rPr>
        <w:t>.</w:t>
      </w:r>
    </w:p>
    <w:p w:rsidR="001C5FF8" w:rsidRPr="00DB44F5" w:rsidP="001C5FF8" w14:paraId="0E1A97B0" w14:textId="6285744C">
      <w:pPr>
        <w:spacing w:after="240"/>
        <w:rPr>
          <w:b/>
          <w:sz w:val="22"/>
          <w:szCs w:val="22"/>
        </w:rPr>
      </w:pPr>
      <w:r w:rsidRPr="001C5FF8">
        <w:rPr>
          <w:sz w:val="22"/>
          <w:szCs w:val="22"/>
        </w:rPr>
        <w:t>You have ten (10) days from the date of this notice to respond describ</w:t>
      </w:r>
      <w:r w:rsidR="00BA09B8">
        <w:rPr>
          <w:sz w:val="22"/>
          <w:szCs w:val="22"/>
        </w:rPr>
        <w:t>ing</w:t>
      </w:r>
      <w:r w:rsidRPr="001C5FF8">
        <w:rPr>
          <w:sz w:val="22"/>
          <w:szCs w:val="22"/>
        </w:rPr>
        <w:t xml:space="preserve"> the steps you are taking to avoid operating on unauthorized frequencies</w:t>
      </w:r>
      <w:r w:rsidR="00DD12CE">
        <w:rPr>
          <w:sz w:val="22"/>
          <w:szCs w:val="22"/>
        </w:rPr>
        <w:t xml:space="preserve"> </w:t>
      </w:r>
      <w:r w:rsidRPr="001C5FF8">
        <w:rPr>
          <w:sz w:val="22"/>
          <w:szCs w:val="22"/>
        </w:rPr>
        <w:t xml:space="preserve">and preventing future interference.  Your response should be sent </w:t>
      </w:r>
      <w:r w:rsidRPr="001C5FF8">
        <w:rPr>
          <w:sz w:val="22"/>
          <w:szCs w:val="22"/>
        </w:rPr>
        <w:t>to the address in the letterhead and reference the listed case number.  Under the Privacy Act of 1974,</w:t>
      </w:r>
      <w:r>
        <w:rPr>
          <w:rStyle w:val="FootnoteReference"/>
          <w:sz w:val="22"/>
          <w:szCs w:val="22"/>
        </w:rPr>
        <w:footnoteReference w:id="15"/>
      </w:r>
      <w:r w:rsidRPr="001C5FF8">
        <w:rPr>
          <w:sz w:val="22"/>
          <w:szCs w:val="22"/>
        </w:rPr>
        <w:t xml:space="preserve"> we are informing you that the Commission’s staff will use all relevant material information before it to determine what, if any, enforcement action is required to ensure your compliance with </w:t>
      </w:r>
      <w:r w:rsidR="00F74EC4">
        <w:rPr>
          <w:sz w:val="22"/>
          <w:szCs w:val="22"/>
        </w:rPr>
        <w:t>Rules</w:t>
      </w:r>
      <w:r w:rsidRPr="001C5FF8">
        <w:rPr>
          <w:sz w:val="22"/>
          <w:szCs w:val="22"/>
        </w:rPr>
        <w:t>.  This will include any information that you disclose in your reply.</w:t>
      </w:r>
    </w:p>
    <w:p w:rsidR="001C5FF8" w:rsidRPr="001C5FF8" w:rsidP="001C5FF8" w14:paraId="20E3FC8C" w14:textId="77777777">
      <w:pPr>
        <w:rPr>
          <w:sz w:val="22"/>
          <w:szCs w:val="22"/>
        </w:rPr>
      </w:pPr>
      <w:r w:rsidRPr="001C5FF8">
        <w:rPr>
          <w:sz w:val="22"/>
          <w:szCs w:val="22"/>
        </w:rPr>
        <w:t>You may contact this office if you have any questions.</w:t>
      </w:r>
    </w:p>
    <w:p w:rsidR="001C5FF8" w:rsidP="001C5FF8" w14:paraId="655C43A0" w14:textId="7CEFA53B">
      <w:pPr>
        <w:rPr>
          <w:sz w:val="22"/>
          <w:szCs w:val="22"/>
        </w:rPr>
      </w:pPr>
    </w:p>
    <w:p w:rsidR="00DD12CE" w:rsidP="001C5FF8" w14:paraId="10A2BE13" w14:textId="4E629945">
      <w:pPr>
        <w:rPr>
          <w:sz w:val="22"/>
          <w:szCs w:val="22"/>
        </w:rPr>
      </w:pPr>
    </w:p>
    <w:p w:rsidR="00DD12CE" w:rsidRPr="001C5FF8" w:rsidP="001C5FF8" w14:paraId="379ED903" w14:textId="77777777">
      <w:pPr>
        <w:rPr>
          <w:sz w:val="22"/>
          <w:szCs w:val="22"/>
        </w:rPr>
      </w:pPr>
    </w:p>
    <w:p w:rsidR="001C5FF8" w:rsidP="001C5FF8" w14:paraId="6266FD44" w14:textId="72D38492">
      <w:pPr>
        <w:rPr>
          <w:sz w:val="22"/>
          <w:szCs w:val="22"/>
        </w:rPr>
      </w:pPr>
    </w:p>
    <w:p w:rsidR="00DB44F5" w:rsidRPr="00F33831" w:rsidP="00DB44F5" w14:paraId="6C4A8FC2" w14:textId="5453FF85">
      <w:pPr>
        <w:rPr>
          <w:sz w:val="22"/>
          <w:szCs w:val="22"/>
        </w:rPr>
      </w:pPr>
      <w:r>
        <w:rPr>
          <w:sz w:val="22"/>
          <w:szCs w:val="22"/>
        </w:rPr>
        <w:t>David Dombrowski</w:t>
      </w:r>
    </w:p>
    <w:p w:rsidR="00DB44F5" w:rsidRPr="00F33831" w:rsidP="00DB44F5" w14:paraId="037A054F" w14:textId="6B88540C">
      <w:pPr>
        <w:rPr>
          <w:sz w:val="22"/>
          <w:szCs w:val="22"/>
        </w:rPr>
      </w:pPr>
      <w:r w:rsidRPr="00F33831">
        <w:rPr>
          <w:sz w:val="22"/>
          <w:szCs w:val="22"/>
        </w:rPr>
        <w:t xml:space="preserve">Regional Director, Region </w:t>
      </w:r>
      <w:r w:rsidR="00F55E0C">
        <w:rPr>
          <w:sz w:val="22"/>
          <w:szCs w:val="22"/>
        </w:rPr>
        <w:t>One</w:t>
      </w:r>
    </w:p>
    <w:p w:rsidR="00DB44F5" w:rsidRPr="00F33831" w:rsidP="00DB44F5" w14:paraId="7B2A56AD" w14:textId="77777777">
      <w:pPr>
        <w:rPr>
          <w:sz w:val="22"/>
          <w:szCs w:val="22"/>
        </w:rPr>
      </w:pPr>
      <w:r w:rsidRPr="00F33831">
        <w:rPr>
          <w:sz w:val="22"/>
          <w:szCs w:val="22"/>
        </w:rPr>
        <w:t>Enforcement Bureau</w:t>
      </w:r>
    </w:p>
    <w:p w:rsidR="00DB44F5" w:rsidRPr="00F33831" w:rsidP="00DB44F5" w14:paraId="224C26C8" w14:textId="77777777">
      <w:pPr>
        <w:rPr>
          <w:sz w:val="22"/>
          <w:szCs w:val="22"/>
        </w:rPr>
      </w:pPr>
    </w:p>
    <w:p w:rsidR="00DB44F5" w:rsidRPr="00F33831" w:rsidP="00DB44F5" w14:paraId="5E788AEA" w14:textId="77777777">
      <w:pPr>
        <w:rPr>
          <w:sz w:val="22"/>
          <w:szCs w:val="22"/>
        </w:rPr>
      </w:pPr>
    </w:p>
    <w:p w:rsidR="00DB44F5" w:rsidRPr="00F33831" w:rsidP="00DB44F5" w14:paraId="51761F0E" w14:textId="77777777">
      <w:pPr>
        <w:rPr>
          <w:sz w:val="22"/>
          <w:szCs w:val="22"/>
        </w:rPr>
      </w:pPr>
      <w:r w:rsidRPr="00F33831">
        <w:rPr>
          <w:sz w:val="22"/>
          <w:szCs w:val="22"/>
        </w:rPr>
        <w:t>Enclosures</w:t>
      </w:r>
    </w:p>
    <w:p w:rsidR="00DB44F5" w:rsidRPr="00F33831" w:rsidP="00F33831" w14:paraId="3B923314" w14:textId="77777777">
      <w:pPr>
        <w:suppressAutoHyphens/>
        <w:ind w:firstLine="720"/>
        <w:rPr>
          <w:sz w:val="22"/>
          <w:szCs w:val="22"/>
        </w:rPr>
      </w:pPr>
      <w:r w:rsidRPr="00F33831">
        <w:rPr>
          <w:sz w:val="22"/>
          <w:szCs w:val="22"/>
        </w:rPr>
        <w:t>Excerpts from the Communications Act of 1934, As Amended</w:t>
      </w:r>
    </w:p>
    <w:p w:rsidR="00DB44F5" w:rsidRPr="00F33831" w:rsidP="00F33831" w14:paraId="72BE5BAE" w14:textId="13326C84">
      <w:pPr>
        <w:rPr>
          <w:sz w:val="22"/>
          <w:szCs w:val="22"/>
        </w:rPr>
      </w:pPr>
      <w:r w:rsidRPr="00F33831">
        <w:rPr>
          <w:sz w:val="22"/>
          <w:szCs w:val="22"/>
        </w:rPr>
        <w:tab/>
      </w:r>
    </w:p>
    <w:p w:rsidR="00DB44F5" w:rsidRPr="001C5FF8" w:rsidP="001C5FF8" w14:paraId="3791B7F2" w14:textId="77777777">
      <w:pPr>
        <w:rPr>
          <w:sz w:val="22"/>
          <w:szCs w:val="22"/>
        </w:rPr>
      </w:pPr>
    </w:p>
    <w:sectPr>
      <w:headerReference w:type="default" r:id="rId5"/>
      <w:footerReference w:type="default" r:id="rId6"/>
      <w:headerReference w:type="first" r:id="rId7"/>
      <w:footerReference w:type="first" r:id="rId8"/>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FEC6D6D" w14:textId="77777777" w:rsidTr="03839947">
      <w:tblPrEx>
        <w:tblW w:w="0" w:type="auto"/>
        <w:tblLayout w:type="fixed"/>
        <w:tblLook w:val="06A0"/>
      </w:tblPrEx>
      <w:tc>
        <w:tcPr>
          <w:tcW w:w="3120" w:type="dxa"/>
        </w:tcPr>
        <w:p w:rsidR="03839947" w:rsidP="03839947" w14:paraId="35F4D73F" w14:textId="4E0E37E8">
          <w:pPr>
            <w:pStyle w:val="Header"/>
            <w:ind w:left="-115"/>
          </w:pPr>
        </w:p>
      </w:tc>
      <w:tc>
        <w:tcPr>
          <w:tcW w:w="3120" w:type="dxa"/>
        </w:tcPr>
        <w:p w:rsidR="03839947" w:rsidP="03839947" w14:paraId="1205E50A" w14:textId="58677925">
          <w:pPr>
            <w:pStyle w:val="Header"/>
            <w:jc w:val="center"/>
          </w:pPr>
        </w:p>
      </w:tc>
      <w:tc>
        <w:tcPr>
          <w:tcW w:w="3120" w:type="dxa"/>
        </w:tcPr>
        <w:p w:rsidR="03839947" w:rsidP="03839947" w14:paraId="62A507F2" w14:textId="7728A6AF">
          <w:pPr>
            <w:pStyle w:val="Header"/>
            <w:ind w:right="-115"/>
            <w:jc w:val="right"/>
          </w:pPr>
        </w:p>
      </w:tc>
    </w:tr>
  </w:tbl>
  <w:p w:rsidR="03839947" w:rsidP="03839947" w14:paraId="094D5E05" w14:textId="6FCF5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02F5E23" w14:textId="77777777" w:rsidTr="03839947">
      <w:tblPrEx>
        <w:tblW w:w="0" w:type="auto"/>
        <w:tblLayout w:type="fixed"/>
        <w:tblLook w:val="06A0"/>
      </w:tblPrEx>
      <w:tc>
        <w:tcPr>
          <w:tcW w:w="3120" w:type="dxa"/>
        </w:tcPr>
        <w:p w:rsidR="03839947" w:rsidP="03839947" w14:paraId="57F3B953" w14:textId="2F074FD2">
          <w:pPr>
            <w:pStyle w:val="Header"/>
            <w:ind w:left="-115"/>
          </w:pPr>
        </w:p>
      </w:tc>
      <w:tc>
        <w:tcPr>
          <w:tcW w:w="3120" w:type="dxa"/>
        </w:tcPr>
        <w:p w:rsidR="03839947" w:rsidP="03839947" w14:paraId="41129BE6" w14:textId="050C63B3">
          <w:pPr>
            <w:pStyle w:val="Header"/>
            <w:jc w:val="center"/>
          </w:pPr>
        </w:p>
      </w:tc>
      <w:tc>
        <w:tcPr>
          <w:tcW w:w="3120" w:type="dxa"/>
        </w:tcPr>
        <w:p w:rsidR="03839947" w:rsidP="03839947" w14:paraId="5844D7EF" w14:textId="7E067218">
          <w:pPr>
            <w:pStyle w:val="Header"/>
            <w:ind w:right="-115"/>
            <w:jc w:val="right"/>
          </w:pPr>
        </w:p>
      </w:tc>
    </w:tr>
  </w:tbl>
  <w:p w:rsidR="03839947" w:rsidP="03839947" w14:paraId="5997D2A9" w14:textId="032FA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5621" w14:paraId="7365A687" w14:textId="77777777">
      <w:r>
        <w:separator/>
      </w:r>
    </w:p>
  </w:footnote>
  <w:footnote w:type="continuationSeparator" w:id="1">
    <w:p w:rsidR="00675621" w14:paraId="6339FF39" w14:textId="77777777">
      <w:r>
        <w:continuationSeparator/>
      </w:r>
    </w:p>
  </w:footnote>
  <w:footnote w:id="2">
    <w:p w:rsidR="001C5FF8" w:rsidP="00C91789" w14:paraId="039577C2" w14:textId="292F0DB8">
      <w:pPr>
        <w:pStyle w:val="FootnoteText"/>
        <w:spacing w:after="120"/>
      </w:pPr>
      <w:r>
        <w:rPr>
          <w:rStyle w:val="FootnoteReference"/>
        </w:rPr>
        <w:footnoteRef/>
      </w:r>
      <w:r>
        <w:t xml:space="preserve"> 47 U.S.C. § 301</w:t>
      </w:r>
      <w:r w:rsidR="00381DDE">
        <w:t xml:space="preserve">; </w:t>
      </w:r>
      <w:r w:rsidRPr="007D195A" w:rsidR="00381DDE">
        <w:t>47 CFR § 1.903(a).</w:t>
      </w:r>
    </w:p>
  </w:footnote>
  <w:footnote w:id="3">
    <w:p w:rsidR="001C5FF8" w:rsidP="00C91789" w14:paraId="24F77F7E" w14:textId="7DCAA45B">
      <w:pPr>
        <w:pStyle w:val="FootnoteText"/>
        <w:spacing w:after="120"/>
      </w:pPr>
      <w:r>
        <w:rPr>
          <w:rStyle w:val="FootnoteReference"/>
        </w:rPr>
        <w:footnoteRef/>
      </w:r>
      <w:r>
        <w:t xml:space="preserve"> 47 CFR §§ 15.1, </w:t>
      </w:r>
      <w:r w:rsidRPr="001C5FF8">
        <w:rPr>
          <w:i/>
        </w:rPr>
        <w:t>et seq.</w:t>
      </w:r>
    </w:p>
  </w:footnote>
  <w:footnote w:id="4">
    <w:p w:rsidR="006047CF" w:rsidP="00C91789" w14:paraId="3EE6BA15" w14:textId="77777777">
      <w:pPr>
        <w:pStyle w:val="FootnoteText"/>
        <w:spacing w:after="120"/>
      </w:pPr>
      <w:r>
        <w:rPr>
          <w:rStyle w:val="FootnoteReference"/>
        </w:rPr>
        <w:footnoteRef/>
      </w:r>
      <w:r>
        <w:t xml:space="preserve"> 47 CFR § 15.1(b).</w:t>
      </w:r>
    </w:p>
  </w:footnote>
  <w:footnote w:id="5">
    <w:p w:rsidR="006047CF" w:rsidRPr="009853CF" w:rsidP="00C91789" w14:paraId="347D8063" w14:textId="77777777">
      <w:pPr>
        <w:pStyle w:val="FootnoteText"/>
        <w:spacing w:after="120"/>
      </w:pPr>
      <w:r>
        <w:rPr>
          <w:rStyle w:val="FootnoteReference"/>
        </w:rPr>
        <w:footnoteRef/>
      </w:r>
      <w:r>
        <w:t xml:space="preserve"> 47 </w:t>
      </w:r>
      <w:r w:rsidRPr="009853CF">
        <w:t>CFR § 15.201(b).</w:t>
      </w:r>
    </w:p>
  </w:footnote>
  <w:footnote w:id="6">
    <w:p w:rsidR="00373FF7" w:rsidP="00BE2C02" w14:paraId="6CA38373" w14:textId="52BC75B4">
      <w:pPr>
        <w:pStyle w:val="FootnoteText"/>
        <w:spacing w:after="120"/>
      </w:pPr>
      <w:r w:rsidRPr="009853CF">
        <w:rPr>
          <w:rStyle w:val="FootnoteReference"/>
        </w:rPr>
        <w:footnoteRef/>
      </w:r>
      <w:r w:rsidRPr="009853CF">
        <w:t xml:space="preserve"> 47 CFR § 97.301(a).</w:t>
      </w:r>
      <w:r w:rsidRPr="009853CF" w:rsidR="009853CF">
        <w:t xml:space="preserve">  </w:t>
      </w:r>
    </w:p>
  </w:footnote>
  <w:footnote w:id="7">
    <w:p w:rsidR="00FF760B" w:rsidP="00BE2C02" w14:paraId="216997CA" w14:textId="22FC6F0E">
      <w:pPr>
        <w:pStyle w:val="FootnoteText"/>
        <w:spacing w:after="120"/>
      </w:pPr>
      <w:r>
        <w:rPr>
          <w:rStyle w:val="FootnoteReference"/>
        </w:rPr>
        <w:footnoteRef/>
      </w:r>
      <w:r>
        <w:t xml:space="preserve"> </w:t>
      </w:r>
      <w:r w:rsidRPr="00373FF7">
        <w:t>Knudtson’s handheld radio was not certified for use as a part 15 device</w:t>
      </w:r>
      <w:r w:rsidR="00467A0C">
        <w:t xml:space="preserve">, </w:t>
      </w:r>
      <w:r w:rsidRPr="00373FF7">
        <w:t>thus it did not qualify for an exception to the Section 1.903(a) licensing requirement</w:t>
      </w:r>
      <w:r>
        <w:t xml:space="preserve">.  Knudtson’s radio was certified as a part 90 device, rated for a power output far above part 15 power limits.  </w:t>
      </w:r>
      <w:r w:rsidRPr="005C38AA">
        <w:rPr>
          <w:i/>
          <w:iCs/>
        </w:rPr>
        <w:t>See</w:t>
      </w:r>
      <w:r>
        <w:t xml:space="preserve"> FCC Office of Engineering Technology, Grant of Equipment Authorization for the </w:t>
      </w:r>
      <w:r w:rsidRPr="00373FF7">
        <w:t>BTech UV-Pro</w:t>
      </w:r>
      <w:r>
        <w:t>, April 30, 2024 (on file in EB-FIELDNER-25-00039052).</w:t>
      </w:r>
    </w:p>
  </w:footnote>
  <w:footnote w:id="8">
    <w:p w:rsidR="00034607" w:rsidP="00BE2C02" w14:paraId="2634A3D3" w14:textId="34CB80D8">
      <w:pPr>
        <w:pStyle w:val="FootnoteText"/>
        <w:spacing w:after="120"/>
      </w:pPr>
      <w:r>
        <w:rPr>
          <w:rStyle w:val="FootnoteReference"/>
        </w:rPr>
        <w:footnoteRef/>
      </w:r>
      <w:r>
        <w:t xml:space="preserve"> </w:t>
      </w:r>
      <w:r w:rsidRPr="00F33831">
        <w:t>47 U.S.C. § 301</w:t>
      </w:r>
      <w:r w:rsidR="00BB74C1">
        <w:t>.</w:t>
      </w:r>
    </w:p>
  </w:footnote>
  <w:footnote w:id="9">
    <w:p w:rsidR="00AD47C3" w:rsidP="00BE2C02" w14:paraId="0A1A787C" w14:textId="0148994D">
      <w:pPr>
        <w:pStyle w:val="FootnoteText"/>
        <w:spacing w:after="120"/>
      </w:pPr>
      <w:r>
        <w:rPr>
          <w:rStyle w:val="FootnoteReference"/>
        </w:rPr>
        <w:footnoteRef/>
      </w:r>
      <w:r>
        <w:t xml:space="preserve"> 47 CFR §</w:t>
      </w:r>
      <w:r w:rsidR="00C91789">
        <w:t>§</w:t>
      </w:r>
      <w:r>
        <w:t xml:space="preserve"> 1.903(a)</w:t>
      </w:r>
      <w:r w:rsidR="00C91789">
        <w:t xml:space="preserve">, </w:t>
      </w:r>
      <w:r w:rsidRPr="00C91789" w:rsidR="00C91789">
        <w:t>97.301(a)</w:t>
      </w:r>
      <w:r>
        <w:t>.</w:t>
      </w:r>
      <w:r w:rsidRPr="00373FF7" w:rsidR="00373FF7">
        <w:t xml:space="preserve"> </w:t>
      </w:r>
      <w:r w:rsidR="00C91789">
        <w:t xml:space="preserve"> </w:t>
      </w:r>
      <w:r w:rsidRPr="00FF760B" w:rsidR="00FF760B">
        <w:t>Section 97.103(a) of the Rules states that an amateur licensee “is responsible for the proper operation of the station in accordance with the Rules.</w:t>
      </w:r>
      <w:r w:rsidR="00FF760B">
        <w:t xml:space="preserve"> 47 CFR § 97.103(a).  </w:t>
      </w:r>
      <w:r w:rsidRPr="005A3F09" w:rsidR="005A3F09">
        <w:t>Therefore, because Knudtson’s operation violated section</w:t>
      </w:r>
      <w:r w:rsidR="005A3F09">
        <w:t xml:space="preserve">s </w:t>
      </w:r>
      <w:r w:rsidRPr="005A3F09" w:rsidR="005A3F09">
        <w:t>97.301(a)</w:t>
      </w:r>
      <w:r w:rsidR="00BE2C02">
        <w:t xml:space="preserve"> and</w:t>
      </w:r>
      <w:r w:rsidRPr="005A3F09" w:rsidR="005A3F09">
        <w:t xml:space="preserve"> 1.903(a) of the Rules, he also violated </w:t>
      </w:r>
      <w:r w:rsidRPr="005A3F09" w:rsidR="005A3F09">
        <w:t>section  of</w:t>
      </w:r>
      <w:r w:rsidRPr="005A3F09" w:rsidR="005A3F09">
        <w:t xml:space="preserve"> 97.103(a) of the Rules.  </w:t>
      </w:r>
    </w:p>
  </w:footnote>
  <w:footnote w:id="10">
    <w:p w:rsidR="00C91789" w:rsidP="00BE2C02" w14:paraId="14B2D02B" w14:textId="7F98829F">
      <w:pPr>
        <w:pStyle w:val="FootnoteText"/>
        <w:spacing w:after="120"/>
      </w:pPr>
      <w:r>
        <w:rPr>
          <w:rStyle w:val="FootnoteReference"/>
        </w:rPr>
        <w:footnoteRef/>
      </w:r>
      <w:r>
        <w:t xml:space="preserve"> 47 U.S.C. § 333</w:t>
      </w:r>
    </w:p>
  </w:footnote>
  <w:footnote w:id="11">
    <w:p w:rsidR="00034607" w:rsidP="00BE2C02" w14:paraId="035F463C" w14:textId="07BF2246">
      <w:pPr>
        <w:pStyle w:val="FootnoteText"/>
        <w:spacing w:after="120"/>
      </w:pPr>
      <w:r>
        <w:rPr>
          <w:rStyle w:val="FootnoteReference"/>
        </w:rPr>
        <w:footnoteRef/>
      </w:r>
      <w:r>
        <w:t xml:space="preserve"> 47 CFR § 97.101(d).</w:t>
      </w:r>
    </w:p>
  </w:footnote>
  <w:footnote w:id="12">
    <w:p w:rsidR="00DE0D1D" w:rsidRPr="00DE0D1D" w:rsidP="00BE2C02" w14:paraId="2AEC3554" w14:textId="4A927D31">
      <w:pPr>
        <w:pStyle w:val="FootnoteText"/>
        <w:spacing w:after="120"/>
        <w:rPr>
          <w:i/>
          <w:iCs/>
        </w:rPr>
      </w:pPr>
      <w:r>
        <w:rPr>
          <w:rStyle w:val="FootnoteReference"/>
        </w:rPr>
        <w:footnoteRef/>
      </w:r>
      <w:r>
        <w:t xml:space="preserve"> </w:t>
      </w:r>
      <w:r>
        <w:rPr>
          <w:i/>
          <w:iCs/>
        </w:rPr>
        <w:t>Id.</w:t>
      </w:r>
    </w:p>
  </w:footnote>
  <w:footnote w:id="13">
    <w:p w:rsidR="00034607" w:rsidRPr="004477F5" w:rsidP="00BE2C02" w14:paraId="62BA3B14" w14:textId="70D9AF9E">
      <w:pPr>
        <w:pStyle w:val="FootnoteText"/>
        <w:spacing w:after="120"/>
      </w:pPr>
      <w:r>
        <w:rPr>
          <w:rStyle w:val="FootnoteReference"/>
        </w:rPr>
        <w:footnoteRef/>
      </w:r>
      <w:r>
        <w:t xml:space="preserve">  </w:t>
      </w:r>
      <w:r>
        <w:rPr>
          <w:i/>
          <w:iCs/>
        </w:rPr>
        <w:t>See</w:t>
      </w:r>
      <w:r>
        <w:t xml:space="preserve"> 47 U.S.C. § 401, 501, 503 and 510.</w:t>
      </w:r>
    </w:p>
  </w:footnote>
  <w:footnote w:id="14">
    <w:p w:rsidR="001C5FF8" w:rsidP="00BE2C02" w14:paraId="4C5E79F4" w14:textId="6C7C9F3B">
      <w:pPr>
        <w:pStyle w:val="FootnoteText"/>
        <w:spacing w:after="120"/>
      </w:pPr>
      <w:r>
        <w:rPr>
          <w:rStyle w:val="FootnoteReference"/>
        </w:rPr>
        <w:footnoteRef/>
      </w:r>
      <w:r>
        <w:t xml:space="preserve"> </w:t>
      </w:r>
      <w:r w:rsidRPr="00F506D1">
        <w:rPr>
          <w:i/>
        </w:rPr>
        <w:t>See</w:t>
      </w:r>
      <w:r>
        <w:t xml:space="preserve"> </w:t>
      </w:r>
      <w:r w:rsidRPr="00295AAE">
        <w:t>47 U.S.C. §§ 401, 501, 503 and 510</w:t>
      </w:r>
      <w:r>
        <w:t>.</w:t>
      </w:r>
    </w:p>
    <w:p w:rsidR="0073426D" w:rsidP="00BE2C02" w14:paraId="52381679" w14:textId="77777777">
      <w:pPr>
        <w:pStyle w:val="FootnoteText"/>
        <w:spacing w:after="120"/>
      </w:pPr>
    </w:p>
  </w:footnote>
  <w:footnote w:id="15">
    <w:p w:rsidR="00DB44F5" w:rsidP="005C6A23" w14:paraId="72753E7E" w14:textId="39491B6E">
      <w:pPr>
        <w:pStyle w:val="FootnoteText"/>
      </w:pPr>
      <w:r>
        <w:rPr>
          <w:rStyle w:val="FootnoteReference"/>
        </w:rPr>
        <w:footnoteRef/>
      </w:r>
      <w:r>
        <w:t xml:space="preserve"> </w:t>
      </w:r>
      <w:r w:rsidRPr="00DB44F5">
        <w:t>5 U.S.C. § 552a(e)(3)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C20FFBD" w14:textId="77777777" w:rsidTr="03839947">
      <w:tblPrEx>
        <w:tblW w:w="0" w:type="auto"/>
        <w:tblLayout w:type="fixed"/>
        <w:tblLook w:val="06A0"/>
      </w:tblPrEx>
      <w:tc>
        <w:tcPr>
          <w:tcW w:w="3120" w:type="dxa"/>
        </w:tcPr>
        <w:p w:rsidR="03839947" w:rsidP="03839947" w14:paraId="554D93AB" w14:textId="4E18FCAF">
          <w:pPr>
            <w:pStyle w:val="Header"/>
            <w:ind w:left="-115"/>
          </w:pPr>
        </w:p>
      </w:tc>
      <w:tc>
        <w:tcPr>
          <w:tcW w:w="3120" w:type="dxa"/>
        </w:tcPr>
        <w:p w:rsidR="03839947" w:rsidP="03839947" w14:paraId="6929CEC6" w14:textId="16439D77">
          <w:pPr>
            <w:pStyle w:val="Header"/>
            <w:jc w:val="center"/>
          </w:pPr>
        </w:p>
      </w:tc>
      <w:tc>
        <w:tcPr>
          <w:tcW w:w="3120" w:type="dxa"/>
        </w:tcPr>
        <w:p w:rsidR="03839947" w:rsidP="03839947" w14:paraId="33AACF54" w14:textId="37691317">
          <w:pPr>
            <w:pStyle w:val="Header"/>
            <w:ind w:right="-115"/>
            <w:jc w:val="right"/>
          </w:pPr>
        </w:p>
      </w:tc>
    </w:tr>
  </w:tbl>
  <w:p w:rsidR="03839947" w:rsidP="03839947" w14:paraId="284C6E79" w14:textId="1CF06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4DB" w14:paraId="3F4F7276" w14:textId="6CFE8374">
    <w:pPr>
      <w:pStyle w:val="Header"/>
      <w:tabs>
        <w:tab w:val="clear" w:pos="4320"/>
        <w:tab w:val="clear" w:pos="8640"/>
      </w:tabs>
      <w:spacing w:before="360" w:line="228" w:lineRule="auto"/>
      <w:jc w:val="center"/>
    </w:pPr>
    <w:r>
      <w:rPr>
        <w:rFonts w:ascii="CG Times (W1)" w:hAnsi="CG Times (W1)"/>
        <w:noProof/>
        <w:sz w:val="28"/>
      </w:rPr>
      <w:drawing>
        <wp:anchor distT="0" distB="0" distL="114300" distR="114300" simplePos="0" relativeHeight="251658240" behindDoc="1" locked="0" layoutInCell="1" allowOverlap="1">
          <wp:simplePos x="0" y="0"/>
          <wp:positionH relativeFrom="margin">
            <wp:align>left</wp:align>
          </wp:positionH>
          <wp:positionV relativeFrom="page">
            <wp:posOffset>640080</wp:posOffset>
          </wp:positionV>
          <wp:extent cx="914400" cy="9144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c-seal-rgb-2020.sv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ascii="CG Times (W1)" w:hAnsi="CG Times (W1)"/>
        <w:sz w:val="28"/>
      </w:rPr>
      <w:t>Federal Communications Commission</w:t>
    </w:r>
  </w:p>
  <w:p w:rsidR="001C5FF8" w14:paraId="49C196B9" w14:textId="77777777">
    <w:pPr>
      <w:jc w:val="center"/>
      <w:rPr>
        <w:rFonts w:ascii="CG Times (W1)" w:hAnsi="CG Times (W1)"/>
        <w:sz w:val="28"/>
      </w:rPr>
    </w:pPr>
    <w:r>
      <w:rPr>
        <w:rFonts w:ascii="CG Times (W1)" w:hAnsi="CG Times (W1)"/>
        <w:sz w:val="28"/>
      </w:rPr>
      <w:t xml:space="preserve">Enforcement Bureau </w:t>
    </w:r>
  </w:p>
  <w:p w:rsidR="002B54DB" w:rsidRPr="001C5FF8" w14:paraId="65E6F28E" w14:textId="47C2C68D">
    <w:pPr>
      <w:jc w:val="center"/>
      <w:rPr>
        <w:rFonts w:ascii="CG Times (W1)" w:hAnsi="CG Times (W1)"/>
        <w:sz w:val="28"/>
      </w:rPr>
    </w:pPr>
    <w:r>
      <w:rPr>
        <w:rFonts w:ascii="CG Times (W1)" w:hAnsi="CG Times (W1)"/>
        <w:sz w:val="28"/>
      </w:rPr>
      <w:t xml:space="preserve">Region </w:t>
    </w:r>
    <w:r w:rsidR="00882D9A">
      <w:rPr>
        <w:rFonts w:ascii="CG Times (W1)" w:hAnsi="CG Times (W1)"/>
        <w:sz w:val="28"/>
      </w:rPr>
      <w:t>One</w:t>
    </w:r>
  </w:p>
  <w:p w:rsidR="001C5FF8" w14:paraId="24BB2CAE" w14:textId="22E56242">
    <w:pPr>
      <w:jc w:val="center"/>
    </w:pPr>
  </w:p>
  <w:p w:rsidR="001C5FF8" w:rsidP="001C5FF8" w14:paraId="1C1E99E2" w14:textId="46986693">
    <w:pPr>
      <w:jc w:val="center"/>
    </w:pPr>
    <w:r>
      <w:t>Region One</w:t>
    </w:r>
    <w:r>
      <w:t xml:space="preserve"> Regional Office</w:t>
    </w:r>
  </w:p>
  <w:p w:rsidR="00DC19B7" w:rsidP="001C5FF8" w14:paraId="1D7E8BD8" w14:textId="77777777">
    <w:pPr>
      <w:jc w:val="center"/>
    </w:pPr>
    <w:r>
      <w:t>9050 Junction Drive</w:t>
    </w:r>
  </w:p>
  <w:p w:rsidR="001C5FF8" w:rsidP="001C5FF8" w14:paraId="5D02236E" w14:textId="168A94C4">
    <w:pPr>
      <w:jc w:val="center"/>
    </w:pPr>
    <w:r>
      <w:t>Annapolis Junction</w:t>
    </w:r>
    <w:r w:rsidR="000E0CA4">
      <w:t>, M</w:t>
    </w:r>
    <w:r w:rsidR="00F82A15">
      <w:t>aryland</w:t>
    </w:r>
    <w:r w:rsidR="000E0CA4">
      <w:t xml:space="preserve"> 20701</w:t>
    </w:r>
  </w:p>
  <w:p w:rsidR="001C5FF8" w:rsidP="001C5FF8" w14:paraId="361612DF" w14:textId="1AA82854">
    <w:pPr>
      <w:jc w:val="center"/>
    </w:pPr>
    <w:r>
      <w:t>301-725-1996</w:t>
    </w:r>
  </w:p>
  <w:p w:rsidR="001C5FF8" w:rsidRPr="009014F9" w:rsidP="001C5FF8" w14:paraId="07DEBBAC" w14:textId="77777777">
    <w:pPr>
      <w:jc w:val="center"/>
    </w:pPr>
    <w:r>
      <w:t>field@fcc.gov</w:t>
    </w:r>
  </w:p>
  <w:p w:rsidR="001C5FF8" w:rsidP="001C5FF8" w14:paraId="06D273FA" w14:textId="77777777">
    <w:pPr>
      <w:pStyle w:val="Header"/>
      <w:tabs>
        <w:tab w:val="clear" w:pos="4320"/>
      </w:tabs>
      <w:jc w:val="center"/>
      <w:rPr>
        <w:sz w:val="22"/>
      </w:rPr>
    </w:pPr>
  </w:p>
  <w:p w:rsidR="002B54DB" w:rsidRPr="001C5FF8" w:rsidP="001C5FF8" w14:paraId="41E3C0BB" w14:textId="30068F01">
    <w:pPr>
      <w:pStyle w:val="Header"/>
      <w:tabs>
        <w:tab w:val="clear" w:pos="4320"/>
      </w:tabs>
      <w:jc w:val="center"/>
      <w:rPr>
        <w:sz w:val="22"/>
      </w:rPr>
    </w:pPr>
    <w:r>
      <w:rPr>
        <w:sz w:val="22"/>
      </w:rPr>
      <w:t>March 25,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275940"/>
    <w:multiLevelType w:val="hybridMultilevel"/>
    <w:tmpl w:val="CF48AD1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61182925"/>
    <w:multiLevelType w:val="multilevel"/>
    <w:tmpl w:val="5BE846AA"/>
    <w:lvl w:ilvl="0">
      <w:start w:val="1"/>
      <w:numFmt w:val="decimal"/>
      <w:pStyle w:val="ParaNum"/>
      <w:lvlText w:val="%1."/>
      <w:lvlJc w:val="left"/>
      <w:pPr>
        <w:tabs>
          <w:tab w:val="num" w:pos="1080"/>
        </w:tabs>
        <w:ind w:left="0" w:firstLine="72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71049330">
    <w:abstractNumId w:val="1"/>
  </w:num>
  <w:num w:numId="2" w16cid:durableId="146053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F8"/>
    <w:rsid w:val="00000982"/>
    <w:rsid w:val="00007261"/>
    <w:rsid w:val="000144FE"/>
    <w:rsid w:val="00020400"/>
    <w:rsid w:val="000209B3"/>
    <w:rsid w:val="00034607"/>
    <w:rsid w:val="00036B63"/>
    <w:rsid w:val="00042F96"/>
    <w:rsid w:val="00056B96"/>
    <w:rsid w:val="00060453"/>
    <w:rsid w:val="00061227"/>
    <w:rsid w:val="00064566"/>
    <w:rsid w:val="00080F49"/>
    <w:rsid w:val="000B07AB"/>
    <w:rsid w:val="000B16E3"/>
    <w:rsid w:val="000D41E6"/>
    <w:rsid w:val="000E0CA4"/>
    <w:rsid w:val="000E394A"/>
    <w:rsid w:val="000E4CF9"/>
    <w:rsid w:val="000E754A"/>
    <w:rsid w:val="000F16D0"/>
    <w:rsid w:val="000F30F5"/>
    <w:rsid w:val="00101400"/>
    <w:rsid w:val="0010213A"/>
    <w:rsid w:val="00146268"/>
    <w:rsid w:val="00167791"/>
    <w:rsid w:val="001717C5"/>
    <w:rsid w:val="00176468"/>
    <w:rsid w:val="001826AD"/>
    <w:rsid w:val="00191D5D"/>
    <w:rsid w:val="001A03AB"/>
    <w:rsid w:val="001A76B6"/>
    <w:rsid w:val="001A78A8"/>
    <w:rsid w:val="001B77B7"/>
    <w:rsid w:val="001C248E"/>
    <w:rsid w:val="001C270F"/>
    <w:rsid w:val="001C5FF8"/>
    <w:rsid w:val="001D3E5E"/>
    <w:rsid w:val="00204CE3"/>
    <w:rsid w:val="002073E8"/>
    <w:rsid w:val="00212BD6"/>
    <w:rsid w:val="00223942"/>
    <w:rsid w:val="002248FB"/>
    <w:rsid w:val="002312BC"/>
    <w:rsid w:val="00235F12"/>
    <w:rsid w:val="00252664"/>
    <w:rsid w:val="002536AA"/>
    <w:rsid w:val="002561B6"/>
    <w:rsid w:val="0026532B"/>
    <w:rsid w:val="002843DF"/>
    <w:rsid w:val="002853C2"/>
    <w:rsid w:val="002920C9"/>
    <w:rsid w:val="00295AAE"/>
    <w:rsid w:val="002B54DB"/>
    <w:rsid w:val="002C6125"/>
    <w:rsid w:val="00306EEA"/>
    <w:rsid w:val="00334AC0"/>
    <w:rsid w:val="00336224"/>
    <w:rsid w:val="00350E77"/>
    <w:rsid w:val="00352EDA"/>
    <w:rsid w:val="003607D7"/>
    <w:rsid w:val="00373FF7"/>
    <w:rsid w:val="00381DDE"/>
    <w:rsid w:val="003A2F14"/>
    <w:rsid w:val="003A3133"/>
    <w:rsid w:val="003A3AB8"/>
    <w:rsid w:val="003A4780"/>
    <w:rsid w:val="003B125E"/>
    <w:rsid w:val="003C2BA3"/>
    <w:rsid w:val="003D4315"/>
    <w:rsid w:val="003F0889"/>
    <w:rsid w:val="00410F09"/>
    <w:rsid w:val="00425D82"/>
    <w:rsid w:val="00433FD3"/>
    <w:rsid w:val="004477F5"/>
    <w:rsid w:val="00450B08"/>
    <w:rsid w:val="0045125C"/>
    <w:rsid w:val="00451984"/>
    <w:rsid w:val="004541D2"/>
    <w:rsid w:val="00455E18"/>
    <w:rsid w:val="00467A0C"/>
    <w:rsid w:val="00475D27"/>
    <w:rsid w:val="00495E3B"/>
    <w:rsid w:val="004A6D23"/>
    <w:rsid w:val="004C2823"/>
    <w:rsid w:val="004D3B53"/>
    <w:rsid w:val="004D72D2"/>
    <w:rsid w:val="004E27D1"/>
    <w:rsid w:val="00500DA0"/>
    <w:rsid w:val="005170C1"/>
    <w:rsid w:val="00530F57"/>
    <w:rsid w:val="00537A8E"/>
    <w:rsid w:val="005644BE"/>
    <w:rsid w:val="0057103B"/>
    <w:rsid w:val="00574458"/>
    <w:rsid w:val="005763A1"/>
    <w:rsid w:val="00582288"/>
    <w:rsid w:val="00587725"/>
    <w:rsid w:val="00596051"/>
    <w:rsid w:val="005A3F09"/>
    <w:rsid w:val="005C38AA"/>
    <w:rsid w:val="005C6A23"/>
    <w:rsid w:val="005D2A99"/>
    <w:rsid w:val="005D5573"/>
    <w:rsid w:val="005E56E9"/>
    <w:rsid w:val="006047CF"/>
    <w:rsid w:val="00605B38"/>
    <w:rsid w:val="00610790"/>
    <w:rsid w:val="006235CB"/>
    <w:rsid w:val="00634250"/>
    <w:rsid w:val="00655415"/>
    <w:rsid w:val="00671FE8"/>
    <w:rsid w:val="00675621"/>
    <w:rsid w:val="00691A70"/>
    <w:rsid w:val="00693D5A"/>
    <w:rsid w:val="00694E06"/>
    <w:rsid w:val="006A075D"/>
    <w:rsid w:val="006A3568"/>
    <w:rsid w:val="006A4DFC"/>
    <w:rsid w:val="006E2BE2"/>
    <w:rsid w:val="00701A43"/>
    <w:rsid w:val="00705134"/>
    <w:rsid w:val="0070772E"/>
    <w:rsid w:val="00713BED"/>
    <w:rsid w:val="0073426D"/>
    <w:rsid w:val="00742977"/>
    <w:rsid w:val="00743A58"/>
    <w:rsid w:val="00746187"/>
    <w:rsid w:val="00750C5F"/>
    <w:rsid w:val="007551AC"/>
    <w:rsid w:val="00765AE6"/>
    <w:rsid w:val="007745FF"/>
    <w:rsid w:val="00774746"/>
    <w:rsid w:val="007A0AE1"/>
    <w:rsid w:val="007A48CF"/>
    <w:rsid w:val="007B5E86"/>
    <w:rsid w:val="007B73A6"/>
    <w:rsid w:val="007C3270"/>
    <w:rsid w:val="007C71B7"/>
    <w:rsid w:val="007D195A"/>
    <w:rsid w:val="00803E1A"/>
    <w:rsid w:val="0081041A"/>
    <w:rsid w:val="00813F80"/>
    <w:rsid w:val="008250E3"/>
    <w:rsid w:val="008269C0"/>
    <w:rsid w:val="00827FCA"/>
    <w:rsid w:val="00832241"/>
    <w:rsid w:val="00841555"/>
    <w:rsid w:val="0085732D"/>
    <w:rsid w:val="0087331F"/>
    <w:rsid w:val="00882D9A"/>
    <w:rsid w:val="008952F8"/>
    <w:rsid w:val="008A37A8"/>
    <w:rsid w:val="008A4F80"/>
    <w:rsid w:val="008B034E"/>
    <w:rsid w:val="008B3A02"/>
    <w:rsid w:val="008C0BFE"/>
    <w:rsid w:val="008D5C88"/>
    <w:rsid w:val="008D738E"/>
    <w:rsid w:val="009014F9"/>
    <w:rsid w:val="00914FC2"/>
    <w:rsid w:val="00916AF8"/>
    <w:rsid w:val="0092319A"/>
    <w:rsid w:val="0092644C"/>
    <w:rsid w:val="009372A4"/>
    <w:rsid w:val="0096667D"/>
    <w:rsid w:val="00972276"/>
    <w:rsid w:val="009769C4"/>
    <w:rsid w:val="009853CF"/>
    <w:rsid w:val="00996CC2"/>
    <w:rsid w:val="009C0B8E"/>
    <w:rsid w:val="00A03EEB"/>
    <w:rsid w:val="00A133B2"/>
    <w:rsid w:val="00A15880"/>
    <w:rsid w:val="00A2200E"/>
    <w:rsid w:val="00A30D7A"/>
    <w:rsid w:val="00A3179C"/>
    <w:rsid w:val="00A32397"/>
    <w:rsid w:val="00A325BF"/>
    <w:rsid w:val="00A54BFB"/>
    <w:rsid w:val="00A625CB"/>
    <w:rsid w:val="00A669C8"/>
    <w:rsid w:val="00A765FB"/>
    <w:rsid w:val="00A9032E"/>
    <w:rsid w:val="00AA200C"/>
    <w:rsid w:val="00AB44CB"/>
    <w:rsid w:val="00AD47C3"/>
    <w:rsid w:val="00AE499E"/>
    <w:rsid w:val="00AF74F8"/>
    <w:rsid w:val="00B04D5A"/>
    <w:rsid w:val="00B223FD"/>
    <w:rsid w:val="00B2285C"/>
    <w:rsid w:val="00B341C7"/>
    <w:rsid w:val="00B3709C"/>
    <w:rsid w:val="00B427CE"/>
    <w:rsid w:val="00B83FDC"/>
    <w:rsid w:val="00B90098"/>
    <w:rsid w:val="00BA09B8"/>
    <w:rsid w:val="00BA29D2"/>
    <w:rsid w:val="00BA2D38"/>
    <w:rsid w:val="00BA4A3D"/>
    <w:rsid w:val="00BB397B"/>
    <w:rsid w:val="00BB74C1"/>
    <w:rsid w:val="00BC0C8C"/>
    <w:rsid w:val="00BD4499"/>
    <w:rsid w:val="00BE12D4"/>
    <w:rsid w:val="00BE2C02"/>
    <w:rsid w:val="00BE3F35"/>
    <w:rsid w:val="00BF4491"/>
    <w:rsid w:val="00C17157"/>
    <w:rsid w:val="00C31D7E"/>
    <w:rsid w:val="00C40AE1"/>
    <w:rsid w:val="00C44A56"/>
    <w:rsid w:val="00C46AB3"/>
    <w:rsid w:val="00C527D7"/>
    <w:rsid w:val="00C52FA4"/>
    <w:rsid w:val="00C55DD9"/>
    <w:rsid w:val="00C56157"/>
    <w:rsid w:val="00C77705"/>
    <w:rsid w:val="00C77B9C"/>
    <w:rsid w:val="00C91421"/>
    <w:rsid w:val="00C91789"/>
    <w:rsid w:val="00CA1D14"/>
    <w:rsid w:val="00CA65FF"/>
    <w:rsid w:val="00CD7148"/>
    <w:rsid w:val="00CE293F"/>
    <w:rsid w:val="00CF0581"/>
    <w:rsid w:val="00CF2F55"/>
    <w:rsid w:val="00D03D07"/>
    <w:rsid w:val="00D10BAB"/>
    <w:rsid w:val="00D269E2"/>
    <w:rsid w:val="00D422FB"/>
    <w:rsid w:val="00D43E03"/>
    <w:rsid w:val="00D47F59"/>
    <w:rsid w:val="00D7267B"/>
    <w:rsid w:val="00D74820"/>
    <w:rsid w:val="00D748CC"/>
    <w:rsid w:val="00D77311"/>
    <w:rsid w:val="00D84225"/>
    <w:rsid w:val="00D917E7"/>
    <w:rsid w:val="00DA1EC9"/>
    <w:rsid w:val="00DB44F5"/>
    <w:rsid w:val="00DB7147"/>
    <w:rsid w:val="00DC19B7"/>
    <w:rsid w:val="00DD12CE"/>
    <w:rsid w:val="00DD471D"/>
    <w:rsid w:val="00DD4E07"/>
    <w:rsid w:val="00DE0D1D"/>
    <w:rsid w:val="00DE10E8"/>
    <w:rsid w:val="00DE5DC6"/>
    <w:rsid w:val="00DF4A3E"/>
    <w:rsid w:val="00DF7329"/>
    <w:rsid w:val="00E26F60"/>
    <w:rsid w:val="00E50A51"/>
    <w:rsid w:val="00E74867"/>
    <w:rsid w:val="00F15565"/>
    <w:rsid w:val="00F216FA"/>
    <w:rsid w:val="00F323EE"/>
    <w:rsid w:val="00F33831"/>
    <w:rsid w:val="00F362E6"/>
    <w:rsid w:val="00F46718"/>
    <w:rsid w:val="00F506D1"/>
    <w:rsid w:val="00F55E0C"/>
    <w:rsid w:val="00F729B0"/>
    <w:rsid w:val="00F74AC2"/>
    <w:rsid w:val="00F74D68"/>
    <w:rsid w:val="00F74EC4"/>
    <w:rsid w:val="00F82A15"/>
    <w:rsid w:val="00F84493"/>
    <w:rsid w:val="00F84AD3"/>
    <w:rsid w:val="00F8525C"/>
    <w:rsid w:val="00FB02DC"/>
    <w:rsid w:val="00FD6BE5"/>
    <w:rsid w:val="00FF760B"/>
    <w:rsid w:val="03839947"/>
    <w:rsid w:val="1AE3992B"/>
    <w:rsid w:val="1AFCC65E"/>
    <w:rsid w:val="209D3469"/>
    <w:rsid w:val="2E683B71"/>
    <w:rsid w:val="533803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B01679"/>
  <w15:chartTrackingRefBased/>
  <w15:docId w15:val="{3DE90284-6C71-43C9-9ED4-E8BDFA53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unhideWhenUsed/>
    <w:rsid w:val="001C5FF8"/>
  </w:style>
  <w:style w:type="character" w:customStyle="1" w:styleId="FootnoteTextChar">
    <w:name w:val="Footnote Text Char"/>
    <w:basedOn w:val="DefaultParagraphFont"/>
    <w:link w:val="FootnoteText"/>
    <w:rsid w:val="001C5FF8"/>
  </w:style>
  <w:style w:type="character" w:styleId="FootnoteReference">
    <w:name w:val="footnote reference"/>
    <w:unhideWhenUsed/>
    <w:rsid w:val="001C5FF8"/>
    <w:rPr>
      <w:vertAlign w:val="superscript"/>
    </w:rPr>
  </w:style>
  <w:style w:type="paragraph" w:styleId="BalloonText">
    <w:name w:val="Balloon Text"/>
    <w:basedOn w:val="Normal"/>
    <w:link w:val="BalloonTextChar"/>
    <w:uiPriority w:val="99"/>
    <w:semiHidden/>
    <w:unhideWhenUsed/>
    <w:rsid w:val="00F33831"/>
    <w:rPr>
      <w:rFonts w:ascii="Segoe UI" w:hAnsi="Segoe UI" w:cs="Segoe UI"/>
      <w:sz w:val="18"/>
      <w:szCs w:val="18"/>
    </w:rPr>
  </w:style>
  <w:style w:type="character" w:customStyle="1" w:styleId="BalloonTextChar">
    <w:name w:val="Balloon Text Char"/>
    <w:link w:val="BalloonText"/>
    <w:uiPriority w:val="99"/>
    <w:semiHidden/>
    <w:rsid w:val="00F33831"/>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Num">
    <w:name w:val="ParaNum"/>
    <w:basedOn w:val="Normal"/>
    <w:rsid w:val="002561B6"/>
    <w:pPr>
      <w:widowControl w:val="0"/>
      <w:numPr>
        <w:numId w:val="1"/>
      </w:numPr>
      <w:tabs>
        <w:tab w:val="clear" w:pos="1080"/>
        <w:tab w:val="num" w:pos="1440"/>
      </w:tabs>
      <w:spacing w:after="120"/>
    </w:pPr>
    <w:rPr>
      <w:snapToGrid w:val="0"/>
      <w:kern w:val="28"/>
      <w:sz w:val="22"/>
    </w:rPr>
  </w:style>
  <w:style w:type="paragraph" w:styleId="Revision">
    <w:name w:val="Revision"/>
    <w:hidden/>
    <w:uiPriority w:val="99"/>
    <w:semiHidden/>
    <w:rsid w:val="00A2200E"/>
  </w:style>
  <w:style w:type="character" w:styleId="CommentReference">
    <w:name w:val="annotation reference"/>
    <w:basedOn w:val="DefaultParagraphFont"/>
    <w:uiPriority w:val="99"/>
    <w:semiHidden/>
    <w:unhideWhenUsed/>
    <w:rsid w:val="00A3179C"/>
    <w:rPr>
      <w:sz w:val="16"/>
      <w:szCs w:val="16"/>
    </w:rPr>
  </w:style>
  <w:style w:type="paragraph" w:styleId="CommentText">
    <w:name w:val="annotation text"/>
    <w:basedOn w:val="Normal"/>
    <w:link w:val="CommentTextChar"/>
    <w:uiPriority w:val="99"/>
    <w:unhideWhenUsed/>
    <w:rsid w:val="00A3179C"/>
  </w:style>
  <w:style w:type="character" w:customStyle="1" w:styleId="CommentTextChar">
    <w:name w:val="Comment Text Char"/>
    <w:basedOn w:val="DefaultParagraphFont"/>
    <w:link w:val="CommentText"/>
    <w:uiPriority w:val="99"/>
    <w:rsid w:val="00A3179C"/>
  </w:style>
  <w:style w:type="paragraph" w:styleId="CommentSubject">
    <w:name w:val="annotation subject"/>
    <w:basedOn w:val="CommentText"/>
    <w:next w:val="CommentText"/>
    <w:link w:val="CommentSubjectChar"/>
    <w:uiPriority w:val="99"/>
    <w:semiHidden/>
    <w:unhideWhenUsed/>
    <w:rsid w:val="00A3179C"/>
    <w:rPr>
      <w:b/>
      <w:bCs/>
    </w:rPr>
  </w:style>
  <w:style w:type="character" w:customStyle="1" w:styleId="CommentSubjectChar">
    <w:name w:val="Comment Subject Char"/>
    <w:basedOn w:val="CommentTextChar"/>
    <w:link w:val="CommentSubject"/>
    <w:uiPriority w:val="99"/>
    <w:semiHidden/>
    <w:rsid w:val="00A31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