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BA3BA8" w:rsidRPr="00442A97" w14:paraId="43AB2629" w14:textId="77777777">
      <w:pPr>
        <w:jc w:val="right"/>
        <w:rPr>
          <w:szCs w:val="22"/>
        </w:rPr>
      </w:pPr>
    </w:p>
    <w:p w:rsidR="00632021" w:rsidRPr="001A76F8" w:rsidP="00632021" w14:paraId="1FB961E0" w14:textId="7F14D7EE">
      <w:pPr>
        <w:snapToGrid w:val="0"/>
        <w:spacing w:before="60"/>
        <w:jc w:val="right"/>
        <w:rPr>
          <w:b/>
          <w:snapToGrid/>
          <w:sz w:val="24"/>
          <w:szCs w:val="24"/>
        </w:rPr>
      </w:pPr>
      <w:bookmarkStart w:id="0" w:name="TOChere"/>
      <w:r w:rsidRPr="001A76F8">
        <w:rPr>
          <w:b/>
          <w:snapToGrid/>
          <w:sz w:val="24"/>
          <w:szCs w:val="24"/>
        </w:rPr>
        <w:t xml:space="preserve">Released:  </w:t>
      </w:r>
      <w:r w:rsidRPr="001A76F8" w:rsidR="001A76F8">
        <w:rPr>
          <w:b/>
          <w:snapToGrid/>
          <w:sz w:val="24"/>
          <w:szCs w:val="24"/>
        </w:rPr>
        <w:t>April 3, 2026</w:t>
      </w:r>
    </w:p>
    <w:p w:rsidR="00632021" w:rsidRPr="001A76F8" w:rsidP="00632021" w14:paraId="25EC878C" w14:textId="77777777">
      <w:pPr>
        <w:snapToGrid w:val="0"/>
        <w:jc w:val="right"/>
        <w:rPr>
          <w:snapToGrid/>
          <w:sz w:val="24"/>
          <w:szCs w:val="24"/>
        </w:rPr>
      </w:pPr>
    </w:p>
    <w:p w:rsidR="00632021" w:rsidRPr="001A76F8" w:rsidP="00632021" w14:paraId="7E18D009" w14:textId="31C4AD31">
      <w:pPr>
        <w:snapToGrid w:val="0"/>
        <w:spacing w:after="220"/>
        <w:jc w:val="center"/>
        <w:rPr>
          <w:b/>
          <w:snapToGrid/>
          <w:sz w:val="24"/>
          <w:szCs w:val="24"/>
        </w:rPr>
      </w:pPr>
      <w:r w:rsidRPr="001A76F8">
        <w:rPr>
          <w:b/>
          <w:snapToGrid/>
          <w:sz w:val="24"/>
          <w:szCs w:val="24"/>
        </w:rPr>
        <w:t>ERRAT</w:t>
      </w:r>
      <w:r w:rsidR="005B77C5">
        <w:rPr>
          <w:b/>
          <w:snapToGrid/>
          <w:sz w:val="24"/>
          <w:szCs w:val="24"/>
        </w:rPr>
        <w:t>A</w:t>
      </w:r>
    </w:p>
    <w:p w:rsidR="001A76F8" w:rsidRPr="001A76F8" w:rsidP="001A76F8" w14:paraId="483C0FC3" w14:textId="77777777">
      <w:pPr>
        <w:jc w:val="center"/>
        <w:rPr>
          <w:b/>
          <w:caps/>
          <w:sz w:val="24"/>
          <w:szCs w:val="24"/>
        </w:rPr>
      </w:pPr>
      <w:r w:rsidRPr="001A76F8">
        <w:rPr>
          <w:b/>
          <w:caps/>
          <w:sz w:val="24"/>
          <w:szCs w:val="24"/>
        </w:rPr>
        <w:t xml:space="preserve">public safety and homeland security BUREAU announceS </w:t>
      </w:r>
    </w:p>
    <w:p w:rsidR="00632021" w:rsidP="001A76F8" w14:paraId="1293E459" w14:textId="2F7736D0">
      <w:pPr>
        <w:jc w:val="center"/>
        <w:rPr>
          <w:b/>
          <w:caps/>
          <w:sz w:val="24"/>
          <w:szCs w:val="24"/>
        </w:rPr>
      </w:pPr>
      <w:r w:rsidRPr="001A76F8">
        <w:rPr>
          <w:b/>
          <w:caps/>
          <w:sz w:val="24"/>
          <w:szCs w:val="24"/>
        </w:rPr>
        <w:t xml:space="preserve">EXEMPTION OF CERTAIN </w:t>
      </w:r>
      <w:bookmarkStart w:id="1" w:name="_Hlk212119673"/>
      <w:r w:rsidRPr="001A76F8">
        <w:rPr>
          <w:b/>
          <w:caps/>
          <w:sz w:val="24"/>
          <w:szCs w:val="24"/>
        </w:rPr>
        <w:t xml:space="preserve">Uncrewed AIRCRAFT systems (UAS) and UAS </w:t>
      </w:r>
      <w:r w:rsidRPr="001A76F8">
        <w:rPr>
          <w:b/>
          <w:bCs/>
          <w:caps/>
          <w:sz w:val="24"/>
          <w:szCs w:val="24"/>
        </w:rPr>
        <w:t>CRITICAL</w:t>
      </w:r>
      <w:r w:rsidRPr="001A76F8">
        <w:rPr>
          <w:b/>
          <w:caps/>
          <w:sz w:val="24"/>
          <w:szCs w:val="24"/>
        </w:rPr>
        <w:t xml:space="preserve"> components </w:t>
      </w:r>
      <w:bookmarkEnd w:id="1"/>
      <w:r w:rsidRPr="001A76F8">
        <w:rPr>
          <w:b/>
          <w:caps/>
          <w:sz w:val="24"/>
          <w:szCs w:val="24"/>
        </w:rPr>
        <w:t xml:space="preserve">FROM FCC covered LIST </w:t>
      </w:r>
    </w:p>
    <w:p w:rsidR="00E46949" w:rsidP="001A76F8" w14:paraId="78F8F8D9" w14:textId="77777777">
      <w:pPr>
        <w:jc w:val="center"/>
        <w:rPr>
          <w:b/>
          <w:caps/>
          <w:sz w:val="24"/>
          <w:szCs w:val="24"/>
        </w:rPr>
      </w:pPr>
    </w:p>
    <w:p w:rsidR="00E46949" w:rsidRPr="001A2880" w:rsidP="00E46949" w14:paraId="30DFD0A3" w14:textId="77777777">
      <w:pPr>
        <w:jc w:val="center"/>
        <w:rPr>
          <w:rFonts w:ascii="Times New Roman Bold" w:hAnsi="Times New Roman Bold"/>
          <w:b/>
          <w:caps/>
          <w:sz w:val="24"/>
        </w:rPr>
      </w:pPr>
      <w:r>
        <w:rPr>
          <w:rFonts w:ascii="Times New Roman Bold" w:hAnsi="Times New Roman Bold"/>
          <w:b/>
          <w:caps/>
          <w:sz w:val="24"/>
        </w:rPr>
        <w:t xml:space="preserve">public safety and homeland security BUREAU announceS conditional approval </w:t>
      </w:r>
      <w:r>
        <w:rPr>
          <w:rFonts w:ascii="Times New Roman Bold" w:hAnsi="Times New Roman Bold"/>
          <w:b/>
          <w:caps/>
          <w:sz w:val="24"/>
          <w:szCs w:val="24"/>
        </w:rPr>
        <w:t>OF CERTAIN</w:t>
      </w:r>
      <w:r w:rsidRPr="03EC535A">
        <w:rPr>
          <w:rFonts w:ascii="Times New Roman Bold" w:hAnsi="Times New Roman Bold"/>
          <w:b/>
          <w:caps/>
          <w:sz w:val="24"/>
          <w:szCs w:val="24"/>
        </w:rPr>
        <w:t xml:space="preserve"> Uncrewed AIRCRAFT systems</w:t>
      </w:r>
      <w:r>
        <w:rPr>
          <w:rFonts w:ascii="Times New Roman Bold" w:hAnsi="Times New Roman Bold"/>
          <w:b/>
          <w:caps/>
          <w:sz w:val="24"/>
          <w:szCs w:val="24"/>
        </w:rPr>
        <w:t xml:space="preserve"> (UAS) </w:t>
      </w:r>
      <w:r w:rsidRPr="03EC535A">
        <w:rPr>
          <w:rFonts w:ascii="Times New Roman Bold" w:hAnsi="Times New Roman Bold"/>
          <w:b/>
          <w:caps/>
          <w:sz w:val="24"/>
          <w:szCs w:val="24"/>
        </w:rPr>
        <w:t xml:space="preserve">and </w:t>
      </w:r>
      <w:r>
        <w:rPr>
          <w:rFonts w:ascii="Times New Roman Bold" w:hAnsi="Times New Roman Bold"/>
          <w:b/>
          <w:caps/>
          <w:sz w:val="24"/>
          <w:szCs w:val="24"/>
        </w:rPr>
        <w:t xml:space="preserve">UAS </w:t>
      </w:r>
      <w:r>
        <w:rPr>
          <w:rFonts w:ascii="Times New Roman Bold" w:hAnsi="Times New Roman Bold"/>
          <w:b/>
          <w:bCs/>
          <w:caps/>
          <w:sz w:val="24"/>
          <w:szCs w:val="24"/>
        </w:rPr>
        <w:t>CRITICAL</w:t>
      </w:r>
      <w:r w:rsidRPr="03EC535A">
        <w:rPr>
          <w:rFonts w:ascii="Times New Roman Bold" w:hAnsi="Times New Roman Bold"/>
          <w:b/>
          <w:caps/>
          <w:sz w:val="24"/>
          <w:szCs w:val="24"/>
        </w:rPr>
        <w:t xml:space="preserve"> components</w:t>
      </w:r>
      <w:r>
        <w:rPr>
          <w:rFonts w:ascii="Times New Roman Bold" w:hAnsi="Times New Roman Bold"/>
          <w:b/>
          <w:caps/>
          <w:sz w:val="24"/>
          <w:szCs w:val="24"/>
        </w:rPr>
        <w:t xml:space="preserve"> and exemption FROM</w:t>
      </w:r>
      <w:r w:rsidRPr="03EC535A">
        <w:rPr>
          <w:rFonts w:ascii="Times New Roman Bold" w:hAnsi="Times New Roman Bold"/>
          <w:b/>
          <w:caps/>
          <w:sz w:val="24"/>
          <w:szCs w:val="24"/>
        </w:rPr>
        <w:t xml:space="preserve"> FCC covered LIST</w:t>
      </w:r>
      <w:r>
        <w:rPr>
          <w:rFonts w:ascii="Times New Roman Bold" w:hAnsi="Times New Roman Bold"/>
          <w:b/>
          <w:caps/>
          <w:sz w:val="24"/>
          <w:szCs w:val="24"/>
        </w:rPr>
        <w:t xml:space="preserve"> </w:t>
      </w:r>
      <w:r w:rsidRPr="03EC535A">
        <w:rPr>
          <w:rFonts w:ascii="Times New Roman Bold" w:hAnsi="Times New Roman Bold"/>
          <w:b/>
          <w:caps/>
          <w:sz w:val="24"/>
          <w:szCs w:val="24"/>
        </w:rPr>
        <w:t xml:space="preserve"> </w:t>
      </w:r>
    </w:p>
    <w:p w:rsidR="00E46949" w:rsidP="001A76F8" w14:paraId="0B8CBA9D" w14:textId="77777777">
      <w:pPr>
        <w:jc w:val="center"/>
        <w:rPr>
          <w:b/>
          <w:caps/>
          <w:sz w:val="24"/>
          <w:szCs w:val="24"/>
        </w:rPr>
      </w:pPr>
    </w:p>
    <w:p w:rsidR="001A76F8" w:rsidRPr="00E46949" w:rsidP="00E46949" w14:paraId="1474D669" w14:textId="494CAA3C">
      <w:pPr>
        <w:spacing w:after="240"/>
        <w:jc w:val="center"/>
        <w:rPr>
          <w:rFonts w:ascii="Times New Roman Bold" w:hAnsi="Times New Roman Bold"/>
          <w:b/>
          <w:caps/>
          <w:sz w:val="24"/>
        </w:rPr>
      </w:pPr>
      <w:r>
        <w:rPr>
          <w:rFonts w:ascii="Times New Roman Bold" w:hAnsi="Times New Roman Bold"/>
          <w:b/>
          <w:caps/>
          <w:sz w:val="24"/>
        </w:rPr>
        <w:t>FCC’s public safety and homeland security bureau announces addition of routers produced in foreign countries to fcc covered list</w:t>
      </w:r>
    </w:p>
    <w:p w:rsidR="001A76F8" w:rsidRPr="001A76F8" w:rsidP="001A76F8" w14:paraId="23C382E3" w14:textId="77777777">
      <w:pPr>
        <w:jc w:val="center"/>
        <w:rPr>
          <w:b/>
          <w:sz w:val="24"/>
          <w:szCs w:val="24"/>
        </w:rPr>
      </w:pPr>
      <w:r w:rsidRPr="001A76F8">
        <w:rPr>
          <w:b/>
          <w:sz w:val="24"/>
          <w:szCs w:val="24"/>
        </w:rPr>
        <w:t xml:space="preserve">WC Docket No. 18-89, ET Docket No. 21-232, EA Docket No. 21-233 </w:t>
      </w:r>
    </w:p>
    <w:p w:rsidR="001A76F8" w:rsidP="001A76F8" w14:paraId="26406808" w14:textId="77777777">
      <w:pPr>
        <w:jc w:val="center"/>
        <w:rPr>
          <w:b/>
          <w:sz w:val="24"/>
        </w:rPr>
      </w:pPr>
    </w:p>
    <w:p w:rsidR="00DC0125" w:rsidP="00E53D35" w14:paraId="40D1AFFD" w14:textId="2BD4F573">
      <w:pPr>
        <w:pStyle w:val="ParaNum"/>
        <w:numPr>
          <w:ilvl w:val="0"/>
          <w:numId w:val="0"/>
        </w:numPr>
        <w:ind w:firstLine="720"/>
      </w:pPr>
      <w:r w:rsidRPr="00632021">
        <w:t xml:space="preserve">On </w:t>
      </w:r>
      <w:r w:rsidR="001A76F8">
        <w:t>January 7, 2026</w:t>
      </w:r>
      <w:r w:rsidRPr="00632021">
        <w:t xml:space="preserve">, the </w:t>
      </w:r>
      <w:r w:rsidR="001A76F8">
        <w:t>Public Safety and Homeland Security Bureau</w:t>
      </w:r>
      <w:r w:rsidRPr="00632021">
        <w:t xml:space="preserve"> released a </w:t>
      </w:r>
      <w:r w:rsidRPr="0082128A">
        <w:rPr>
          <w:iCs/>
        </w:rPr>
        <w:t>Public Notice</w:t>
      </w:r>
      <w:r w:rsidR="00262686">
        <w:t xml:space="preserve">, </w:t>
      </w:r>
      <w:r w:rsidR="001A76F8">
        <w:t>DA 26-22</w:t>
      </w:r>
      <w:r w:rsidR="00262686">
        <w:t xml:space="preserve">, </w:t>
      </w:r>
      <w:r w:rsidRPr="00632021">
        <w:t xml:space="preserve">in the </w:t>
      </w:r>
      <w:r w:rsidR="0014579D">
        <w:t>first</w:t>
      </w:r>
      <w:r w:rsidRPr="00632021">
        <w:t xml:space="preserve"> captioned proceeding.  </w:t>
      </w:r>
      <w:r w:rsidR="008A7C74">
        <w:t>T</w:t>
      </w:r>
      <w:r w:rsidRPr="00F53B27" w:rsidR="008A7C74">
        <w:t>he words “UAS and” were inadvertently omitted from Appendix A in an exception to the Covered List</w:t>
      </w:r>
      <w:r w:rsidR="00D27394">
        <w:t xml:space="preserve">. </w:t>
      </w:r>
      <w:r w:rsidRPr="00F53B27" w:rsidR="008A7C74">
        <w:t xml:space="preserve"> </w:t>
      </w:r>
      <w:r w:rsidR="006D6C07">
        <w:t>T</w:t>
      </w:r>
      <w:r w:rsidRPr="00F53B27" w:rsidR="006D6C07">
        <w:t xml:space="preserve">o conform </w:t>
      </w:r>
      <w:r w:rsidR="0073104D">
        <w:t xml:space="preserve">to </w:t>
      </w:r>
      <w:r w:rsidRPr="00F53B27" w:rsidR="006D6C07">
        <w:t>the Covered List on the Commission’s website</w:t>
      </w:r>
      <w:r w:rsidR="0073104D">
        <w:t xml:space="preserve"> at</w:t>
      </w:r>
      <w:r w:rsidRPr="00F53B27" w:rsidR="006D6C07">
        <w:t xml:space="preserve"> </w:t>
      </w:r>
      <w:hyperlink r:id="rId6" w:history="1">
        <w:r w:rsidRPr="00F53B27" w:rsidR="006D6C07">
          <w:rPr>
            <w:rStyle w:val="Hyperlink"/>
          </w:rPr>
          <w:t>https://www.fcc.gov/supplychain/coveredlist</w:t>
        </w:r>
      </w:hyperlink>
      <w:r w:rsidRPr="00F53B27" w:rsidR="006D6C07">
        <w:t>, to the text of the Public Notice</w:t>
      </w:r>
      <w:r w:rsidR="001F7462">
        <w:t>,</w:t>
      </w:r>
      <w:r w:rsidRPr="00F53B27" w:rsidR="006D6C07">
        <w:t xml:space="preserve"> and to the National Security Determination underlying the Public Notice, </w:t>
      </w:r>
      <w:r w:rsidR="006D6C07">
        <w:t>t</w:t>
      </w:r>
      <w:r w:rsidRPr="00632021">
        <w:t xml:space="preserve">his Erratum </w:t>
      </w:r>
      <w:r>
        <w:t>amend</w:t>
      </w:r>
      <w:r w:rsidRPr="00632021">
        <w:t>s</w:t>
      </w:r>
      <w:r>
        <w:t xml:space="preserve"> </w:t>
      </w:r>
      <w:r w:rsidRPr="006D6C07" w:rsidR="006D6C07">
        <w:t xml:space="preserve">Appendix A </w:t>
      </w:r>
      <w:r w:rsidR="006D6C07">
        <w:t xml:space="preserve">of </w:t>
      </w:r>
      <w:r>
        <w:t xml:space="preserve">the </w:t>
      </w:r>
      <w:r w:rsidR="0082128A">
        <w:t xml:space="preserve">original </w:t>
      </w:r>
      <w:r>
        <w:t>released document</w:t>
      </w:r>
      <w:r w:rsidR="00A33622">
        <w:t>,</w:t>
      </w:r>
      <w:r>
        <w:t xml:space="preserve"> </w:t>
      </w:r>
      <w:r w:rsidR="00A33622">
        <w:t xml:space="preserve">as well as Appendix A to DA 26-253, released March 18, 2026, and </w:t>
      </w:r>
      <w:r w:rsidRPr="00F53B27" w:rsidR="00A33622">
        <w:t>DA 26-278, released March 23, 2026</w:t>
      </w:r>
      <w:r w:rsidR="00A33622">
        <w:t>,</w:t>
      </w:r>
      <w:r w:rsidRPr="00BA6F36" w:rsidR="00A33622">
        <w:t xml:space="preserve"> </w:t>
      </w:r>
      <w:r>
        <w:t>as indicated below:</w:t>
      </w:r>
    </w:p>
    <w:p w:rsidR="00791A05" w:rsidP="00791A05" w14:paraId="22019CE2" w14:textId="5C76FD4D">
      <w:pPr>
        <w:pStyle w:val="ParaNum"/>
        <w:numPr>
          <w:ilvl w:val="0"/>
          <w:numId w:val="0"/>
        </w:numPr>
        <w:ind w:firstLine="720"/>
      </w:pPr>
      <w:r w:rsidRPr="00F53B27">
        <w:t xml:space="preserve">In </w:t>
      </w:r>
      <w:r w:rsidR="00A32A84">
        <w:t>the Cover</w:t>
      </w:r>
      <w:r w:rsidR="00722D90">
        <w:t>ed</w:t>
      </w:r>
      <w:r w:rsidR="00A32A84">
        <w:t xml:space="preserve"> List table, </w:t>
      </w:r>
      <w:r w:rsidR="00001258">
        <w:t xml:space="preserve">in the </w:t>
      </w:r>
      <w:r w:rsidRPr="00F53B27" w:rsidR="00D56F65">
        <w:t>entry for “Uncrewed aircraft systems and UAS critical components</w:t>
      </w:r>
      <w:r w:rsidR="00D56F65">
        <w:t>,</w:t>
      </w:r>
      <w:r w:rsidRPr="00F53B27" w:rsidR="00D56F65">
        <w:t>”</w:t>
      </w:r>
      <w:r w:rsidR="00FF1EC6">
        <w:t xml:space="preserve"> </w:t>
      </w:r>
      <w:r w:rsidRPr="00F53B27">
        <w:t>add the words “UAS and” at the beginning of exception (b).</w:t>
      </w:r>
    </w:p>
    <w:p w:rsidR="00632021" w:rsidRPr="00632021" w:rsidP="002E7780" w14:paraId="317A8A9B" w14:textId="3365FD08">
      <w:pPr>
        <w:pStyle w:val="ParaNum"/>
        <w:numPr>
          <w:ilvl w:val="0"/>
          <w:numId w:val="0"/>
        </w:numPr>
        <w:rPr>
          <w:snapToGrid/>
          <w:kern w:val="0"/>
          <w:sz w:val="24"/>
          <w:szCs w:val="24"/>
        </w:rPr>
      </w:pPr>
    </w:p>
    <w:tbl>
      <w:tblPr>
        <w:tblStyle w:val="TableGrid"/>
        <w:tblW w:w="9360" w:type="dxa"/>
        <w:tblInd w:w="-5" w:type="dxa"/>
        <w:tblLook w:val="04A0"/>
      </w:tblPr>
      <w:tblGrid>
        <w:gridCol w:w="6824"/>
        <w:gridCol w:w="2536"/>
      </w:tblGrid>
      <w:tr w14:paraId="4BC3FC44" w14:textId="77777777" w:rsidTr="002E7780">
        <w:tblPrEx>
          <w:tblW w:w="9360" w:type="dxa"/>
          <w:tblInd w:w="-5" w:type="dxa"/>
          <w:tblLook w:val="04A0"/>
        </w:tblPrEx>
        <w:tc>
          <w:tcPr>
            <w:tcW w:w="6824" w:type="dxa"/>
          </w:tcPr>
          <w:bookmarkEnd w:id="0"/>
          <w:p w:rsidR="00B43A41" w:rsidRPr="00B43A41" w:rsidP="00B43A41" w14:paraId="7CF6A9B9" w14:textId="20990856">
            <w:r w:rsidRPr="00B43A41">
              <w:t>Uncrewed aircraft systems (UAS) and UAS critical components produced in a foreign country</w:t>
            </w:r>
            <w:r w:rsidRPr="00B43A41">
              <w:rPr>
                <w:vertAlign w:val="superscript"/>
              </w:rPr>
              <w:t>††</w:t>
            </w:r>
            <w:r w:rsidRPr="00B43A41">
              <w:t xml:space="preserve">—except (a) </w:t>
            </w:r>
            <w:r>
              <w:fldChar w:fldCharType="begin"/>
            </w:r>
            <w:r w:rsidRPr="00B43A41">
              <w:rPr>
                <w:color w:val="0000FF"/>
                <w:u w:val="single"/>
              </w:rPr>
              <w:instrText xml:space="preserve"> HYPERLINK "https://bluelist.appsplatformportals.us/Cleared-List/"  \h </w:instrText>
            </w:r>
            <w:r>
              <w:fldChar w:fldCharType="separate"/>
            </w:r>
            <w:r w:rsidRPr="00B43A41">
              <w:rPr>
                <w:color w:val="0000FF"/>
                <w:u w:val="single"/>
              </w:rPr>
              <w:t>UAS</w:t>
            </w:r>
            <w:r>
              <w:fldChar w:fldCharType="end"/>
            </w:r>
            <w:r w:rsidRPr="00B43A41">
              <w:t xml:space="preserve"> and </w:t>
            </w:r>
            <w:r>
              <w:fldChar w:fldCharType="begin"/>
            </w:r>
            <w:r w:rsidRPr="00B43A41">
              <w:rPr>
                <w:color w:val="0000FF"/>
                <w:u w:val="single"/>
              </w:rPr>
              <w:instrText xml:space="preserve"> HYPERLINK "https://bluelist.appsplatformportals.us/Framework/"  \h </w:instrText>
            </w:r>
            <w:r>
              <w:fldChar w:fldCharType="separate"/>
            </w:r>
            <w:r w:rsidRPr="00B43A41">
              <w:rPr>
                <w:color w:val="0000FF"/>
                <w:u w:val="single"/>
              </w:rPr>
              <w:t>UAS critical components</w:t>
            </w:r>
            <w:r>
              <w:fldChar w:fldCharType="end"/>
            </w:r>
            <w:r w:rsidRPr="00B43A41">
              <w:t xml:space="preserve"> included on the Defense Contract Management Agency’s (DCMA’s) Blue UAS Cleared List, until January 1, 2027,</w:t>
            </w:r>
            <w:r w:rsidRPr="00B43A41">
              <w:rPr>
                <w:rFonts w:ascii="Symbol" w:eastAsia="Symbol" w:hAnsi="Symbol" w:cs="Symbol"/>
                <w:vertAlign w:val="superscript"/>
              </w:rPr>
              <w:t>#</w:t>
            </w:r>
            <w:r w:rsidRPr="00B43A41">
              <w:t xml:space="preserve"> (b) </w:t>
            </w:r>
            <w:r w:rsidR="00791A05">
              <w:t xml:space="preserve">UAS and </w:t>
            </w:r>
            <w:r w:rsidRPr="00B43A41">
              <w:t xml:space="preserve">UAS critical components that qualify as “domestic end products” under the Buy American Standard, </w:t>
            </w:r>
            <w:r>
              <w:fldChar w:fldCharType="begin"/>
            </w:r>
            <w:r w:rsidRPr="00B43A41">
              <w:rPr>
                <w:color w:val="0000FF"/>
                <w:u w:val="single"/>
              </w:rPr>
              <w:instrText xml:space="preserve"> HYPERLINK "https://www.ecfr.gov/current/title-48/chapter-1/subchapter-D/part-25/subpart-25.1/section-25.101"  \h </w:instrText>
            </w:r>
            <w:r>
              <w:fldChar w:fldCharType="separate"/>
            </w:r>
            <w:r w:rsidRPr="00B43A41">
              <w:rPr>
                <w:color w:val="0000FF"/>
                <w:u w:val="single"/>
              </w:rPr>
              <w:t>48 CFR 25.101(a)</w:t>
            </w:r>
            <w:r>
              <w:fldChar w:fldCharType="end"/>
            </w:r>
            <w:r w:rsidRPr="00B43A41">
              <w:t xml:space="preserve">, until January 1, 2027; and (c) </w:t>
            </w:r>
            <w:r>
              <w:fldChar w:fldCharType="begin"/>
            </w:r>
            <w:r w:rsidRPr="00B43A41">
              <w:rPr>
                <w:color w:val="0000FF"/>
                <w:u w:val="single"/>
              </w:rPr>
              <w:instrText xml:space="preserve"> HYPERLINK "https://www.fcc.gov/supplychain/coveredlist" \l "conditional-approvals"  \h </w:instrText>
            </w:r>
            <w:r>
              <w:fldChar w:fldCharType="separate"/>
            </w:r>
            <w:r w:rsidRPr="00B43A41">
              <w:rPr>
                <w:color w:val="0000FF"/>
                <w:u w:val="single"/>
              </w:rPr>
              <w:t xml:space="preserve">devices which have been granted a Conditional Approval by </w:t>
            </w:r>
            <w:r w:rsidRPr="00B43A41">
              <w:rPr>
                <w:color w:val="0000FF"/>
                <w:u w:val="single"/>
              </w:rPr>
              <w:t>DoW</w:t>
            </w:r>
            <w:r w:rsidRPr="00B43A41">
              <w:rPr>
                <w:color w:val="0000FF"/>
                <w:u w:val="single"/>
              </w:rPr>
              <w:t xml:space="preserve"> or DHS</w:t>
            </w:r>
            <w:r>
              <w:fldChar w:fldCharType="end"/>
            </w:r>
            <w:r w:rsidRPr="00B43A41">
              <w:t>—and all communications and video surveillance equipment and services listed in Section 1709(a)(1) of the </w:t>
            </w:r>
            <w:r>
              <w:fldChar w:fldCharType="begin"/>
            </w:r>
            <w:r w:rsidRPr="00B43A41">
              <w:rPr>
                <w:color w:val="0000FF"/>
                <w:u w:val="single"/>
              </w:rPr>
              <w:instrText xml:space="preserve"> HYPERLINK "https://www.congress.gov/118/plaws/publ159/PLAW-118publ159.pdf"  \h </w:instrText>
            </w:r>
            <w:r>
              <w:fldChar w:fldCharType="separate"/>
            </w:r>
            <w:r w:rsidRPr="00B43A41">
              <w:rPr>
                <w:color w:val="0000FF"/>
                <w:u w:val="single"/>
              </w:rPr>
              <w:t>FY25 National Defense Authorization Act</w:t>
            </w:r>
            <w:r>
              <w:fldChar w:fldCharType="end"/>
            </w:r>
            <w:r w:rsidRPr="00B43A41">
              <w:t> (Pub. L. 118-159).</w:t>
            </w:r>
          </w:p>
        </w:tc>
        <w:tc>
          <w:tcPr>
            <w:tcW w:w="2536" w:type="dxa"/>
          </w:tcPr>
          <w:p w:rsidR="00B43A41" w:rsidRPr="00B43A41" w:rsidP="00B43A41" w14:paraId="1DDA1499" w14:textId="77777777">
            <w:pPr>
              <w:jc w:val="center"/>
            </w:pPr>
            <w:r w:rsidRPr="00B43A41">
              <w:br/>
            </w:r>
          </w:p>
          <w:p w:rsidR="00B43A41" w:rsidRPr="00B43A41" w:rsidP="00B43A41" w14:paraId="5254E4C2" w14:textId="77777777">
            <w:pPr>
              <w:jc w:val="center"/>
            </w:pPr>
            <w:r w:rsidRPr="00B43A41">
              <w:t>December 22, 2025</w:t>
            </w:r>
          </w:p>
          <w:p w:rsidR="00B43A41" w:rsidRPr="00B43A41" w:rsidP="00B43A41" w14:paraId="1DD8C2A4" w14:textId="77777777"/>
          <w:p w:rsidR="00B43A41" w:rsidRPr="00B43A41" w:rsidP="00B43A41" w14:paraId="1FAFD117" w14:textId="77777777">
            <w:pPr>
              <w:jc w:val="center"/>
            </w:pPr>
            <w:r w:rsidRPr="00B43A41">
              <w:t xml:space="preserve">Updated: January 7, 2026  </w:t>
            </w:r>
          </w:p>
          <w:p w:rsidR="00B43A41" w:rsidRPr="00B43A41" w:rsidP="00B43A41" w14:paraId="36F52C15" w14:textId="77777777">
            <w:pPr>
              <w:jc w:val="center"/>
            </w:pPr>
          </w:p>
          <w:p w:rsidR="00B43A41" w:rsidRPr="00B43A41" w:rsidP="00B43A41" w14:paraId="76A8FB77" w14:textId="77777777">
            <w:pPr>
              <w:jc w:val="center"/>
            </w:pPr>
            <w:r w:rsidRPr="00B43A41">
              <w:t>Updated: March 18, 2026</w:t>
            </w:r>
            <w:r w:rsidRPr="00B43A41">
              <w:br/>
            </w:r>
          </w:p>
        </w:tc>
      </w:tr>
    </w:tbl>
    <w:p w:rsidR="00BA3BA8" w:rsidP="002E7780" w14:paraId="5A2163E2" w14:textId="77777777">
      <w:pPr>
        <w:spacing w:after="120"/>
      </w:pPr>
    </w:p>
    <w:p w:rsidR="0002719B" w:rsidP="0002719B" w14:paraId="3AC6678A" w14:textId="2FD6CD07">
      <w:pPr>
        <w:jc w:val="center"/>
      </w:pPr>
      <w:r>
        <w:t xml:space="preserve">- </w:t>
      </w:r>
      <w:r w:rsidRPr="0002719B">
        <w:rPr>
          <w:b/>
          <w:bCs/>
        </w:rPr>
        <w:t>FCC</w:t>
      </w:r>
      <w:r>
        <w:t xml:space="preserve"> -</w:t>
      </w:r>
    </w:p>
    <w:sectPr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9B08E1" w14:paraId="263A6FAE" w14:textId="77777777">
      <w:pPr>
        <w:spacing w:line="20" w:lineRule="exact"/>
      </w:pPr>
    </w:p>
  </w:endnote>
  <w:endnote w:type="continuationSeparator" w:id="1">
    <w:p w:rsidR="009B08E1" w14:paraId="34A5CD64" w14:textId="77777777">
      <w:r>
        <w:t xml:space="preserve"> </w:t>
      </w:r>
    </w:p>
  </w:endnote>
  <w:endnote w:type="continuationNotice" w:id="2">
    <w:p w:rsidR="009B08E1" w14:paraId="47B75394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5307328E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BA3BA8" w14:paraId="562B60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7CC5F51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3980CC1C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B08E1" w14:paraId="4F49F717" w14:textId="77777777">
      <w:r>
        <w:separator/>
      </w:r>
    </w:p>
  </w:footnote>
  <w:footnote w:type="continuationSeparator" w:id="1">
    <w:p w:rsidR="009B08E1" w14:paraId="00935C64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9B08E1" w14:paraId="746BAD24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61D5F6C4" w14:textId="77777777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MACROBUTTON  AcceptAllChangesShown "FCC/DA  XX-XXX" </w:instrText>
    </w:r>
    <w:r>
      <w:rPr>
        <w:b/>
      </w:rPr>
      <w:fldChar w:fldCharType="end"/>
    </w:r>
  </w:p>
  <w:p w:rsidR="00BA3BA8" w14:paraId="68689577" w14:textId="0D5B39E0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BA3BA8" w14:paraId="0F3AF563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:rsidRPr="00F03EA1" w:rsidP="00F03EA1" w14:paraId="2F7730AA" w14:textId="756268A5">
    <w:pPr>
      <w:pStyle w:val="Header"/>
    </w:pPr>
    <w:r>
      <w:rPr>
        <w:noProof/>
      </w:rPr>
      <w:drawing>
        <wp:inline distT="0" distB="0" distL="0" distR="0">
          <wp:extent cx="5953125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CE81382"/>
    <w:multiLevelType w:val="hybridMultilevel"/>
    <w:tmpl w:val="A22C0406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328095623">
    <w:abstractNumId w:val="1"/>
  </w:num>
  <w:num w:numId="2" w16cid:durableId="224028385">
    <w:abstractNumId w:val="6"/>
  </w:num>
  <w:num w:numId="3" w16cid:durableId="613441070">
    <w:abstractNumId w:val="3"/>
  </w:num>
  <w:num w:numId="4" w16cid:durableId="1365595050">
    <w:abstractNumId w:val="5"/>
  </w:num>
  <w:num w:numId="5" w16cid:durableId="1585147663">
    <w:abstractNumId w:val="2"/>
  </w:num>
  <w:num w:numId="6" w16cid:durableId="1457916601">
    <w:abstractNumId w:val="0"/>
  </w:num>
  <w:num w:numId="7" w16cid:durableId="534654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3"/>
    <w:rsid w:val="00001258"/>
    <w:rsid w:val="0002719B"/>
    <w:rsid w:val="00094774"/>
    <w:rsid w:val="000C400C"/>
    <w:rsid w:val="0014579D"/>
    <w:rsid w:val="00161418"/>
    <w:rsid w:val="00183560"/>
    <w:rsid w:val="001A2880"/>
    <w:rsid w:val="001A76F8"/>
    <w:rsid w:val="001D6D44"/>
    <w:rsid w:val="001F7462"/>
    <w:rsid w:val="00262686"/>
    <w:rsid w:val="002E7780"/>
    <w:rsid w:val="003515E0"/>
    <w:rsid w:val="00391CD0"/>
    <w:rsid w:val="003C1A01"/>
    <w:rsid w:val="00430183"/>
    <w:rsid w:val="00442A97"/>
    <w:rsid w:val="00464703"/>
    <w:rsid w:val="004B0F00"/>
    <w:rsid w:val="004E38F6"/>
    <w:rsid w:val="004F2A04"/>
    <w:rsid w:val="00506B91"/>
    <w:rsid w:val="005441D0"/>
    <w:rsid w:val="00553658"/>
    <w:rsid w:val="00585CC1"/>
    <w:rsid w:val="005B338A"/>
    <w:rsid w:val="005B77C5"/>
    <w:rsid w:val="005D6339"/>
    <w:rsid w:val="005E61D0"/>
    <w:rsid w:val="00632021"/>
    <w:rsid w:val="00641B3D"/>
    <w:rsid w:val="0069248F"/>
    <w:rsid w:val="006D6C07"/>
    <w:rsid w:val="006E05CD"/>
    <w:rsid w:val="006E14A6"/>
    <w:rsid w:val="00703612"/>
    <w:rsid w:val="00722D90"/>
    <w:rsid w:val="0073104D"/>
    <w:rsid w:val="00744871"/>
    <w:rsid w:val="00770D15"/>
    <w:rsid w:val="00791A05"/>
    <w:rsid w:val="007C3058"/>
    <w:rsid w:val="007D5CD2"/>
    <w:rsid w:val="007E3E05"/>
    <w:rsid w:val="0082128A"/>
    <w:rsid w:val="008341DF"/>
    <w:rsid w:val="00841979"/>
    <w:rsid w:val="00863321"/>
    <w:rsid w:val="008A3384"/>
    <w:rsid w:val="008A447E"/>
    <w:rsid w:val="008A7C74"/>
    <w:rsid w:val="008E51B0"/>
    <w:rsid w:val="009764D0"/>
    <w:rsid w:val="00984741"/>
    <w:rsid w:val="009B08E1"/>
    <w:rsid w:val="009F46A1"/>
    <w:rsid w:val="00A20679"/>
    <w:rsid w:val="00A32A84"/>
    <w:rsid w:val="00A33622"/>
    <w:rsid w:val="00A5039E"/>
    <w:rsid w:val="00A91A7B"/>
    <w:rsid w:val="00AA0FE6"/>
    <w:rsid w:val="00B25D3D"/>
    <w:rsid w:val="00B26659"/>
    <w:rsid w:val="00B43A41"/>
    <w:rsid w:val="00BA3BA8"/>
    <w:rsid w:val="00BA6F36"/>
    <w:rsid w:val="00BC33B2"/>
    <w:rsid w:val="00BD79CC"/>
    <w:rsid w:val="00C0161D"/>
    <w:rsid w:val="00C01B90"/>
    <w:rsid w:val="00C01FB5"/>
    <w:rsid w:val="00C21AD7"/>
    <w:rsid w:val="00C53205"/>
    <w:rsid w:val="00C66941"/>
    <w:rsid w:val="00C70BFC"/>
    <w:rsid w:val="00C75229"/>
    <w:rsid w:val="00C84885"/>
    <w:rsid w:val="00CA3142"/>
    <w:rsid w:val="00D27394"/>
    <w:rsid w:val="00D56F65"/>
    <w:rsid w:val="00D6202D"/>
    <w:rsid w:val="00DC0125"/>
    <w:rsid w:val="00E11BC7"/>
    <w:rsid w:val="00E46949"/>
    <w:rsid w:val="00E53D35"/>
    <w:rsid w:val="00EA7504"/>
    <w:rsid w:val="00EF466B"/>
    <w:rsid w:val="00F03EA1"/>
    <w:rsid w:val="00F23FFE"/>
    <w:rsid w:val="00F53B27"/>
    <w:rsid w:val="00F63A72"/>
    <w:rsid w:val="00F90406"/>
    <w:rsid w:val="00FF1EC6"/>
    <w:rsid w:val="00FF40D5"/>
    <w:rsid w:val="03EC53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DE9816"/>
  <w15:chartTrackingRefBased/>
  <w15:docId w15:val="{56E85F41-1B82-4185-BBBC-7995E8C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link w:val="FootnoteTextChar"/>
    <w:semiHidden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632021"/>
  </w:style>
  <w:style w:type="paragraph" w:styleId="Revision">
    <w:name w:val="Revision"/>
    <w:hidden/>
    <w:uiPriority w:val="99"/>
    <w:semiHidden/>
    <w:rsid w:val="008A447E"/>
    <w:rPr>
      <w:snapToGrid w:val="0"/>
      <w:kern w:val="28"/>
      <w:sz w:val="22"/>
    </w:rPr>
  </w:style>
  <w:style w:type="table" w:styleId="TableGrid">
    <w:name w:val="Table Grid"/>
    <w:basedOn w:val="TableNormal"/>
    <w:uiPriority w:val="59"/>
    <w:rsid w:val="00B43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https://gcc02.safelinks.protection.outlook.com/?url=https%3A%2F%2Fwww.fcc.gov%2Fsupplychain%2Fcoveredlist&amp;data=05%7C02%7CDouglas.Klein%40fcc.gov%7C184ef0f712d14c91004408de90c1d9cf%7C72970aed36694ca8b960dd016bc72973%7C0%7C0%7C639107359415130035%7CUnknown%7CTWFpbGZsb3d8eyJFbXB0eU1hcGkiOnRydWUsIlYiOiIwLjAuMDAwMCIsIlAiOiJXaW4zMiIsIkFOIjoiTWFpbCIsIldUIjoyfQ%3D%3D%7C0%7C%7C%7C&amp;sdata=0b49IpURn86597AFhT2ZiV1vwSEzRfHpqXWf5X%2B3gTs%3D&amp;reserved=0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