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72" w:type="dxa"/>
        <w:tblLook w:val="0000"/>
      </w:tblPr>
      <w:tblGrid>
        <w:gridCol w:w="9172"/>
      </w:tblGrid>
      <w:tr w14:paraId="1A5C0C95" w14:textId="77777777" w:rsidTr="00016AA3">
        <w:tblPrEx>
          <w:tblW w:w="9172" w:type="dxa"/>
          <w:tblLook w:val="0000"/>
        </w:tblPrEx>
        <w:trPr>
          <w:trHeight w:val="14760"/>
        </w:trPr>
        <w:tc>
          <w:tcPr>
            <w:tcW w:w="9172" w:type="dxa"/>
          </w:tcPr>
          <w:p w:rsidR="008B74C3" w:rsidP="68B40A2B" w14:paraId="3C820263" w14:textId="77777777">
            <w:pPr>
              <w:jc w:val="center"/>
              <w:rPr>
                <w:b/>
                <w:bCs/>
              </w:rPr>
            </w:pPr>
            <w:r>
              <w:rPr>
                <w:noProof/>
              </w:rPr>
              <w:drawing>
                <wp:inline distT="0" distB="0" distL="0" distR="0">
                  <wp:extent cx="5687291" cy="836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7291" cy="836032"/>
                          </a:xfrm>
                          <a:prstGeom prst="rect">
                            <a:avLst/>
                          </a:prstGeom>
                        </pic:spPr>
                      </pic:pic>
                    </a:graphicData>
                  </a:graphic>
                </wp:inline>
              </w:drawing>
            </w:r>
          </w:p>
          <w:p w:rsidR="00401F89" w:rsidP="68B40A2B" w14:paraId="62A27232" w14:textId="77777777">
            <w:pPr>
              <w:jc w:val="center"/>
              <w:rPr>
                <w:b/>
                <w:bCs/>
                <w:sz w:val="28"/>
                <w:szCs w:val="28"/>
              </w:rPr>
            </w:pPr>
          </w:p>
          <w:p w:rsidR="008B74C3" w:rsidP="00C65A3C" w14:paraId="0D03C707" w14:textId="40052A89">
            <w:pPr>
              <w:spacing w:after="120"/>
              <w:jc w:val="center"/>
              <w:rPr>
                <w:b/>
                <w:bCs/>
                <w:sz w:val="28"/>
                <w:szCs w:val="28"/>
              </w:rPr>
            </w:pPr>
            <w:r w:rsidRPr="68B40A2B">
              <w:rPr>
                <w:b/>
                <w:bCs/>
                <w:sz w:val="28"/>
                <w:szCs w:val="28"/>
              </w:rPr>
              <w:t xml:space="preserve">FCC </w:t>
            </w:r>
            <w:r w:rsidR="008238F7">
              <w:rPr>
                <w:b/>
                <w:bCs/>
                <w:sz w:val="28"/>
                <w:szCs w:val="28"/>
              </w:rPr>
              <w:t xml:space="preserve">Poised </w:t>
            </w:r>
            <w:r w:rsidR="006A2FFE">
              <w:rPr>
                <w:b/>
                <w:bCs/>
                <w:sz w:val="28"/>
                <w:szCs w:val="28"/>
              </w:rPr>
              <w:t>to Empower Super-Fast</w:t>
            </w:r>
            <w:r w:rsidR="00B64882">
              <w:rPr>
                <w:b/>
                <w:bCs/>
                <w:sz w:val="28"/>
                <w:szCs w:val="28"/>
              </w:rPr>
              <w:t>,</w:t>
            </w:r>
            <w:r w:rsidR="006A2FFE">
              <w:rPr>
                <w:b/>
                <w:bCs/>
                <w:sz w:val="28"/>
                <w:szCs w:val="28"/>
              </w:rPr>
              <w:t xml:space="preserve"> Space</w:t>
            </w:r>
            <w:r w:rsidR="00B64882">
              <w:rPr>
                <w:b/>
                <w:bCs/>
                <w:sz w:val="28"/>
                <w:szCs w:val="28"/>
              </w:rPr>
              <w:t>-Based</w:t>
            </w:r>
            <w:r w:rsidR="006A2FFE">
              <w:rPr>
                <w:b/>
                <w:bCs/>
                <w:sz w:val="28"/>
                <w:szCs w:val="28"/>
              </w:rPr>
              <w:t xml:space="preserve"> Broadband</w:t>
            </w:r>
          </w:p>
          <w:p w:rsidR="008B74C3" w:rsidRPr="00FF105E" w:rsidP="68B40A2B" w14:paraId="64F7095E" w14:textId="2E16A59B">
            <w:pPr>
              <w:jc w:val="center"/>
              <w:rPr>
                <w:i/>
                <w:iCs/>
              </w:rPr>
            </w:pPr>
            <w:r>
              <w:rPr>
                <w:i/>
                <w:iCs/>
              </w:rPr>
              <w:t xml:space="preserve">Modernizing 90s-Era Rules Will </w:t>
            </w:r>
            <w:r w:rsidR="006A2FFE">
              <w:rPr>
                <w:i/>
                <w:iCs/>
              </w:rPr>
              <w:t xml:space="preserve">Massively </w:t>
            </w:r>
            <w:r>
              <w:rPr>
                <w:i/>
                <w:iCs/>
              </w:rPr>
              <w:t xml:space="preserve">Boost </w:t>
            </w:r>
            <w:r w:rsidR="006A2FFE">
              <w:rPr>
                <w:i/>
                <w:iCs/>
              </w:rPr>
              <w:t xml:space="preserve">Broadband Speeds and Capacity </w:t>
            </w:r>
          </w:p>
          <w:p w:rsidR="008B74C3" w:rsidP="008B74C3" w14:paraId="742F5355"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6A4D89" w:rsidP="00795AAB" w14:paraId="25FC3961" w14:textId="589A5EDC">
            <w:pPr>
              <w:ind w:right="-77"/>
              <w:rPr>
                <w:sz w:val="22"/>
                <w:szCs w:val="22"/>
              </w:rPr>
            </w:pPr>
            <w:r w:rsidRPr="083AF924">
              <w:rPr>
                <w:sz w:val="22"/>
                <w:szCs w:val="22"/>
              </w:rPr>
              <w:t>WASHINGTON,</w:t>
            </w:r>
            <w:r w:rsidRPr="083AF924" w:rsidR="65DE2843">
              <w:rPr>
                <w:sz w:val="22"/>
                <w:szCs w:val="22"/>
              </w:rPr>
              <w:t xml:space="preserve"> </w:t>
            </w:r>
            <w:r w:rsidR="00AF6FE4">
              <w:rPr>
                <w:sz w:val="22"/>
                <w:szCs w:val="22"/>
              </w:rPr>
              <w:t>April 8</w:t>
            </w:r>
            <w:r w:rsidRPr="006D748C" w:rsidR="006D748C">
              <w:rPr>
                <w:sz w:val="22"/>
                <w:szCs w:val="22"/>
              </w:rPr>
              <w:t>, 202</w:t>
            </w:r>
            <w:r w:rsidR="0089261F">
              <w:rPr>
                <w:sz w:val="22"/>
                <w:szCs w:val="22"/>
              </w:rPr>
              <w:t>6</w:t>
            </w:r>
            <w:r w:rsidRPr="006D748C" w:rsidR="006D748C">
              <w:rPr>
                <w:sz w:val="22"/>
                <w:szCs w:val="22"/>
              </w:rPr>
              <w:t>—</w:t>
            </w:r>
            <w:r w:rsidR="0089261F">
              <w:rPr>
                <w:sz w:val="22"/>
                <w:szCs w:val="22"/>
              </w:rPr>
              <w:t xml:space="preserve">Today, </w:t>
            </w:r>
            <w:r w:rsidR="00795AAB">
              <w:rPr>
                <w:sz w:val="22"/>
                <w:szCs w:val="22"/>
              </w:rPr>
              <w:t xml:space="preserve">FCC Chairman Brendan Carr </w:t>
            </w:r>
            <w:r w:rsidR="00B64882">
              <w:rPr>
                <w:sz w:val="22"/>
                <w:szCs w:val="22"/>
              </w:rPr>
              <w:t xml:space="preserve">announced </w:t>
            </w:r>
            <w:r>
              <w:rPr>
                <w:sz w:val="22"/>
                <w:szCs w:val="22"/>
              </w:rPr>
              <w:t xml:space="preserve">that </w:t>
            </w:r>
            <w:r w:rsidR="00B64882">
              <w:rPr>
                <w:sz w:val="22"/>
                <w:szCs w:val="22"/>
              </w:rPr>
              <w:t xml:space="preserve">the Commission </w:t>
            </w:r>
            <w:r>
              <w:rPr>
                <w:sz w:val="22"/>
                <w:szCs w:val="22"/>
              </w:rPr>
              <w:t>would</w:t>
            </w:r>
            <w:r w:rsidR="00B64882">
              <w:rPr>
                <w:sz w:val="22"/>
                <w:szCs w:val="22"/>
              </w:rPr>
              <w:t xml:space="preserve"> vote on </w:t>
            </w:r>
            <w:r w:rsidRPr="006A4D89">
              <w:rPr>
                <w:sz w:val="22"/>
                <w:szCs w:val="22"/>
              </w:rPr>
              <w:t xml:space="preserve">an order to modernize </w:t>
            </w:r>
            <w:r>
              <w:rPr>
                <w:sz w:val="22"/>
                <w:szCs w:val="22"/>
              </w:rPr>
              <w:t>its</w:t>
            </w:r>
            <w:r w:rsidRPr="006A4D89">
              <w:rPr>
                <w:sz w:val="22"/>
                <w:szCs w:val="22"/>
              </w:rPr>
              <w:t xml:space="preserve"> satellite spectrum-sharing rules—a change that could unlock more than $2 billion in economic benefits for the American people and </w:t>
            </w:r>
            <w:r w:rsidR="00DF180F">
              <w:rPr>
                <w:sz w:val="22"/>
                <w:szCs w:val="22"/>
              </w:rPr>
              <w:t xml:space="preserve">up to seven-fold </w:t>
            </w:r>
            <w:r w:rsidRPr="006A4D89">
              <w:rPr>
                <w:sz w:val="22"/>
                <w:szCs w:val="22"/>
              </w:rPr>
              <w:t xml:space="preserve">more capacity for </w:t>
            </w:r>
            <w:r>
              <w:rPr>
                <w:sz w:val="22"/>
                <w:szCs w:val="22"/>
              </w:rPr>
              <w:t>space-based broadband services</w:t>
            </w:r>
            <w:r w:rsidRPr="006A4D89">
              <w:rPr>
                <w:sz w:val="22"/>
                <w:szCs w:val="22"/>
              </w:rPr>
              <w:t xml:space="preserve">.  </w:t>
            </w:r>
          </w:p>
          <w:p w:rsidR="006A4D89" w:rsidP="00795AAB" w14:paraId="0FE78196" w14:textId="77777777">
            <w:pPr>
              <w:ind w:right="-77"/>
              <w:rPr>
                <w:sz w:val="22"/>
                <w:szCs w:val="22"/>
              </w:rPr>
            </w:pPr>
          </w:p>
          <w:p w:rsidR="006A4D89" w:rsidP="00795AAB" w14:paraId="2E006A0A" w14:textId="28E70189">
            <w:pPr>
              <w:ind w:right="-77"/>
              <w:rPr>
                <w:sz w:val="22"/>
                <w:szCs w:val="22"/>
              </w:rPr>
            </w:pPr>
            <w:r>
              <w:rPr>
                <w:sz w:val="22"/>
                <w:szCs w:val="22"/>
              </w:rPr>
              <w:t>Drawing from the state-of-the-art in satellite technology, t</w:t>
            </w:r>
            <w:r w:rsidR="006A2FFE">
              <w:rPr>
                <w:sz w:val="22"/>
                <w:szCs w:val="22"/>
              </w:rPr>
              <w:t>he</w:t>
            </w:r>
            <w:r>
              <w:rPr>
                <w:sz w:val="22"/>
                <w:szCs w:val="22"/>
              </w:rPr>
              <w:t xml:space="preserve"> FCC’s</w:t>
            </w:r>
            <w:r w:rsidR="006A2FFE">
              <w:rPr>
                <w:sz w:val="22"/>
                <w:szCs w:val="22"/>
              </w:rPr>
              <w:t xml:space="preserve"> new </w:t>
            </w:r>
            <w:r w:rsidR="0069364D">
              <w:rPr>
                <w:sz w:val="22"/>
                <w:szCs w:val="22"/>
              </w:rPr>
              <w:t xml:space="preserve">technical </w:t>
            </w:r>
            <w:r w:rsidR="006A2FFE">
              <w:rPr>
                <w:sz w:val="22"/>
                <w:szCs w:val="22"/>
              </w:rPr>
              <w:t xml:space="preserve">rules </w:t>
            </w:r>
            <w:r w:rsidR="0069364D">
              <w:rPr>
                <w:sz w:val="22"/>
                <w:szCs w:val="22"/>
              </w:rPr>
              <w:t>would revise</w:t>
            </w:r>
            <w:r w:rsidR="006A2FFE">
              <w:rPr>
                <w:sz w:val="22"/>
                <w:szCs w:val="22"/>
              </w:rPr>
              <w:t xml:space="preserve"> </w:t>
            </w:r>
            <w:r w:rsidRPr="006A2FFE" w:rsidR="006A2FFE">
              <w:rPr>
                <w:sz w:val="22"/>
                <w:szCs w:val="22"/>
              </w:rPr>
              <w:t>the decades-old framework for how Geostationary Orbit (GSO) and Non-Geostationary Orbit (NGSO) systems share spectrum</w:t>
            </w:r>
            <w:r w:rsidR="006A2FFE">
              <w:rPr>
                <w:sz w:val="22"/>
                <w:szCs w:val="22"/>
              </w:rPr>
              <w:t xml:space="preserve">. </w:t>
            </w:r>
            <w:r w:rsidR="00515B86">
              <w:rPr>
                <w:sz w:val="22"/>
                <w:szCs w:val="22"/>
              </w:rPr>
              <w:t xml:space="preserve"> </w:t>
            </w:r>
            <w:r w:rsidR="0069364D">
              <w:rPr>
                <w:sz w:val="22"/>
                <w:szCs w:val="22"/>
              </w:rPr>
              <w:t xml:space="preserve">That </w:t>
            </w:r>
            <w:r w:rsidR="00515B86">
              <w:rPr>
                <w:sz w:val="22"/>
                <w:szCs w:val="22"/>
              </w:rPr>
              <w:t>19</w:t>
            </w:r>
            <w:r w:rsidR="00F133B5">
              <w:rPr>
                <w:sz w:val="22"/>
                <w:szCs w:val="22"/>
              </w:rPr>
              <w:t xml:space="preserve">90s-era </w:t>
            </w:r>
            <w:r w:rsidR="0069364D">
              <w:rPr>
                <w:sz w:val="22"/>
                <w:szCs w:val="22"/>
              </w:rPr>
              <w:t xml:space="preserve">framework predates </w:t>
            </w:r>
            <w:r w:rsidR="00F133B5">
              <w:rPr>
                <w:sz w:val="22"/>
                <w:szCs w:val="22"/>
              </w:rPr>
              <w:t xml:space="preserve">the revolutionary changes in spectrum sharing technology that have been developed in the decades since.   </w:t>
            </w:r>
            <w:r w:rsidR="006A2FFE">
              <w:rPr>
                <w:sz w:val="22"/>
                <w:szCs w:val="22"/>
              </w:rPr>
              <w:t xml:space="preserve"> </w:t>
            </w:r>
          </w:p>
          <w:p w:rsidR="006A4D89" w:rsidP="00795AAB" w14:paraId="11DBB13F" w14:textId="486A38ED">
            <w:pPr>
              <w:ind w:right="-77"/>
              <w:rPr>
                <w:sz w:val="22"/>
                <w:szCs w:val="22"/>
              </w:rPr>
            </w:pPr>
            <w:r>
              <w:rPr>
                <w:sz w:val="22"/>
                <w:szCs w:val="22"/>
              </w:rPr>
              <w:t xml:space="preserve"> </w:t>
            </w:r>
          </w:p>
          <w:p w:rsidR="006D748C" w:rsidP="00795AAB" w14:paraId="569CCB34" w14:textId="147703AC">
            <w:pPr>
              <w:ind w:right="-77"/>
              <w:rPr>
                <w:sz w:val="22"/>
                <w:szCs w:val="22"/>
              </w:rPr>
            </w:pPr>
            <w:r>
              <w:rPr>
                <w:sz w:val="22"/>
                <w:szCs w:val="22"/>
              </w:rPr>
              <w:t>Th</w:t>
            </w:r>
            <w:r w:rsidR="002F7664">
              <w:rPr>
                <w:sz w:val="22"/>
                <w:szCs w:val="22"/>
              </w:rPr>
              <w:t>e</w:t>
            </w:r>
            <w:r>
              <w:rPr>
                <w:sz w:val="22"/>
                <w:szCs w:val="22"/>
              </w:rPr>
              <w:t xml:space="preserve"> FCC’s new framework will enable </w:t>
            </w:r>
            <w:r w:rsidRPr="006A4D89">
              <w:rPr>
                <w:sz w:val="22"/>
                <w:szCs w:val="22"/>
              </w:rPr>
              <w:t xml:space="preserve">faster speeds, lower costs, and greater reliability, </w:t>
            </w:r>
            <w:r>
              <w:rPr>
                <w:sz w:val="22"/>
                <w:szCs w:val="22"/>
              </w:rPr>
              <w:t xml:space="preserve">representing </w:t>
            </w:r>
            <w:r w:rsidRPr="006A4D89">
              <w:rPr>
                <w:sz w:val="22"/>
                <w:szCs w:val="22"/>
              </w:rPr>
              <w:t>another step to ensure that consumers benefit from competitive and affordable Internet options.</w:t>
            </w:r>
            <w:r>
              <w:rPr>
                <w:sz w:val="22"/>
                <w:szCs w:val="22"/>
              </w:rPr>
              <w:t xml:space="preserve">  </w:t>
            </w:r>
          </w:p>
          <w:p w:rsidR="009C7D13" w:rsidRPr="009C7D13" w:rsidP="009C7D13" w14:paraId="582C7650" w14:textId="77777777">
            <w:pPr>
              <w:ind w:right="-77"/>
              <w:rPr>
                <w:sz w:val="22"/>
                <w:szCs w:val="22"/>
              </w:rPr>
            </w:pPr>
          </w:p>
          <w:p w:rsidR="009C7D13" w:rsidRPr="009C7D13" w:rsidP="009C7D13" w14:paraId="3CC3AE88" w14:textId="77777777">
            <w:pPr>
              <w:ind w:right="-77"/>
              <w:rPr>
                <w:b/>
                <w:bCs/>
                <w:sz w:val="22"/>
                <w:szCs w:val="22"/>
              </w:rPr>
            </w:pPr>
            <w:r w:rsidRPr="009C7D13">
              <w:rPr>
                <w:b/>
                <w:bCs/>
                <w:sz w:val="22"/>
                <w:szCs w:val="22"/>
              </w:rPr>
              <w:t>Chairman Carr issued the following statement:</w:t>
            </w:r>
          </w:p>
          <w:p w:rsidR="009C7D13" w:rsidRPr="009C7D13" w:rsidP="009C7D13" w14:paraId="3A0B7E95" w14:textId="77777777">
            <w:pPr>
              <w:ind w:right="-77"/>
              <w:rPr>
                <w:sz w:val="22"/>
                <w:szCs w:val="22"/>
              </w:rPr>
            </w:pPr>
          </w:p>
          <w:p w:rsidR="006A2FFE" w:rsidRPr="009C7D13" w:rsidP="009C7D13" w14:paraId="122F3899" w14:textId="4F6A1603">
            <w:pPr>
              <w:ind w:right="-77"/>
              <w:rPr>
                <w:sz w:val="22"/>
                <w:szCs w:val="22"/>
              </w:rPr>
            </w:pPr>
            <w:r w:rsidRPr="009C7D13">
              <w:rPr>
                <w:sz w:val="22"/>
                <w:szCs w:val="22"/>
              </w:rPr>
              <w:t>“</w:t>
            </w:r>
            <w:r w:rsidR="00515B86">
              <w:rPr>
                <w:sz w:val="22"/>
                <w:szCs w:val="22"/>
              </w:rPr>
              <w:t>The FCC is moving fast to unleash affordable, high-speed Internet</w:t>
            </w:r>
            <w:r w:rsidR="00EB320E">
              <w:rPr>
                <w:sz w:val="22"/>
                <w:szCs w:val="22"/>
              </w:rPr>
              <w:t>.</w:t>
            </w:r>
            <w:r w:rsidR="00515B86">
              <w:rPr>
                <w:sz w:val="22"/>
                <w:szCs w:val="22"/>
              </w:rPr>
              <w:t xml:space="preserve">  </w:t>
            </w:r>
            <w:r w:rsidR="00281B36">
              <w:rPr>
                <w:sz w:val="22"/>
                <w:szCs w:val="22"/>
              </w:rPr>
              <w:t xml:space="preserve">By </w:t>
            </w:r>
            <w:r w:rsidR="00515B86">
              <w:rPr>
                <w:sz w:val="22"/>
                <w:szCs w:val="22"/>
              </w:rPr>
              <w:t>discarding</w:t>
            </w:r>
            <w:r w:rsidR="00281B36">
              <w:rPr>
                <w:sz w:val="22"/>
                <w:szCs w:val="22"/>
              </w:rPr>
              <w:t xml:space="preserve"> last century’s satellite regulations, we could see billions of dollars </w:t>
            </w:r>
            <w:r w:rsidR="00F7063E">
              <w:rPr>
                <w:sz w:val="22"/>
                <w:szCs w:val="22"/>
              </w:rPr>
              <w:t xml:space="preserve">in </w:t>
            </w:r>
            <w:r w:rsidR="00281B36">
              <w:rPr>
                <w:sz w:val="22"/>
                <w:szCs w:val="22"/>
              </w:rPr>
              <w:t xml:space="preserve">benefits </w:t>
            </w:r>
            <w:r w:rsidR="0065189E">
              <w:rPr>
                <w:sz w:val="22"/>
                <w:szCs w:val="22"/>
              </w:rPr>
              <w:t xml:space="preserve">for the American economy </w:t>
            </w:r>
            <w:r w:rsidR="00281B36">
              <w:rPr>
                <w:sz w:val="22"/>
                <w:szCs w:val="22"/>
              </w:rPr>
              <w:t xml:space="preserve">and </w:t>
            </w:r>
            <w:r w:rsidR="00F7063E">
              <w:rPr>
                <w:sz w:val="22"/>
                <w:szCs w:val="22"/>
              </w:rPr>
              <w:t xml:space="preserve">broadband </w:t>
            </w:r>
            <w:r w:rsidR="00281B36">
              <w:rPr>
                <w:sz w:val="22"/>
                <w:szCs w:val="22"/>
              </w:rPr>
              <w:t xml:space="preserve">speeds many times faster than what is available today. </w:t>
            </w:r>
            <w:r w:rsidR="00F7063E">
              <w:rPr>
                <w:sz w:val="22"/>
                <w:szCs w:val="22"/>
              </w:rPr>
              <w:t xml:space="preserve"> This overdue rethinking of space spectrum sharing rules will bring greater competition to the broadband marketplace and reduce the number of satellites needed to serve a given area.  Our Build America Agenda is unleashing America’s space industry to deliver for consumers.”</w:t>
            </w:r>
          </w:p>
          <w:p w:rsidR="009C7D13" w:rsidRPr="009C7D13" w:rsidP="009C7D13" w14:paraId="41629AE0" w14:textId="77777777">
            <w:pPr>
              <w:ind w:right="-77"/>
              <w:rPr>
                <w:sz w:val="22"/>
                <w:szCs w:val="22"/>
              </w:rPr>
            </w:pPr>
          </w:p>
          <w:p w:rsidR="00795AAB" w:rsidRPr="009C7D13" w:rsidP="009C7D13" w14:paraId="7EDC6DEB" w14:textId="77777777">
            <w:pPr>
              <w:ind w:right="-77"/>
              <w:rPr>
                <w:b/>
                <w:bCs/>
                <w:sz w:val="22"/>
                <w:szCs w:val="22"/>
              </w:rPr>
            </w:pPr>
            <w:r w:rsidRPr="009C7D13">
              <w:rPr>
                <w:b/>
                <w:bCs/>
                <w:sz w:val="22"/>
                <w:szCs w:val="22"/>
              </w:rPr>
              <w:t>Additional Background Information:</w:t>
            </w:r>
          </w:p>
          <w:p w:rsidR="009C7D13" w:rsidP="009C7D13" w14:paraId="6971DBCF" w14:textId="77777777">
            <w:pPr>
              <w:ind w:right="-77"/>
              <w:rPr>
                <w:sz w:val="22"/>
                <w:szCs w:val="22"/>
              </w:rPr>
            </w:pPr>
          </w:p>
          <w:p w:rsidR="0089261F" w:rsidP="0089261F" w14:paraId="2A676DAB" w14:textId="337085CE">
            <w:pPr>
              <w:ind w:right="-77"/>
              <w:rPr>
                <w:sz w:val="22"/>
                <w:szCs w:val="22"/>
              </w:rPr>
            </w:pPr>
            <w:r w:rsidRPr="6AD18292">
              <w:rPr>
                <w:sz w:val="22"/>
                <w:szCs w:val="22"/>
              </w:rPr>
              <w:t>The Report and Order</w:t>
            </w:r>
            <w:r w:rsidRPr="6AD18292" w:rsidR="00A670E2">
              <w:rPr>
                <w:sz w:val="22"/>
                <w:szCs w:val="22"/>
              </w:rPr>
              <w:t>, if adopted by a vote of the full Commission at its next monthly meeting, would replace the Equivalent Power Flux Density (EPFD) framework with modern, performance-based GSO protection criteria that take account of the improved spectrum sharing possibilities that modern satellite technology has brought, including through use of adaptive coding and modulation (ACM).  The new sharing regime builds on the Commission’s time-tested framework for good-faith coordination to allow NGSO and GSO operators to bargain for appropriate interference protections through voluntary, private agreements.</w:t>
            </w:r>
          </w:p>
          <w:p w:rsidR="006A2FFE" w:rsidP="0089261F" w14:paraId="764C7087" w14:textId="77777777">
            <w:pPr>
              <w:ind w:right="-77"/>
              <w:rPr>
                <w:sz w:val="22"/>
                <w:szCs w:val="22"/>
              </w:rPr>
            </w:pPr>
          </w:p>
          <w:p w:rsidR="00F7063E" w:rsidP="0089261F" w14:paraId="6E2C741F" w14:textId="69096C64">
            <w:pPr>
              <w:ind w:right="-77"/>
              <w:rPr>
                <w:sz w:val="22"/>
                <w:szCs w:val="22"/>
              </w:rPr>
            </w:pPr>
            <w:r>
              <w:rPr>
                <w:sz w:val="22"/>
                <w:szCs w:val="22"/>
              </w:rPr>
              <w:t>The current, decades-old</w:t>
            </w:r>
            <w:r>
              <w:rPr>
                <w:sz w:val="22"/>
                <w:szCs w:val="22"/>
              </w:rPr>
              <w:t xml:space="preserve"> regulatory</w:t>
            </w:r>
            <w:r>
              <w:rPr>
                <w:sz w:val="22"/>
                <w:szCs w:val="22"/>
              </w:rPr>
              <w:t xml:space="preserve"> regim</w:t>
            </w:r>
            <w:r>
              <w:rPr>
                <w:sz w:val="22"/>
                <w:szCs w:val="22"/>
              </w:rPr>
              <w:t xml:space="preserve">e has </w:t>
            </w:r>
            <w:r w:rsidRPr="00F7063E">
              <w:rPr>
                <w:sz w:val="22"/>
                <w:szCs w:val="22"/>
              </w:rPr>
              <w:t>significantly limited the ability of operators to deliver high-speed, low</w:t>
            </w:r>
            <w:r>
              <w:rPr>
                <w:sz w:val="22"/>
                <w:szCs w:val="22"/>
              </w:rPr>
              <w:t>-</w:t>
            </w:r>
            <w:r w:rsidRPr="00F7063E">
              <w:rPr>
                <w:sz w:val="22"/>
                <w:szCs w:val="22"/>
              </w:rPr>
              <w:t>latency broadband services to consumers.</w:t>
            </w:r>
            <w:r>
              <w:rPr>
                <w:sz w:val="22"/>
                <w:szCs w:val="22"/>
              </w:rPr>
              <w:t xml:space="preserve">  </w:t>
            </w:r>
            <w:r w:rsidRPr="00F7063E">
              <w:rPr>
                <w:sz w:val="22"/>
                <w:szCs w:val="22"/>
              </w:rPr>
              <w:t xml:space="preserve">Until now, NGSO operators’ power levels have been restricted by EPFD limits developed in the late-1990s to protect GSO satellites.  Such limits were based on theoretical designs for NGSO systems of that era, long before modern advancements were developed for the NGSO constellations currently in orbit.  </w:t>
            </w:r>
            <w:r>
              <w:rPr>
                <w:sz w:val="22"/>
                <w:szCs w:val="22"/>
              </w:rPr>
              <w:t>T</w:t>
            </w:r>
            <w:r w:rsidRPr="00F7063E">
              <w:rPr>
                <w:sz w:val="22"/>
                <w:szCs w:val="22"/>
              </w:rPr>
              <w:t xml:space="preserve">his government-imposed overprotection </w:t>
            </w:r>
            <w:r>
              <w:rPr>
                <w:sz w:val="22"/>
                <w:szCs w:val="22"/>
              </w:rPr>
              <w:t xml:space="preserve">of GSO systems has meant that </w:t>
            </w:r>
            <w:r w:rsidRPr="00F7063E">
              <w:rPr>
                <w:sz w:val="22"/>
                <w:szCs w:val="22"/>
              </w:rPr>
              <w:t>American households and businesses—most critically in rural and remote areas—do not receive the fastest space-based broadband American innovation has available.</w:t>
            </w:r>
          </w:p>
          <w:p w:rsidR="00A670E2" w:rsidP="0089261F" w14:paraId="0FE293E8" w14:textId="77777777">
            <w:pPr>
              <w:ind w:right="-77"/>
              <w:rPr>
                <w:sz w:val="22"/>
                <w:szCs w:val="22"/>
              </w:rPr>
            </w:pPr>
          </w:p>
          <w:p w:rsidR="00A670E2" w:rsidP="0089261F" w14:paraId="71F88CE4" w14:textId="632F6326">
            <w:pPr>
              <w:ind w:right="-77"/>
              <w:rPr>
                <w:sz w:val="22"/>
                <w:szCs w:val="22"/>
              </w:rPr>
            </w:pPr>
            <w:r>
              <w:rPr>
                <w:sz w:val="22"/>
                <w:szCs w:val="22"/>
              </w:rPr>
              <w:t xml:space="preserve">The public draft of the Report and Order will be available on Thursday on the April Open Meeting webpage: </w:t>
            </w:r>
            <w:hyperlink r:id="rId5" w:history="1">
              <w:r w:rsidRPr="00CE4C4F">
                <w:rPr>
                  <w:rStyle w:val="Hyperlink"/>
                  <w:sz w:val="22"/>
                  <w:szCs w:val="22"/>
                </w:rPr>
                <w:t>https://www.fcc.gov/April2026</w:t>
              </w:r>
            </w:hyperlink>
            <w:r>
              <w:rPr>
                <w:sz w:val="22"/>
                <w:szCs w:val="22"/>
              </w:rPr>
              <w:t xml:space="preserve">. </w:t>
            </w:r>
          </w:p>
          <w:p w:rsidR="006D748C" w:rsidRPr="002E165B" w:rsidP="006D748C" w14:paraId="500A95C0" w14:textId="77777777">
            <w:pPr>
              <w:rPr>
                <w:sz w:val="22"/>
                <w:szCs w:val="22"/>
              </w:rPr>
            </w:pPr>
          </w:p>
          <w:p w:rsidR="004F0F1F" w:rsidRPr="007475A1" w:rsidP="00850E26" w14:paraId="411FC2C3" w14:textId="77777777">
            <w:pPr>
              <w:ind w:right="72"/>
              <w:jc w:val="center"/>
              <w:rPr>
                <w:sz w:val="22"/>
                <w:szCs w:val="22"/>
              </w:rPr>
            </w:pPr>
            <w:r w:rsidRPr="007475A1">
              <w:rPr>
                <w:sz w:val="22"/>
                <w:szCs w:val="22"/>
              </w:rPr>
              <w:t>###</w:t>
            </w:r>
          </w:p>
          <w:p w:rsidR="00104B0D" w:rsidRPr="00104B0D" w:rsidP="00104B0D" w14:paraId="7A7F8EC6" w14:textId="77777777">
            <w:pPr>
              <w:ind w:right="72"/>
              <w:jc w:val="center"/>
              <w:rPr>
                <w:b/>
                <w:bCs/>
                <w:sz w:val="22"/>
                <w:szCs w:val="22"/>
              </w:rPr>
            </w:pPr>
            <w:r w:rsidRPr="00104B0D">
              <w:rPr>
                <w:b/>
                <w:bCs/>
                <w:sz w:val="22"/>
                <w:szCs w:val="22"/>
              </w:rPr>
              <w:br/>
              <w:t>Media Contact: MediaRelations@fcc.gov / (202) 418-0500</w:t>
            </w:r>
          </w:p>
          <w:p w:rsidR="00FF105E" w:rsidRPr="00104B0D" w:rsidP="00D45E2D" w14:paraId="0A953D44"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585B706B" w14:textId="77777777">
      <w:pPr>
        <w:rPr>
          <w:b/>
          <w:bCs/>
          <w:sz w:val="2"/>
          <w:szCs w:val="2"/>
        </w:rPr>
      </w:pPr>
    </w:p>
    <w:sectPr w:rsidSect="00016AA3">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F"/>
    <w:rsid w:val="0000293A"/>
    <w:rsid w:val="00012186"/>
    <w:rsid w:val="00013E6B"/>
    <w:rsid w:val="00014F48"/>
    <w:rsid w:val="00016AA3"/>
    <w:rsid w:val="0002500C"/>
    <w:rsid w:val="000311FC"/>
    <w:rsid w:val="00040127"/>
    <w:rsid w:val="00046988"/>
    <w:rsid w:val="00057147"/>
    <w:rsid w:val="000618B0"/>
    <w:rsid w:val="00065E2D"/>
    <w:rsid w:val="00081232"/>
    <w:rsid w:val="00091E65"/>
    <w:rsid w:val="00096D4A"/>
    <w:rsid w:val="000A3783"/>
    <w:rsid w:val="000A38EA"/>
    <w:rsid w:val="000C1E47"/>
    <w:rsid w:val="000C26F3"/>
    <w:rsid w:val="000D4846"/>
    <w:rsid w:val="000E049E"/>
    <w:rsid w:val="000E0B1A"/>
    <w:rsid w:val="00104B0D"/>
    <w:rsid w:val="0010799B"/>
    <w:rsid w:val="00117DB2"/>
    <w:rsid w:val="00123ED2"/>
    <w:rsid w:val="00125BE0"/>
    <w:rsid w:val="00134A4A"/>
    <w:rsid w:val="00134BC7"/>
    <w:rsid w:val="00142C13"/>
    <w:rsid w:val="00150380"/>
    <w:rsid w:val="00152776"/>
    <w:rsid w:val="00153222"/>
    <w:rsid w:val="001577D3"/>
    <w:rsid w:val="00160F30"/>
    <w:rsid w:val="001727ED"/>
    <w:rsid w:val="001733A6"/>
    <w:rsid w:val="001865A9"/>
    <w:rsid w:val="00187DB2"/>
    <w:rsid w:val="001A063A"/>
    <w:rsid w:val="001B030B"/>
    <w:rsid w:val="001B20BB"/>
    <w:rsid w:val="001C4370"/>
    <w:rsid w:val="001D3779"/>
    <w:rsid w:val="001F0469"/>
    <w:rsid w:val="001F209C"/>
    <w:rsid w:val="00202EF3"/>
    <w:rsid w:val="00203A98"/>
    <w:rsid w:val="00206EDD"/>
    <w:rsid w:val="0021247E"/>
    <w:rsid w:val="002146F6"/>
    <w:rsid w:val="00231C32"/>
    <w:rsid w:val="00236E11"/>
    <w:rsid w:val="00240345"/>
    <w:rsid w:val="002421F0"/>
    <w:rsid w:val="00247101"/>
    <w:rsid w:val="00247274"/>
    <w:rsid w:val="00266966"/>
    <w:rsid w:val="00281B36"/>
    <w:rsid w:val="00282685"/>
    <w:rsid w:val="00285C36"/>
    <w:rsid w:val="00286596"/>
    <w:rsid w:val="00294C0C"/>
    <w:rsid w:val="00295C31"/>
    <w:rsid w:val="002A016A"/>
    <w:rsid w:val="002A0934"/>
    <w:rsid w:val="002B1013"/>
    <w:rsid w:val="002C0B0D"/>
    <w:rsid w:val="002C40EB"/>
    <w:rsid w:val="002C4377"/>
    <w:rsid w:val="002C6AA0"/>
    <w:rsid w:val="002D03E5"/>
    <w:rsid w:val="002D1E91"/>
    <w:rsid w:val="002D4180"/>
    <w:rsid w:val="002E165B"/>
    <w:rsid w:val="002E3F1D"/>
    <w:rsid w:val="002F0889"/>
    <w:rsid w:val="002F31D0"/>
    <w:rsid w:val="002F7664"/>
    <w:rsid w:val="00300359"/>
    <w:rsid w:val="0031131E"/>
    <w:rsid w:val="0031184B"/>
    <w:rsid w:val="00313779"/>
    <w:rsid w:val="0031773E"/>
    <w:rsid w:val="003230CE"/>
    <w:rsid w:val="00333871"/>
    <w:rsid w:val="003427CE"/>
    <w:rsid w:val="00347716"/>
    <w:rsid w:val="003506E1"/>
    <w:rsid w:val="00353B95"/>
    <w:rsid w:val="0036663F"/>
    <w:rsid w:val="00370406"/>
    <w:rsid w:val="003727E3"/>
    <w:rsid w:val="00374AE5"/>
    <w:rsid w:val="0037558A"/>
    <w:rsid w:val="00380E27"/>
    <w:rsid w:val="00385A93"/>
    <w:rsid w:val="003910F1"/>
    <w:rsid w:val="003B4268"/>
    <w:rsid w:val="003D5DCE"/>
    <w:rsid w:val="003D7499"/>
    <w:rsid w:val="003E42FC"/>
    <w:rsid w:val="003E5991"/>
    <w:rsid w:val="003F2135"/>
    <w:rsid w:val="003F344A"/>
    <w:rsid w:val="003F4E6A"/>
    <w:rsid w:val="003F591F"/>
    <w:rsid w:val="00401F89"/>
    <w:rsid w:val="00403FF0"/>
    <w:rsid w:val="0041464A"/>
    <w:rsid w:val="0042046D"/>
    <w:rsid w:val="0042116E"/>
    <w:rsid w:val="00424B52"/>
    <w:rsid w:val="00425AEF"/>
    <w:rsid w:val="00426518"/>
    <w:rsid w:val="00427B06"/>
    <w:rsid w:val="004371FA"/>
    <w:rsid w:val="00441F59"/>
    <w:rsid w:val="00444E07"/>
    <w:rsid w:val="00444FA9"/>
    <w:rsid w:val="00473E9C"/>
    <w:rsid w:val="00474016"/>
    <w:rsid w:val="004745B2"/>
    <w:rsid w:val="00480099"/>
    <w:rsid w:val="004941A2"/>
    <w:rsid w:val="00497858"/>
    <w:rsid w:val="004A729A"/>
    <w:rsid w:val="004B2FB3"/>
    <w:rsid w:val="004B4FEA"/>
    <w:rsid w:val="004C0ADA"/>
    <w:rsid w:val="004C2BB7"/>
    <w:rsid w:val="004C3057"/>
    <w:rsid w:val="004C433E"/>
    <w:rsid w:val="004C4512"/>
    <w:rsid w:val="004C4F36"/>
    <w:rsid w:val="004D3D85"/>
    <w:rsid w:val="004E2BD8"/>
    <w:rsid w:val="004F0F1F"/>
    <w:rsid w:val="00500E42"/>
    <w:rsid w:val="005022AA"/>
    <w:rsid w:val="00504845"/>
    <w:rsid w:val="0050757F"/>
    <w:rsid w:val="00515B86"/>
    <w:rsid w:val="00516AD2"/>
    <w:rsid w:val="00527F4C"/>
    <w:rsid w:val="005337D4"/>
    <w:rsid w:val="00545DAE"/>
    <w:rsid w:val="00570737"/>
    <w:rsid w:val="005716EE"/>
    <w:rsid w:val="00571B83"/>
    <w:rsid w:val="00574BE5"/>
    <w:rsid w:val="00575A00"/>
    <w:rsid w:val="00586417"/>
    <w:rsid w:val="0058673C"/>
    <w:rsid w:val="00594504"/>
    <w:rsid w:val="005A14C1"/>
    <w:rsid w:val="005A1BAE"/>
    <w:rsid w:val="005A3177"/>
    <w:rsid w:val="005A7972"/>
    <w:rsid w:val="005B0B66"/>
    <w:rsid w:val="005B17E7"/>
    <w:rsid w:val="005B21B7"/>
    <w:rsid w:val="005B2643"/>
    <w:rsid w:val="005D17FD"/>
    <w:rsid w:val="005D1F72"/>
    <w:rsid w:val="005E076C"/>
    <w:rsid w:val="005E2381"/>
    <w:rsid w:val="005E2CB0"/>
    <w:rsid w:val="005F0D55"/>
    <w:rsid w:val="005F183E"/>
    <w:rsid w:val="005F5E78"/>
    <w:rsid w:val="00600DDA"/>
    <w:rsid w:val="00603A30"/>
    <w:rsid w:val="00604211"/>
    <w:rsid w:val="00613498"/>
    <w:rsid w:val="00617B94"/>
    <w:rsid w:val="00620BED"/>
    <w:rsid w:val="00626FFF"/>
    <w:rsid w:val="00630EFB"/>
    <w:rsid w:val="006415B4"/>
    <w:rsid w:val="00644E3D"/>
    <w:rsid w:val="0065189E"/>
    <w:rsid w:val="00651B9E"/>
    <w:rsid w:val="00652019"/>
    <w:rsid w:val="00652115"/>
    <w:rsid w:val="006550CC"/>
    <w:rsid w:val="00657EC9"/>
    <w:rsid w:val="00665633"/>
    <w:rsid w:val="00671813"/>
    <w:rsid w:val="00672C55"/>
    <w:rsid w:val="00674C86"/>
    <w:rsid w:val="0068015E"/>
    <w:rsid w:val="006861AB"/>
    <w:rsid w:val="00686B89"/>
    <w:rsid w:val="0069364D"/>
    <w:rsid w:val="0069420F"/>
    <w:rsid w:val="006A2FC5"/>
    <w:rsid w:val="006A2FFE"/>
    <w:rsid w:val="006A4D89"/>
    <w:rsid w:val="006A7D75"/>
    <w:rsid w:val="006B0A70"/>
    <w:rsid w:val="006B606A"/>
    <w:rsid w:val="006C33AF"/>
    <w:rsid w:val="006D16EF"/>
    <w:rsid w:val="006D5D22"/>
    <w:rsid w:val="006D748C"/>
    <w:rsid w:val="006D78E7"/>
    <w:rsid w:val="006E0324"/>
    <w:rsid w:val="006E4A76"/>
    <w:rsid w:val="006F1DBD"/>
    <w:rsid w:val="00700556"/>
    <w:rsid w:val="0070589A"/>
    <w:rsid w:val="007167DD"/>
    <w:rsid w:val="0072478B"/>
    <w:rsid w:val="0073414D"/>
    <w:rsid w:val="00737C81"/>
    <w:rsid w:val="007471D6"/>
    <w:rsid w:val="00747474"/>
    <w:rsid w:val="007475A1"/>
    <w:rsid w:val="00750A11"/>
    <w:rsid w:val="00751D69"/>
    <w:rsid w:val="0075235E"/>
    <w:rsid w:val="007528A5"/>
    <w:rsid w:val="007534E4"/>
    <w:rsid w:val="00765878"/>
    <w:rsid w:val="007732CC"/>
    <w:rsid w:val="00774079"/>
    <w:rsid w:val="00775660"/>
    <w:rsid w:val="0077752B"/>
    <w:rsid w:val="00787410"/>
    <w:rsid w:val="007926F8"/>
    <w:rsid w:val="00793D6F"/>
    <w:rsid w:val="00794090"/>
    <w:rsid w:val="00795AAB"/>
    <w:rsid w:val="007A44F8"/>
    <w:rsid w:val="007B1084"/>
    <w:rsid w:val="007B41C7"/>
    <w:rsid w:val="007D05B3"/>
    <w:rsid w:val="007D21BF"/>
    <w:rsid w:val="007E7AD7"/>
    <w:rsid w:val="007F1F21"/>
    <w:rsid w:val="007F3C12"/>
    <w:rsid w:val="007F418E"/>
    <w:rsid w:val="007F5205"/>
    <w:rsid w:val="0080486B"/>
    <w:rsid w:val="00817F58"/>
    <w:rsid w:val="008215E7"/>
    <w:rsid w:val="008238F7"/>
    <w:rsid w:val="00830FC6"/>
    <w:rsid w:val="00850E26"/>
    <w:rsid w:val="00852BF6"/>
    <w:rsid w:val="00865EAA"/>
    <w:rsid w:val="00866F06"/>
    <w:rsid w:val="008728F5"/>
    <w:rsid w:val="008824C2"/>
    <w:rsid w:val="0089261F"/>
    <w:rsid w:val="008960E4"/>
    <w:rsid w:val="008A3940"/>
    <w:rsid w:val="008B13C9"/>
    <w:rsid w:val="008B1997"/>
    <w:rsid w:val="008B74C3"/>
    <w:rsid w:val="008C02D2"/>
    <w:rsid w:val="008C248C"/>
    <w:rsid w:val="008C5432"/>
    <w:rsid w:val="008C7BF1"/>
    <w:rsid w:val="008D00D6"/>
    <w:rsid w:val="008D484B"/>
    <w:rsid w:val="008D4D00"/>
    <w:rsid w:val="008D4E5E"/>
    <w:rsid w:val="008D7ABD"/>
    <w:rsid w:val="008E55A2"/>
    <w:rsid w:val="008F1609"/>
    <w:rsid w:val="008F78D8"/>
    <w:rsid w:val="0093373C"/>
    <w:rsid w:val="00933977"/>
    <w:rsid w:val="00954C62"/>
    <w:rsid w:val="00960242"/>
    <w:rsid w:val="00961620"/>
    <w:rsid w:val="00966815"/>
    <w:rsid w:val="0096728B"/>
    <w:rsid w:val="009734B6"/>
    <w:rsid w:val="009745AE"/>
    <w:rsid w:val="00977355"/>
    <w:rsid w:val="0098096F"/>
    <w:rsid w:val="0098437A"/>
    <w:rsid w:val="00986C92"/>
    <w:rsid w:val="00993C47"/>
    <w:rsid w:val="009972BC"/>
    <w:rsid w:val="009B07DE"/>
    <w:rsid w:val="009B4B16"/>
    <w:rsid w:val="009B7F2E"/>
    <w:rsid w:val="009C0BCF"/>
    <w:rsid w:val="009C5D68"/>
    <w:rsid w:val="009C7D13"/>
    <w:rsid w:val="009E54A1"/>
    <w:rsid w:val="009E5F77"/>
    <w:rsid w:val="009F0DAE"/>
    <w:rsid w:val="009F4E25"/>
    <w:rsid w:val="009F5963"/>
    <w:rsid w:val="009F5B1F"/>
    <w:rsid w:val="00A07970"/>
    <w:rsid w:val="00A205EA"/>
    <w:rsid w:val="00A225A9"/>
    <w:rsid w:val="00A3308E"/>
    <w:rsid w:val="00A35757"/>
    <w:rsid w:val="00A35DFD"/>
    <w:rsid w:val="00A441E5"/>
    <w:rsid w:val="00A50722"/>
    <w:rsid w:val="00A670E2"/>
    <w:rsid w:val="00A6714A"/>
    <w:rsid w:val="00A702DF"/>
    <w:rsid w:val="00A72103"/>
    <w:rsid w:val="00A775A3"/>
    <w:rsid w:val="00A7792D"/>
    <w:rsid w:val="00A81700"/>
    <w:rsid w:val="00A81B5B"/>
    <w:rsid w:val="00A82FAD"/>
    <w:rsid w:val="00A964A1"/>
    <w:rsid w:val="00A9673A"/>
    <w:rsid w:val="00A96EF2"/>
    <w:rsid w:val="00A973B8"/>
    <w:rsid w:val="00AA5C35"/>
    <w:rsid w:val="00AA5ED9"/>
    <w:rsid w:val="00AC0A38"/>
    <w:rsid w:val="00AC4274"/>
    <w:rsid w:val="00AC4E0E"/>
    <w:rsid w:val="00AC517B"/>
    <w:rsid w:val="00AD0D19"/>
    <w:rsid w:val="00AD4184"/>
    <w:rsid w:val="00AD452E"/>
    <w:rsid w:val="00AF051B"/>
    <w:rsid w:val="00AF6FE4"/>
    <w:rsid w:val="00B037A2"/>
    <w:rsid w:val="00B17C3C"/>
    <w:rsid w:val="00B31870"/>
    <w:rsid w:val="00B320B8"/>
    <w:rsid w:val="00B35569"/>
    <w:rsid w:val="00B35EE2"/>
    <w:rsid w:val="00B36DEF"/>
    <w:rsid w:val="00B42492"/>
    <w:rsid w:val="00B526FE"/>
    <w:rsid w:val="00B57131"/>
    <w:rsid w:val="00B62EB9"/>
    <w:rsid w:val="00B62F2C"/>
    <w:rsid w:val="00B64882"/>
    <w:rsid w:val="00B70283"/>
    <w:rsid w:val="00B71F1C"/>
    <w:rsid w:val="00B72307"/>
    <w:rsid w:val="00B727C9"/>
    <w:rsid w:val="00B735C8"/>
    <w:rsid w:val="00B76A63"/>
    <w:rsid w:val="00B818BB"/>
    <w:rsid w:val="00BA6350"/>
    <w:rsid w:val="00BB4E29"/>
    <w:rsid w:val="00BB74C9"/>
    <w:rsid w:val="00BC1B3F"/>
    <w:rsid w:val="00BC3AB6"/>
    <w:rsid w:val="00BD102A"/>
    <w:rsid w:val="00BD19E8"/>
    <w:rsid w:val="00BD4273"/>
    <w:rsid w:val="00BF2BDA"/>
    <w:rsid w:val="00C0698F"/>
    <w:rsid w:val="00C27523"/>
    <w:rsid w:val="00C31ED8"/>
    <w:rsid w:val="00C321B1"/>
    <w:rsid w:val="00C432E4"/>
    <w:rsid w:val="00C513DA"/>
    <w:rsid w:val="00C65A3C"/>
    <w:rsid w:val="00C70C26"/>
    <w:rsid w:val="00C72001"/>
    <w:rsid w:val="00C7593B"/>
    <w:rsid w:val="00C772B7"/>
    <w:rsid w:val="00C80347"/>
    <w:rsid w:val="00C819F3"/>
    <w:rsid w:val="00C856AB"/>
    <w:rsid w:val="00C85B09"/>
    <w:rsid w:val="00C870AC"/>
    <w:rsid w:val="00CB24D2"/>
    <w:rsid w:val="00CB645A"/>
    <w:rsid w:val="00CB7C1A"/>
    <w:rsid w:val="00CC0538"/>
    <w:rsid w:val="00CC5E08"/>
    <w:rsid w:val="00CC72B0"/>
    <w:rsid w:val="00CE14FD"/>
    <w:rsid w:val="00CE4C4F"/>
    <w:rsid w:val="00CE67C5"/>
    <w:rsid w:val="00CF1AB1"/>
    <w:rsid w:val="00CF6860"/>
    <w:rsid w:val="00D02AC6"/>
    <w:rsid w:val="00D03F0C"/>
    <w:rsid w:val="00D04312"/>
    <w:rsid w:val="00D16A7F"/>
    <w:rsid w:val="00D16AD2"/>
    <w:rsid w:val="00D22596"/>
    <w:rsid w:val="00D22691"/>
    <w:rsid w:val="00D24C3D"/>
    <w:rsid w:val="00D45E2D"/>
    <w:rsid w:val="00D46CB1"/>
    <w:rsid w:val="00D47E27"/>
    <w:rsid w:val="00D723F0"/>
    <w:rsid w:val="00D80B18"/>
    <w:rsid w:val="00D8133F"/>
    <w:rsid w:val="00D82635"/>
    <w:rsid w:val="00D861EE"/>
    <w:rsid w:val="00D91649"/>
    <w:rsid w:val="00D95B05"/>
    <w:rsid w:val="00D97E2D"/>
    <w:rsid w:val="00DA0D27"/>
    <w:rsid w:val="00DA103D"/>
    <w:rsid w:val="00DA4024"/>
    <w:rsid w:val="00DA45D3"/>
    <w:rsid w:val="00DA4772"/>
    <w:rsid w:val="00DA7B44"/>
    <w:rsid w:val="00DB2667"/>
    <w:rsid w:val="00DB67B7"/>
    <w:rsid w:val="00DC15A9"/>
    <w:rsid w:val="00DC2B03"/>
    <w:rsid w:val="00DC40AA"/>
    <w:rsid w:val="00DC7E57"/>
    <w:rsid w:val="00DD1750"/>
    <w:rsid w:val="00DD6C13"/>
    <w:rsid w:val="00DF180F"/>
    <w:rsid w:val="00E020F1"/>
    <w:rsid w:val="00E12E6E"/>
    <w:rsid w:val="00E14DA5"/>
    <w:rsid w:val="00E17C8C"/>
    <w:rsid w:val="00E2492D"/>
    <w:rsid w:val="00E349AA"/>
    <w:rsid w:val="00E41390"/>
    <w:rsid w:val="00E41CA0"/>
    <w:rsid w:val="00E4366B"/>
    <w:rsid w:val="00E50A4A"/>
    <w:rsid w:val="00E606DE"/>
    <w:rsid w:val="00E644FE"/>
    <w:rsid w:val="00E70D4A"/>
    <w:rsid w:val="00E72733"/>
    <w:rsid w:val="00E742FA"/>
    <w:rsid w:val="00E76816"/>
    <w:rsid w:val="00E83DBF"/>
    <w:rsid w:val="00E87C13"/>
    <w:rsid w:val="00E91E04"/>
    <w:rsid w:val="00E94CD9"/>
    <w:rsid w:val="00EA1A76"/>
    <w:rsid w:val="00EA290B"/>
    <w:rsid w:val="00EB19D3"/>
    <w:rsid w:val="00EB22A3"/>
    <w:rsid w:val="00EB2820"/>
    <w:rsid w:val="00EB320E"/>
    <w:rsid w:val="00EE0E90"/>
    <w:rsid w:val="00EF3BCA"/>
    <w:rsid w:val="00EF729B"/>
    <w:rsid w:val="00F01B0D"/>
    <w:rsid w:val="00F1238F"/>
    <w:rsid w:val="00F12EA6"/>
    <w:rsid w:val="00F133B5"/>
    <w:rsid w:val="00F16485"/>
    <w:rsid w:val="00F228ED"/>
    <w:rsid w:val="00F26E31"/>
    <w:rsid w:val="00F27C6C"/>
    <w:rsid w:val="00F30883"/>
    <w:rsid w:val="00F349AB"/>
    <w:rsid w:val="00F34A8D"/>
    <w:rsid w:val="00F35012"/>
    <w:rsid w:val="00F5023C"/>
    <w:rsid w:val="00F50D25"/>
    <w:rsid w:val="00F52CB5"/>
    <w:rsid w:val="00F535D8"/>
    <w:rsid w:val="00F61155"/>
    <w:rsid w:val="00F7063E"/>
    <w:rsid w:val="00F708E3"/>
    <w:rsid w:val="00F76561"/>
    <w:rsid w:val="00F84736"/>
    <w:rsid w:val="00F84759"/>
    <w:rsid w:val="00F91DC4"/>
    <w:rsid w:val="00F93569"/>
    <w:rsid w:val="00F95E73"/>
    <w:rsid w:val="00FC6C29"/>
    <w:rsid w:val="00FD53E4"/>
    <w:rsid w:val="00FD58E0"/>
    <w:rsid w:val="00FD71AE"/>
    <w:rsid w:val="00FE0198"/>
    <w:rsid w:val="00FE3A7C"/>
    <w:rsid w:val="00FF105E"/>
    <w:rsid w:val="00FF1C0B"/>
    <w:rsid w:val="00FF232D"/>
    <w:rsid w:val="00FF7F9B"/>
    <w:rsid w:val="083AF924"/>
    <w:rsid w:val="0ABFB8EB"/>
    <w:rsid w:val="0B881CA5"/>
    <w:rsid w:val="1879104D"/>
    <w:rsid w:val="206B7897"/>
    <w:rsid w:val="2349A7AF"/>
    <w:rsid w:val="272006C5"/>
    <w:rsid w:val="2BD114CC"/>
    <w:rsid w:val="54BD3FA8"/>
    <w:rsid w:val="57BBB7CD"/>
    <w:rsid w:val="65DE2843"/>
    <w:rsid w:val="68B40A2B"/>
    <w:rsid w:val="6AD18292"/>
    <w:rsid w:val="781F4C36"/>
    <w:rsid w:val="78BC1C86"/>
    <w:rsid w:val="7996CE43"/>
    <w:rsid w:val="7BFB723E"/>
    <w:rsid w:val="7D965013"/>
    <w:rsid w:val="7FB271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110CCC"/>
  <w15:docId w15:val="{DEE3460C-2D10-40E5-9C0B-B49D14EA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Header">
    <w:name w:val="header"/>
    <w:basedOn w:val="Normal"/>
    <w:link w:val="HeaderChar"/>
    <w:semiHidden/>
    <w:unhideWhenUsed/>
    <w:rsid w:val="00765878"/>
    <w:pPr>
      <w:tabs>
        <w:tab w:val="center" w:pos="4680"/>
        <w:tab w:val="right" w:pos="9360"/>
      </w:tabs>
    </w:pPr>
  </w:style>
  <w:style w:type="character" w:customStyle="1" w:styleId="HeaderChar">
    <w:name w:val="Header Char"/>
    <w:basedOn w:val="DefaultParagraphFont"/>
    <w:link w:val="Header"/>
    <w:semiHidden/>
    <w:rsid w:val="00765878"/>
    <w:rPr>
      <w:sz w:val="24"/>
      <w:szCs w:val="24"/>
    </w:rPr>
  </w:style>
  <w:style w:type="paragraph" w:styleId="Footer">
    <w:name w:val="footer"/>
    <w:basedOn w:val="Normal"/>
    <w:link w:val="FooterChar"/>
    <w:semiHidden/>
    <w:unhideWhenUsed/>
    <w:rsid w:val="00765878"/>
    <w:pPr>
      <w:tabs>
        <w:tab w:val="center" w:pos="4680"/>
        <w:tab w:val="right" w:pos="9360"/>
      </w:tabs>
    </w:pPr>
  </w:style>
  <w:style w:type="character" w:customStyle="1" w:styleId="FooterChar">
    <w:name w:val="Footer Char"/>
    <w:basedOn w:val="DefaultParagraphFont"/>
    <w:link w:val="Footer"/>
    <w:semiHidden/>
    <w:rsid w:val="00765878"/>
    <w:rPr>
      <w:sz w:val="24"/>
      <w:szCs w:val="24"/>
    </w:rPr>
  </w:style>
  <w:style w:type="paragraph" w:styleId="CommentSubject">
    <w:name w:val="annotation subject"/>
    <w:basedOn w:val="CommentText"/>
    <w:next w:val="CommentText"/>
    <w:link w:val="CommentSubjectChar"/>
    <w:semiHidden/>
    <w:unhideWhenUsed/>
    <w:rsid w:val="00FD53E4"/>
    <w:rPr>
      <w:b/>
      <w:bCs/>
    </w:rPr>
  </w:style>
  <w:style w:type="character" w:customStyle="1" w:styleId="CommentSubjectChar">
    <w:name w:val="Comment Subject Char"/>
    <w:basedOn w:val="CommentTextChar"/>
    <w:link w:val="CommentSubject"/>
    <w:semiHidden/>
    <w:rsid w:val="00FD5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cc.gov/April2026"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