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72308" w:rsidRPr="00617B47" w:rsidP="00252D2C" w14:paraId="137258A5" w14:textId="14CA0028">
      <w:pPr>
        <w:spacing w:after="0" w:line="240" w:lineRule="auto"/>
        <w:rPr>
          <w:rFonts w:ascii="Times New Roman" w:hAnsi="Times New Roman" w:cs="Times New Roman"/>
        </w:rPr>
      </w:pPr>
    </w:p>
    <w:p w:rsidR="00722AE1" w:rsidRPr="00722AE1" w:rsidP="00252D2C" w14:paraId="3453C8D2" w14:textId="4C5CE722">
      <w:pPr>
        <w:spacing w:after="0" w:line="240" w:lineRule="auto"/>
        <w:jc w:val="center"/>
        <w:rPr>
          <w:rFonts w:ascii="Times New Roman" w:hAnsi="Times New Roman" w:cs="Times New Roman"/>
          <w:b/>
        </w:rPr>
      </w:pPr>
      <w:r w:rsidRPr="00722AE1">
        <w:rPr>
          <w:rFonts w:ascii="Times New Roman" w:hAnsi="Times New Roman" w:cs="Times New Roman"/>
          <w:b/>
        </w:rPr>
        <w:t>Communications Status Report for</w:t>
      </w:r>
    </w:p>
    <w:p w:rsidR="00722AE1" w:rsidRPr="003D14E8" w:rsidP="00252D2C" w14:paraId="0D4BE5D3" w14:textId="3F58CD30">
      <w:pPr>
        <w:spacing w:after="0" w:line="240" w:lineRule="auto"/>
        <w:jc w:val="center"/>
        <w:rPr>
          <w:rFonts w:ascii="Times New Roman" w:hAnsi="Times New Roman" w:cs="Times New Roman"/>
          <w:b/>
          <w:bCs/>
        </w:rPr>
      </w:pPr>
      <w:r w:rsidRPr="003D14E8">
        <w:rPr>
          <w:rFonts w:ascii="Times New Roman" w:hAnsi="Times New Roman" w:cs="Times New Roman"/>
          <w:b/>
          <w:bCs/>
        </w:rPr>
        <w:t xml:space="preserve">Areas Impacted by </w:t>
      </w:r>
      <w:r w:rsidRPr="003D14E8" w:rsidR="0E24BAA6">
        <w:rPr>
          <w:rFonts w:ascii="Times New Roman" w:hAnsi="Times New Roman" w:cs="Times New Roman"/>
          <w:b/>
          <w:bCs/>
        </w:rPr>
        <w:t xml:space="preserve">Super </w:t>
      </w:r>
      <w:r w:rsidRPr="003D14E8" w:rsidR="000D3636">
        <w:rPr>
          <w:rFonts w:ascii="Times New Roman" w:hAnsi="Times New Roman" w:cs="Times New Roman"/>
          <w:b/>
          <w:bCs/>
        </w:rPr>
        <w:t>Typhoon Sinl</w:t>
      </w:r>
      <w:r w:rsidR="00DF27A0">
        <w:rPr>
          <w:rFonts w:ascii="Times New Roman" w:hAnsi="Times New Roman" w:cs="Times New Roman"/>
          <w:b/>
          <w:bCs/>
        </w:rPr>
        <w:t>a</w:t>
      </w:r>
      <w:r w:rsidRPr="003D14E8" w:rsidR="000D3636">
        <w:rPr>
          <w:rFonts w:ascii="Times New Roman" w:hAnsi="Times New Roman" w:cs="Times New Roman"/>
          <w:b/>
          <w:bCs/>
        </w:rPr>
        <w:t>k</w:t>
      </w:r>
      <w:r w:rsidR="00DF27A0">
        <w:rPr>
          <w:rFonts w:ascii="Times New Roman" w:hAnsi="Times New Roman" w:cs="Times New Roman"/>
          <w:b/>
          <w:bCs/>
        </w:rPr>
        <w:t>u</w:t>
      </w:r>
    </w:p>
    <w:p w:rsidR="001A1514" w:rsidRPr="00D06B45" w:rsidP="00252D2C" w14:paraId="0A28E989" w14:textId="77777777">
      <w:pPr>
        <w:spacing w:after="0" w:line="240" w:lineRule="auto"/>
        <w:jc w:val="center"/>
        <w:rPr>
          <w:rFonts w:ascii="Times New Roman" w:hAnsi="Times New Roman" w:cs="Times New Roman"/>
        </w:rPr>
      </w:pPr>
      <w:bookmarkStart w:id="0" w:name="_Hlk524527088"/>
    </w:p>
    <w:p w:rsidR="00722AE1" w:rsidRPr="002C53AF" w:rsidP="00252D2C" w14:paraId="33BC98B5" w14:textId="26D3033F">
      <w:pPr>
        <w:spacing w:after="0" w:line="240" w:lineRule="auto"/>
        <w:jc w:val="center"/>
        <w:rPr>
          <w:rFonts w:ascii="Times New Roman" w:hAnsi="Times New Roman" w:cs="Times New Roman"/>
        </w:rPr>
      </w:pPr>
      <w:r w:rsidRPr="002C53AF">
        <w:rPr>
          <w:rFonts w:ascii="Times New Roman" w:hAnsi="Times New Roman" w:cs="Times New Roman"/>
        </w:rPr>
        <w:t xml:space="preserve">April </w:t>
      </w:r>
      <w:r w:rsidRPr="002C53AF" w:rsidR="00A329F7">
        <w:rPr>
          <w:rFonts w:ascii="Times New Roman" w:hAnsi="Times New Roman" w:cs="Times New Roman"/>
        </w:rPr>
        <w:t>2</w:t>
      </w:r>
      <w:r w:rsidRPr="002C53AF" w:rsidR="007E70F6">
        <w:rPr>
          <w:rFonts w:ascii="Times New Roman" w:hAnsi="Times New Roman" w:cs="Times New Roman"/>
        </w:rPr>
        <w:t>6</w:t>
      </w:r>
      <w:r w:rsidRPr="002C53AF" w:rsidR="00CA5518">
        <w:rPr>
          <w:rFonts w:ascii="Times New Roman" w:hAnsi="Times New Roman" w:cs="Times New Roman"/>
        </w:rPr>
        <w:t>, 2026</w:t>
      </w:r>
    </w:p>
    <w:bookmarkEnd w:id="0"/>
    <w:p w:rsidR="00722AE1" w:rsidRPr="002C53AF" w:rsidP="00252D2C" w14:paraId="653B356A" w14:textId="77777777">
      <w:pPr>
        <w:spacing w:after="0" w:line="240" w:lineRule="auto"/>
        <w:rPr>
          <w:rFonts w:ascii="Times New Roman" w:hAnsi="Times New Roman" w:cs="Times New Roman"/>
        </w:rPr>
      </w:pPr>
    </w:p>
    <w:p w:rsidR="00122E16" w:rsidP="00122E16" w14:paraId="0434A967" w14:textId="42A653CE">
      <w:pPr>
        <w:spacing w:after="0" w:line="240" w:lineRule="auto"/>
        <w:rPr>
          <w:rFonts w:ascii="Times New Roman" w:hAnsi="Times New Roman" w:cs="Times New Roman"/>
        </w:rPr>
      </w:pPr>
      <w:r w:rsidRPr="002C53AF">
        <w:rPr>
          <w:rFonts w:ascii="Times New Roman" w:hAnsi="Times New Roman" w:cs="Times New Roman"/>
        </w:rPr>
        <w:t>This report provides information on the status of communications services in geographic areas impacted by Super Typhoon Sinlaku</w:t>
      </w:r>
      <w:r w:rsidRPr="002C53AF" w:rsidR="00D03917">
        <w:rPr>
          <w:rFonts w:ascii="Times New Roman" w:hAnsi="Times New Roman" w:cs="Times New Roman"/>
        </w:rPr>
        <w:t>,</w:t>
      </w:r>
      <w:r w:rsidRPr="002C53AF">
        <w:rPr>
          <w:rFonts w:ascii="Times New Roman" w:hAnsi="Times New Roman" w:cs="Times New Roman"/>
        </w:rPr>
        <w:t xml:space="preserve"> reported as of 6:00 a.m. EDT / 8:</w:t>
      </w:r>
      <w:r w:rsidRPr="002C53AF" w:rsidR="00686D4D">
        <w:rPr>
          <w:rFonts w:ascii="Times New Roman" w:hAnsi="Times New Roman" w:cs="Times New Roman"/>
        </w:rPr>
        <w:t>0</w:t>
      </w:r>
      <w:r w:rsidRPr="002C53AF">
        <w:rPr>
          <w:rFonts w:ascii="Times New Roman" w:hAnsi="Times New Roman" w:cs="Times New Roman"/>
        </w:rPr>
        <w:t xml:space="preserve">0 p.m. </w:t>
      </w:r>
      <w:r w:rsidRPr="002C53AF" w:rsidR="00D06B45">
        <w:rPr>
          <w:rFonts w:ascii="Times New Roman" w:hAnsi="Times New Roman" w:cs="Times New Roman"/>
        </w:rPr>
        <w:t xml:space="preserve">Chamorro Standard Time </w:t>
      </w:r>
      <w:r w:rsidRPr="002C53AF">
        <w:rPr>
          <w:rFonts w:ascii="Times New Roman" w:hAnsi="Times New Roman" w:cs="Times New Roman"/>
        </w:rPr>
        <w:t>(</w:t>
      </w:r>
      <w:r w:rsidRPr="002C53AF">
        <w:rPr>
          <w:rFonts w:ascii="Times New Roman" w:hAnsi="Times New Roman" w:cs="Times New Roman"/>
        </w:rPr>
        <w:t>ChST</w:t>
      </w:r>
      <w:r w:rsidRPr="002C53AF">
        <w:rPr>
          <w:rFonts w:ascii="Times New Roman" w:hAnsi="Times New Roman" w:cs="Times New Roman"/>
        </w:rPr>
        <w:t xml:space="preserve">) on April </w:t>
      </w:r>
      <w:r w:rsidRPr="002C53AF" w:rsidR="00A329F7">
        <w:rPr>
          <w:rFonts w:ascii="Times New Roman" w:hAnsi="Times New Roman" w:cs="Times New Roman"/>
        </w:rPr>
        <w:t>2</w:t>
      </w:r>
      <w:r w:rsidRPr="002C53AF" w:rsidR="007E70F6">
        <w:rPr>
          <w:rFonts w:ascii="Times New Roman" w:hAnsi="Times New Roman" w:cs="Times New Roman"/>
        </w:rPr>
        <w:t>6</w:t>
      </w:r>
      <w:r w:rsidRPr="002C53AF">
        <w:rPr>
          <w:rFonts w:ascii="Times New Roman" w:hAnsi="Times New Roman" w:cs="Times New Roman"/>
        </w:rPr>
        <w:t>, 2026.  This report incorporates network outage data</w:t>
      </w:r>
      <w:r w:rsidRPr="00622C49">
        <w:rPr>
          <w:rFonts w:ascii="Times New Roman" w:hAnsi="Times New Roman" w:cs="Times New Roman"/>
        </w:rPr>
        <w:t xml:space="preserve"> submitted by communications providers to the Federal Communications Commission’s (FCC)</w:t>
      </w:r>
      <w:r w:rsidRPr="007A6E3C">
        <w:rPr>
          <w:rFonts w:ascii="Times New Roman" w:hAnsi="Times New Roman" w:cs="Times New Roman"/>
        </w:rPr>
        <w:t xml:space="preserve"> Disaster Information Reporting System (DIRS).  We note that the operational status of communications services may evolve rapidly during a disaster</w:t>
      </w:r>
      <w:r w:rsidRPr="10293A06">
        <w:rPr>
          <w:rFonts w:ascii="Times New Roman" w:hAnsi="Times New Roman" w:cs="Times New Roman"/>
        </w:rPr>
        <w:t xml:space="preserve">. </w:t>
      </w:r>
      <w:r w:rsidRPr="007A6E3C">
        <w:rPr>
          <w:rFonts w:ascii="Times New Roman" w:hAnsi="Times New Roman" w:cs="Times New Roman"/>
        </w:rPr>
        <w:t xml:space="preserve"> The FCC will provide daily updates to this report until DIRS data collection is deactivated for th</w:t>
      </w:r>
      <w:r>
        <w:rPr>
          <w:rFonts w:ascii="Times New Roman" w:hAnsi="Times New Roman" w:cs="Times New Roman"/>
        </w:rPr>
        <w:t>e</w:t>
      </w:r>
      <w:r w:rsidRPr="007A6E3C">
        <w:rPr>
          <w:rFonts w:ascii="Times New Roman" w:hAnsi="Times New Roman" w:cs="Times New Roman"/>
        </w:rPr>
        <w:t xml:space="preserve"> region</w:t>
      </w:r>
      <w:r w:rsidRPr="10293A06">
        <w:rPr>
          <w:rFonts w:ascii="Times New Roman" w:hAnsi="Times New Roman" w:cs="Times New Roman"/>
        </w:rPr>
        <w:t>.</w:t>
      </w:r>
    </w:p>
    <w:p w:rsidR="00363975" w:rsidP="00622D7C" w14:paraId="2E660A35" w14:textId="5596664B">
      <w:pPr>
        <w:autoSpaceDE w:val="0"/>
        <w:autoSpaceDN w:val="0"/>
        <w:adjustRightInd w:val="0"/>
        <w:spacing w:after="0" w:line="240" w:lineRule="auto"/>
        <w:rPr>
          <w:rFonts w:ascii="Times New Roman" w:hAnsi="Times New Roman" w:cs="Times New Roman"/>
        </w:rPr>
      </w:pPr>
    </w:p>
    <w:p w:rsidR="00566AD0" w:rsidP="00054826" w14:paraId="728CCB6B" w14:textId="77777777">
      <w:pPr>
        <w:autoSpaceDE w:val="0"/>
        <w:autoSpaceDN w:val="0"/>
        <w:adjustRightInd w:val="0"/>
        <w:spacing w:after="0" w:line="240" w:lineRule="auto"/>
        <w:rPr>
          <w:rFonts w:ascii="Times New Roman" w:hAnsi="Times New Roman" w:cs="Times New Roman"/>
        </w:rPr>
      </w:pPr>
      <w:r w:rsidRPr="003D14E8">
        <w:rPr>
          <w:rFonts w:ascii="Times New Roman" w:hAnsi="Times New Roman" w:cs="Times New Roman"/>
        </w:rPr>
        <w:t xml:space="preserve">On </w:t>
      </w:r>
      <w:r w:rsidRPr="003D14E8" w:rsidR="005D4172">
        <w:rPr>
          <w:rFonts w:ascii="Times New Roman" w:hAnsi="Times New Roman" w:cs="Times New Roman"/>
        </w:rPr>
        <w:t xml:space="preserve">April </w:t>
      </w:r>
      <w:r w:rsidRPr="003D14E8" w:rsidR="003D14E8">
        <w:rPr>
          <w:rFonts w:ascii="Times New Roman" w:hAnsi="Times New Roman" w:cs="Times New Roman"/>
        </w:rPr>
        <w:t>1</w:t>
      </w:r>
      <w:r w:rsidR="00D40BFE">
        <w:rPr>
          <w:rFonts w:ascii="Times New Roman" w:hAnsi="Times New Roman" w:cs="Times New Roman"/>
        </w:rPr>
        <w:t>3</w:t>
      </w:r>
      <w:r w:rsidRPr="003D14E8">
        <w:rPr>
          <w:rFonts w:ascii="Times New Roman" w:hAnsi="Times New Roman" w:cs="Times New Roman"/>
        </w:rPr>
        <w:t>, 202</w:t>
      </w:r>
      <w:r w:rsidR="00122E16">
        <w:rPr>
          <w:rFonts w:ascii="Times New Roman" w:hAnsi="Times New Roman" w:cs="Times New Roman"/>
        </w:rPr>
        <w:t xml:space="preserve">6, </w:t>
      </w:r>
      <w:r w:rsidR="00CE0328">
        <w:rPr>
          <w:rFonts w:ascii="Times New Roman" w:hAnsi="Times New Roman" w:cs="Times New Roman"/>
        </w:rPr>
        <w:t xml:space="preserve">the FCC activated </w:t>
      </w:r>
      <w:r w:rsidRPr="003D14E8">
        <w:rPr>
          <w:rFonts w:ascii="Times New Roman" w:hAnsi="Times New Roman" w:cs="Times New Roman"/>
        </w:rPr>
        <w:t xml:space="preserve">DIRS </w:t>
      </w:r>
      <w:r w:rsidR="00CE0328">
        <w:rPr>
          <w:rFonts w:ascii="Times New Roman" w:hAnsi="Times New Roman" w:cs="Times New Roman"/>
        </w:rPr>
        <w:t>f</w:t>
      </w:r>
      <w:r w:rsidRPr="003D14E8" w:rsidR="005D4172">
        <w:rPr>
          <w:rFonts w:ascii="Times New Roman" w:hAnsi="Times New Roman" w:cs="Times New Roman"/>
        </w:rPr>
        <w:t xml:space="preserve">or </w:t>
      </w:r>
      <w:r w:rsidR="00122E16">
        <w:rPr>
          <w:rFonts w:ascii="Times New Roman" w:hAnsi="Times New Roman" w:cs="Times New Roman"/>
        </w:rPr>
        <w:t xml:space="preserve">the </w:t>
      </w:r>
      <w:r w:rsidRPr="003D14E8" w:rsidR="005D4172">
        <w:rPr>
          <w:rFonts w:ascii="Times New Roman" w:hAnsi="Times New Roman" w:cs="Times New Roman"/>
        </w:rPr>
        <w:t>Co</w:t>
      </w:r>
      <w:r w:rsidRPr="003D14E8" w:rsidR="00DE6CFF">
        <w:rPr>
          <w:rFonts w:ascii="Times New Roman" w:hAnsi="Times New Roman" w:cs="Times New Roman"/>
        </w:rPr>
        <w:t>mmonwealth of the Northern Mariana Islands (CNMI).</w:t>
      </w:r>
      <w:r>
        <w:rPr>
          <w:rStyle w:val="FootnoteReference"/>
          <w:rFonts w:ascii="Times New Roman" w:hAnsi="Times New Roman"/>
        </w:rPr>
        <w:footnoteReference w:id="3"/>
      </w:r>
      <w:r w:rsidR="00054826">
        <w:rPr>
          <w:rFonts w:ascii="Times New Roman" w:hAnsi="Times New Roman" w:cs="Times New Roman"/>
        </w:rPr>
        <w:t xml:space="preserve">  </w:t>
      </w:r>
    </w:p>
    <w:p w:rsidR="00566AD0" w:rsidP="00054826" w14:paraId="1B1D157F" w14:textId="77777777">
      <w:pPr>
        <w:autoSpaceDE w:val="0"/>
        <w:autoSpaceDN w:val="0"/>
        <w:adjustRightInd w:val="0"/>
        <w:spacing w:after="0" w:line="240" w:lineRule="auto"/>
        <w:rPr>
          <w:rFonts w:ascii="Times New Roman" w:hAnsi="Times New Roman" w:cs="Times New Roman"/>
        </w:rPr>
      </w:pPr>
    </w:p>
    <w:p w:rsidR="00873246" w:rsidP="00054826" w14:paraId="0EBD6069" w14:textId="1D4EDAED">
      <w:pPr>
        <w:autoSpaceDE w:val="0"/>
        <w:autoSpaceDN w:val="0"/>
        <w:adjustRightInd w:val="0"/>
        <w:spacing w:after="0" w:line="240" w:lineRule="auto"/>
        <w:rPr>
          <w:rFonts w:ascii="Times New Roman" w:hAnsi="Times New Roman" w:cs="Times New Roman"/>
          <w:color w:val="000000"/>
        </w:rPr>
      </w:pPr>
      <w:r w:rsidRPr="00FB26A3">
        <w:rPr>
          <w:rFonts w:ascii="Times New Roman" w:hAnsi="Times New Roman" w:cs="Times New Roman"/>
          <w:color w:val="000000"/>
        </w:rPr>
        <w:t>On April 15, 2026, the FCC ex</w:t>
      </w:r>
      <w:r w:rsidR="0031612C">
        <w:rPr>
          <w:rFonts w:ascii="Times New Roman" w:hAnsi="Times New Roman" w:cs="Times New Roman"/>
          <w:color w:val="000000"/>
        </w:rPr>
        <w:t>pa</w:t>
      </w:r>
      <w:r w:rsidRPr="00FB26A3">
        <w:rPr>
          <w:rFonts w:ascii="Times New Roman" w:hAnsi="Times New Roman" w:cs="Times New Roman"/>
          <w:color w:val="000000"/>
        </w:rPr>
        <w:t xml:space="preserve">nded the </w:t>
      </w:r>
      <w:r>
        <w:rPr>
          <w:rFonts w:ascii="Times New Roman" w:hAnsi="Times New Roman" w:cs="Times New Roman"/>
          <w:color w:val="000000"/>
        </w:rPr>
        <w:t xml:space="preserve">scope of the DIRS </w:t>
      </w:r>
      <w:r w:rsidRPr="00FB26A3">
        <w:rPr>
          <w:rFonts w:ascii="Times New Roman" w:hAnsi="Times New Roman" w:cs="Times New Roman"/>
          <w:color w:val="000000"/>
        </w:rPr>
        <w:t>activation area to include Guam.</w:t>
      </w:r>
      <w:r>
        <w:rPr>
          <w:rStyle w:val="FootnoteReference"/>
          <w:rFonts w:ascii="Times New Roman" w:hAnsi="Times New Roman"/>
          <w:color w:val="000000"/>
        </w:rPr>
        <w:footnoteReference w:id="4"/>
      </w:r>
    </w:p>
    <w:p w:rsidR="009E29CE" w:rsidP="00054826" w14:paraId="54C3D288" w14:textId="77777777">
      <w:pPr>
        <w:autoSpaceDE w:val="0"/>
        <w:autoSpaceDN w:val="0"/>
        <w:adjustRightInd w:val="0"/>
        <w:spacing w:after="0" w:line="240" w:lineRule="auto"/>
        <w:rPr>
          <w:rFonts w:ascii="Times New Roman" w:hAnsi="Times New Roman" w:cs="Times New Roman"/>
          <w:color w:val="000000"/>
        </w:rPr>
      </w:pPr>
    </w:p>
    <w:p w:rsidR="009E29CE" w:rsidRPr="00054826" w:rsidP="00054826" w14:paraId="36608945" w14:textId="4386510B">
      <w:pPr>
        <w:autoSpaceDE w:val="0"/>
        <w:autoSpaceDN w:val="0"/>
        <w:adjustRightInd w:val="0"/>
        <w:spacing w:after="0" w:line="240" w:lineRule="auto"/>
        <w:rPr>
          <w:rFonts w:ascii="Times New Roman" w:hAnsi="Times New Roman" w:cs="Times New Roman"/>
        </w:rPr>
      </w:pPr>
      <w:r>
        <w:rPr>
          <w:rFonts w:ascii="Times New Roman" w:hAnsi="Times New Roman" w:cs="Times New Roman"/>
          <w:color w:val="000000"/>
        </w:rPr>
        <w:t xml:space="preserve">On April </w:t>
      </w:r>
      <w:r w:rsidR="00907DA3">
        <w:rPr>
          <w:rFonts w:ascii="Times New Roman" w:hAnsi="Times New Roman" w:cs="Times New Roman"/>
          <w:color w:val="000000"/>
        </w:rPr>
        <w:t xml:space="preserve">23, 2026, the FCC deactivated </w:t>
      </w:r>
      <w:r w:rsidR="00C21C8F">
        <w:rPr>
          <w:rFonts w:ascii="Times New Roman" w:hAnsi="Times New Roman" w:cs="Times New Roman"/>
          <w:color w:val="000000"/>
        </w:rPr>
        <w:t>DIRS for Guam.</w:t>
      </w:r>
    </w:p>
    <w:p w:rsidR="00873246" w:rsidP="00873246" w14:paraId="122849A1" w14:textId="099373E2">
      <w:pPr>
        <w:spacing w:after="0" w:line="240" w:lineRule="auto"/>
        <w:rPr>
          <w:rFonts w:ascii="Times New Roman" w:hAnsi="Times New Roman" w:cs="Times New Roman"/>
          <w:color w:val="000000"/>
        </w:rPr>
      </w:pPr>
    </w:p>
    <w:p w:rsidR="00873246" w:rsidRPr="00722AE1" w:rsidP="00873246" w14:paraId="2E9D62C8" w14:textId="2EB43E98">
      <w:pPr>
        <w:spacing w:after="0" w:line="240" w:lineRule="auto"/>
        <w:rPr>
          <w:rFonts w:ascii="Times New Roman" w:eastAsia="Times New Roman" w:hAnsi="Times New Roman" w:cs="Times New Roman"/>
        </w:rPr>
      </w:pPr>
      <w:r w:rsidRPr="00722AE1">
        <w:rPr>
          <w:rFonts w:ascii="Times New Roman" w:hAnsi="Times New Roman" w:cs="Times New Roman"/>
        </w:rPr>
        <w:t xml:space="preserve">The following </w:t>
      </w:r>
      <w:r>
        <w:rPr>
          <w:rFonts w:ascii="Times New Roman" w:hAnsi="Times New Roman" w:cs="Times New Roman"/>
        </w:rPr>
        <w:t xml:space="preserve">municipalities </w:t>
      </w:r>
      <w:r w:rsidRPr="00722AE1">
        <w:rPr>
          <w:rFonts w:ascii="Times New Roman" w:hAnsi="Times New Roman" w:cs="Times New Roman"/>
        </w:rPr>
        <w:t>are in the current geographic area that is part of the DIRS activation area (the “disaster area”) for today’s report.</w:t>
      </w:r>
    </w:p>
    <w:p w:rsidR="00873246" w:rsidRPr="00F91BEC" w:rsidP="00873246" w14:paraId="66E35C75" w14:textId="3E25C005">
      <w:pPr>
        <w:spacing w:after="120" w:line="240" w:lineRule="auto"/>
        <w:rPr>
          <w:rFonts w:ascii="Times New Roman" w:hAnsi="Times New Roman" w:cs="Times New Roman"/>
          <w:szCs w:val="22"/>
        </w:rPr>
      </w:pPr>
    </w:p>
    <w:p w:rsidR="00873246" w:rsidP="00873246" w14:paraId="3B5EF17C" w14:textId="7991BBB8">
      <w:pPr>
        <w:spacing w:after="0" w:line="240" w:lineRule="auto"/>
        <w:rPr>
          <w:rFonts w:ascii="Times New Roman" w:hAnsi="Times New Roman" w:cs="Times New Roman"/>
          <w:szCs w:val="22"/>
        </w:rPr>
      </w:pPr>
      <w:r w:rsidRPr="00AC0B49">
        <w:rPr>
          <w:rFonts w:ascii="Times New Roman" w:hAnsi="Times New Roman" w:cs="Times New Roman"/>
          <w:b/>
          <w:bCs/>
          <w:szCs w:val="22"/>
        </w:rPr>
        <w:t xml:space="preserve">COMMONWEALTH OF THE NORTHERN MARIANA ISLANDS: </w:t>
      </w:r>
      <w:r w:rsidRPr="00777076">
        <w:rPr>
          <w:rFonts w:ascii="Times New Roman" w:hAnsi="Times New Roman" w:cs="Times New Roman"/>
          <w:szCs w:val="22"/>
        </w:rPr>
        <w:t>Rota, Saipan, and Tinian</w:t>
      </w:r>
    </w:p>
    <w:p w:rsidR="00873246" w:rsidP="00873246" w14:paraId="4462FAFD" w14:textId="1FF1AFF3">
      <w:pPr>
        <w:spacing w:after="0" w:line="240" w:lineRule="auto"/>
        <w:rPr>
          <w:rFonts w:ascii="Times New Roman" w:hAnsi="Times New Roman" w:cs="Times New Roman"/>
        </w:rPr>
      </w:pPr>
    </w:p>
    <w:p w:rsidR="00054826" w:rsidRPr="0078448A" w:rsidP="00E10028" w14:paraId="16DB06D6" w14:textId="2218AFA0">
      <w:pPr>
        <w:spacing w:after="0" w:line="240" w:lineRule="auto"/>
        <w:jc w:val="center"/>
        <w:rPr>
          <w:rFonts w:ascii="Times New Roman" w:hAnsi="Times New Roman" w:cs="Times New Roman"/>
        </w:rPr>
      </w:pPr>
      <w:r>
        <w:rPr>
          <w:noProof/>
          <w:sz w:val="22"/>
          <w:szCs w:val="22"/>
        </w:rPr>
        <w:drawing>
          <wp:inline distT="0" distB="0" distL="0" distR="0">
            <wp:extent cx="4616450" cy="2724150"/>
            <wp:effectExtent l="0" t="0" r="12700" b="0"/>
            <wp:docPr id="20169659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6965937" name="Picture 1"/>
                    <pic:cNvPicPr>
                      <a:picLocks noChangeAspect="1" noChangeArrowheads="1"/>
                    </pic:cNvPicPr>
                  </pic:nvPicPr>
                  <pic:blipFill>
                    <a:blip xmlns:r="http://schemas.openxmlformats.org/officeDocument/2006/relationships" r:embed="rId5" r:link="rId6">
                      <a:extLst>
                        <a:ext xmlns:a="http://schemas.openxmlformats.org/drawingml/2006/main" uri="{28A0092B-C50C-407E-A947-70E740481C1C}">
                          <a14:useLocalDpi xmlns:a14="http://schemas.microsoft.com/office/drawing/2010/main" val="0"/>
                        </a:ext>
                      </a:extLst>
                    </a:blip>
                    <a:stretch>
                      <a:fillRect/>
                    </a:stretch>
                  </pic:blipFill>
                  <pic:spPr bwMode="auto">
                    <a:xfrm>
                      <a:off x="0" y="0"/>
                      <a:ext cx="4616450" cy="2724150"/>
                    </a:xfrm>
                    <a:prstGeom prst="rect">
                      <a:avLst/>
                    </a:prstGeom>
                    <a:noFill/>
                    <a:ln>
                      <a:noFill/>
                    </a:ln>
                  </pic:spPr>
                </pic:pic>
              </a:graphicData>
            </a:graphic>
          </wp:inline>
        </w:drawing>
      </w:r>
    </w:p>
    <w:p w:rsidR="00722AE1" w:rsidP="00B60E99" w14:paraId="1DBF755A" w14:textId="417760D0">
      <w:pPr>
        <w:spacing w:after="0" w:line="240" w:lineRule="auto"/>
        <w:jc w:val="center"/>
      </w:pPr>
    </w:p>
    <w:p w:rsidR="00722AE1" w:rsidRPr="00722AE1" w:rsidP="00252D2C" w14:paraId="053C6438" w14:textId="2E37D01B">
      <w:pPr>
        <w:spacing w:after="0" w:line="240" w:lineRule="auto"/>
        <w:rPr>
          <w:rFonts w:ascii="Times New Roman" w:hAnsi="Times New Roman" w:cs="Times New Roman"/>
        </w:rPr>
      </w:pPr>
      <w:r w:rsidRPr="00722AE1">
        <w:rPr>
          <w:rFonts w:ascii="Times New Roman" w:hAnsi="Times New Roman" w:cs="Times New Roman"/>
          <w:b/>
        </w:rPr>
        <w:t>911 Services</w:t>
      </w:r>
    </w:p>
    <w:p w:rsidR="00722AE1" w:rsidRPr="00722AE1" w:rsidP="00252D2C" w14:paraId="78DD64A0" w14:textId="77777777">
      <w:pPr>
        <w:spacing w:after="0" w:line="240" w:lineRule="auto"/>
        <w:rPr>
          <w:rFonts w:ascii="Times New Roman" w:hAnsi="Times New Roman" w:cs="Times New Roman"/>
        </w:rPr>
      </w:pPr>
    </w:p>
    <w:p w:rsidR="00722AE1" w:rsidRPr="00722AE1" w:rsidP="00252D2C" w14:paraId="606A3560" w14:textId="7FC4C876">
      <w:pPr>
        <w:spacing w:after="0" w:line="240" w:lineRule="auto"/>
        <w:rPr>
          <w:rFonts w:ascii="Times New Roman" w:hAnsi="Times New Roman" w:cs="Times New Roman"/>
        </w:rPr>
      </w:pPr>
      <w:r w:rsidRPr="00722AE1">
        <w:rPr>
          <w:rFonts w:ascii="Times New Roman" w:hAnsi="Times New Roman" w:cs="Times New Roman"/>
        </w:rPr>
        <w:t xml:space="preserve">The </w:t>
      </w:r>
      <w:r w:rsidR="00757774">
        <w:rPr>
          <w:rFonts w:ascii="Times New Roman" w:hAnsi="Times New Roman" w:cs="Times New Roman"/>
        </w:rPr>
        <w:t>FCC</w:t>
      </w:r>
      <w:r w:rsidR="00F26AC4">
        <w:rPr>
          <w:rFonts w:ascii="Times New Roman" w:hAnsi="Times New Roman" w:cs="Times New Roman"/>
        </w:rPr>
        <w:t>’s</w:t>
      </w:r>
      <w:r w:rsidR="00757774">
        <w:rPr>
          <w:rFonts w:ascii="Times New Roman" w:hAnsi="Times New Roman" w:cs="Times New Roman"/>
        </w:rPr>
        <w:t xml:space="preserve"> </w:t>
      </w:r>
      <w:r w:rsidRPr="00722AE1">
        <w:rPr>
          <w:rFonts w:ascii="Times New Roman" w:hAnsi="Times New Roman" w:cs="Times New Roman"/>
        </w:rPr>
        <w:t xml:space="preserve">Public Safety and Homeland Security Bureau learns </w:t>
      </w:r>
      <w:r w:rsidR="00F26AC4">
        <w:rPr>
          <w:rFonts w:ascii="Times New Roman" w:hAnsi="Times New Roman" w:cs="Times New Roman"/>
        </w:rPr>
        <w:t xml:space="preserve">about </w:t>
      </w:r>
      <w:r w:rsidRPr="00722AE1">
        <w:rPr>
          <w:rFonts w:ascii="Times New Roman" w:hAnsi="Times New Roman" w:cs="Times New Roman"/>
        </w:rPr>
        <w:t xml:space="preserve">the status </w:t>
      </w:r>
      <w:r w:rsidR="00B2792B">
        <w:rPr>
          <w:rFonts w:ascii="Times New Roman" w:hAnsi="Times New Roman" w:cs="Times New Roman"/>
        </w:rPr>
        <w:t xml:space="preserve">of communications </w:t>
      </w:r>
      <w:r w:rsidRPr="00722AE1">
        <w:rPr>
          <w:rFonts w:ascii="Times New Roman" w:hAnsi="Times New Roman" w:cs="Times New Roman"/>
        </w:rPr>
        <w:t>services provided to each Public Safety Answering Point (PSAP) through the filings of 911 Service Providers in DIRS, reporting to the FCC’s Public Safety Support Center</w:t>
      </w:r>
      <w:r w:rsidR="003171EA">
        <w:rPr>
          <w:rFonts w:ascii="Times New Roman" w:hAnsi="Times New Roman" w:cs="Times New Roman"/>
        </w:rPr>
        <w:t>,</w:t>
      </w:r>
      <w:r w:rsidRPr="00722AE1">
        <w:rPr>
          <w:rFonts w:ascii="Times New Roman" w:hAnsi="Times New Roman" w:cs="Times New Roman"/>
        </w:rPr>
        <w:t xml:space="preserve"> </w:t>
      </w:r>
      <w:r w:rsidR="00AC421C">
        <w:rPr>
          <w:rFonts w:ascii="Times New Roman" w:hAnsi="Times New Roman" w:cs="Times New Roman"/>
        </w:rPr>
        <w:t xml:space="preserve">in </w:t>
      </w:r>
      <w:r w:rsidRPr="00722AE1">
        <w:rPr>
          <w:rFonts w:ascii="Times New Roman" w:hAnsi="Times New Roman" w:cs="Times New Roman"/>
        </w:rPr>
        <w:t>coordination with state and territory 911 Administrators, and, if necessary, direct contact with individual PSAPs.</w:t>
      </w:r>
    </w:p>
    <w:p w:rsidR="00722AE1" w:rsidRPr="00722AE1" w:rsidP="00252D2C" w14:paraId="658E8967" w14:textId="77777777">
      <w:pPr>
        <w:spacing w:after="0" w:line="240" w:lineRule="auto"/>
        <w:rPr>
          <w:rFonts w:ascii="Times New Roman" w:hAnsi="Times New Roman" w:cs="Times New Roman"/>
        </w:rPr>
      </w:pPr>
    </w:p>
    <w:p w:rsidR="00722AE1" w:rsidRPr="004C7819" w:rsidP="004C7819" w14:paraId="283A12FB" w14:textId="2E304723">
      <w:pPr>
        <w:pStyle w:val="ListParagraph"/>
        <w:numPr>
          <w:ilvl w:val="0"/>
          <w:numId w:val="8"/>
        </w:numPr>
        <w:spacing w:after="0" w:line="240" w:lineRule="auto"/>
        <w:rPr>
          <w:rFonts w:ascii="Times New Roman" w:hAnsi="Times New Roman" w:cs="Times New Roman"/>
        </w:rPr>
      </w:pPr>
      <w:r w:rsidRPr="004C7819">
        <w:rPr>
          <w:rFonts w:ascii="Times New Roman" w:hAnsi="Times New Roman" w:cs="Times New Roman"/>
        </w:rPr>
        <w:t>There are n</w:t>
      </w:r>
      <w:r w:rsidRPr="004C7819">
        <w:rPr>
          <w:rFonts w:ascii="Times New Roman" w:hAnsi="Times New Roman" w:cs="Times New Roman"/>
        </w:rPr>
        <w:t xml:space="preserve">o PSAPs reported </w:t>
      </w:r>
      <w:r w:rsidRPr="004C7819" w:rsidR="006D6DF2">
        <w:rPr>
          <w:rFonts w:ascii="Times New Roman" w:hAnsi="Times New Roman" w:cs="Times New Roman"/>
        </w:rPr>
        <w:t xml:space="preserve">in DIRS </w:t>
      </w:r>
      <w:r w:rsidRPr="004C7819">
        <w:rPr>
          <w:rFonts w:ascii="Times New Roman" w:hAnsi="Times New Roman" w:cs="Times New Roman"/>
        </w:rPr>
        <w:t>as being affected.</w:t>
      </w:r>
    </w:p>
    <w:p w:rsidR="004F6A8A" w:rsidRPr="00AC421C" w:rsidP="0027337A" w14:paraId="5BFDA2E0" w14:textId="77777777">
      <w:pPr>
        <w:rPr>
          <w:rFonts w:ascii="Times New Roman" w:hAnsi="Times New Roman" w:cs="Times New Roman"/>
          <w:bCs/>
        </w:rPr>
      </w:pPr>
    </w:p>
    <w:p w:rsidR="001A15BE" w:rsidP="0027337A" w14:paraId="42F3C8C2" w14:textId="16E21DA5">
      <w:pPr>
        <w:contextualSpacing/>
        <w:rPr>
          <w:rFonts w:ascii="Times New Roman" w:hAnsi="Times New Roman" w:cs="Times New Roman"/>
        </w:rPr>
      </w:pPr>
      <w:r w:rsidRPr="00722AE1">
        <w:rPr>
          <w:rFonts w:ascii="Times New Roman" w:hAnsi="Times New Roman" w:cs="Times New Roman"/>
          <w:b/>
        </w:rPr>
        <w:t>Wireless Services</w:t>
      </w:r>
    </w:p>
    <w:p w:rsidR="00FB363B" w:rsidP="00FB363B" w14:paraId="442ACF16" w14:textId="77777777">
      <w:pPr>
        <w:spacing w:after="0" w:line="240" w:lineRule="auto"/>
        <w:rPr>
          <w:rFonts w:ascii="Times New Roman" w:hAnsi="Times New Roman" w:cs="Times New Roman"/>
        </w:rPr>
      </w:pPr>
    </w:p>
    <w:p w:rsidR="00722AE1" w:rsidRPr="00797EE7" w:rsidP="0027337A" w14:paraId="588287CE" w14:textId="261CF821">
      <w:pPr>
        <w:rPr>
          <w:rFonts w:ascii="Times New Roman" w:hAnsi="Times New Roman" w:cs="Times New Roman"/>
          <w:bCs/>
        </w:rPr>
      </w:pPr>
      <w:r w:rsidRPr="00722AE1">
        <w:rPr>
          <w:rFonts w:ascii="Times New Roman" w:hAnsi="Times New Roman" w:cs="Times New Roman"/>
        </w:rPr>
        <w:t>The following section describes the status of wireless communications services in the disaster area as reported in DIRS.</w:t>
      </w:r>
    </w:p>
    <w:p w:rsidR="00023B20" w:rsidRPr="00797EE7" w:rsidP="0027337A" w14:paraId="77920A85" w14:textId="77777777">
      <w:pPr>
        <w:rPr>
          <w:rFonts w:ascii="Times New Roman" w:hAnsi="Times New Roman" w:cs="Times New Roman"/>
          <w:bCs/>
        </w:rPr>
      </w:pPr>
    </w:p>
    <w:p w:rsidR="00054826" w14:paraId="76EF50AE" w14:textId="77777777">
      <w:pPr>
        <w:rPr>
          <w:rFonts w:ascii="Times New Roman" w:hAnsi="Times New Roman" w:cs="Times New Roman"/>
          <w:b/>
        </w:rPr>
      </w:pPr>
      <w:r>
        <w:rPr>
          <w:rFonts w:ascii="Times New Roman" w:hAnsi="Times New Roman" w:cs="Times New Roman"/>
          <w:b/>
        </w:rPr>
        <w:br w:type="page"/>
      </w:r>
    </w:p>
    <w:p w:rsidR="003A4320" w:rsidP="0016167C" w14:paraId="6D9D0D7A" w14:textId="1E80A710">
      <w:pPr>
        <w:spacing w:after="120" w:line="240" w:lineRule="auto"/>
        <w:contextualSpacing/>
        <w:jc w:val="center"/>
        <w:rPr>
          <w:rFonts w:ascii="Times New Roman" w:hAnsi="Times New Roman" w:cs="Times New Roman"/>
          <w:b/>
          <w:bCs/>
        </w:rPr>
      </w:pPr>
    </w:p>
    <w:p w:rsidR="000B3A26" w:rsidP="00EF43C0" w14:paraId="7EB4CBD9" w14:textId="346BE121">
      <w:pPr>
        <w:jc w:val="center"/>
        <w:rPr>
          <w:rFonts w:ascii="Times New Roman" w:hAnsi="Times New Roman" w:cs="Times New Roman"/>
        </w:rPr>
      </w:pPr>
      <w:r>
        <w:rPr>
          <w:noProof/>
        </w:rPr>
        <w:drawing>
          <wp:inline distT="0" distB="0" distL="0" distR="0">
            <wp:extent cx="4622910" cy="2863850"/>
            <wp:effectExtent l="38100" t="76200" r="120650" b="69850"/>
            <wp:docPr id="177849279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8492794" name="Picture 2"/>
                    <pic:cNvPicPr/>
                  </pic:nvPicPr>
                  <pic:blipFill>
                    <a:blip xmlns:r="http://schemas.openxmlformats.org/officeDocument/2006/relationships" r:embed="rId7" cstate="print">
                      <a:extLst>
                        <a:ext xmlns:a="http://schemas.openxmlformats.org/drawingml/2006/main" uri="{28A0092B-C50C-407E-A947-70E740481C1C}">
                          <a14:useLocalDpi xmlns:a14="http://schemas.microsoft.com/office/drawing/2010/main" val="0"/>
                        </a:ext>
                      </a:extLst>
                    </a:blip>
                    <a:stretch>
                      <a:fillRect/>
                    </a:stretch>
                  </pic:blipFill>
                  <pic:spPr>
                    <a:xfrm>
                      <a:off x="0" y="0"/>
                      <a:ext cx="4643714" cy="2876738"/>
                    </a:xfrm>
                    <a:prstGeom prst="rect">
                      <a:avLst/>
                    </a:prstGeom>
                    <a:ln w="6350">
                      <a:solidFill>
                        <a:schemeClr val="tx1"/>
                      </a:solidFill>
                    </a:ln>
                    <a:effectLst>
                      <a:outerShdw blurRad="50800" dist="38100" dir="0" sx="100000" sy="100000" kx="0" ky="0" algn="l" rotWithShape="0">
                        <a:prstClr val="black">
                          <a:alpha val="40000"/>
                        </a:prstClr>
                      </a:outerShdw>
                    </a:effectLst>
                  </pic:spPr>
                </pic:pic>
              </a:graphicData>
            </a:graphic>
          </wp:inline>
        </w:drawing>
      </w:r>
    </w:p>
    <w:p w:rsidR="00C661C0" w:rsidRPr="00C661C0" w:rsidP="00C661C0" w14:paraId="51D35340" w14:textId="36B873EE">
      <w:pPr>
        <w:rPr>
          <w:rFonts w:ascii="Times New Roman" w:hAnsi="Times New Roman" w:cs="Times New Roman"/>
        </w:rPr>
      </w:pPr>
      <w:r w:rsidRPr="002C53AF">
        <w:rPr>
          <w:rFonts w:ascii="Times New Roman" w:hAnsi="Times New Roman" w:cs="Times New Roman"/>
        </w:rPr>
        <w:t xml:space="preserve">The following table provides cell sites out of service by island.  </w:t>
      </w:r>
      <w:r w:rsidRPr="002C53AF" w:rsidR="00397C11">
        <w:rPr>
          <w:rFonts w:ascii="Times New Roman" w:hAnsi="Times New Roman" w:cs="Times New Roman"/>
        </w:rPr>
        <w:t>23.2% (down from 24.2% yesterday)</w:t>
      </w:r>
      <w:r w:rsidRPr="002C53AF" w:rsidR="00962008">
        <w:rPr>
          <w:rFonts w:ascii="Times New Roman" w:hAnsi="Times New Roman" w:cs="Times New Roman"/>
        </w:rPr>
        <w:t xml:space="preserve"> of</w:t>
      </w:r>
      <w:r w:rsidRPr="002C53AF" w:rsidR="00C6353B">
        <w:rPr>
          <w:rFonts w:ascii="Times New Roman" w:hAnsi="Times New Roman" w:cs="Times New Roman"/>
        </w:rPr>
        <w:t xml:space="preserve"> </w:t>
      </w:r>
      <w:r w:rsidRPr="002C53AF">
        <w:rPr>
          <w:rFonts w:ascii="Times New Roman" w:hAnsi="Times New Roman" w:cs="Times New Roman"/>
        </w:rPr>
        <w:t>the cell sites in the affected area are out of service.  The information shown was</w:t>
      </w:r>
      <w:r w:rsidRPr="00C661C0">
        <w:rPr>
          <w:rFonts w:ascii="Times New Roman" w:hAnsi="Times New Roman" w:cs="Times New Roman"/>
        </w:rPr>
        <w:t xml:space="preserve"> provided by communications carriers providing services in </w:t>
      </w:r>
      <w:r w:rsidR="00E31DCB">
        <w:rPr>
          <w:rFonts w:ascii="Times New Roman" w:hAnsi="Times New Roman" w:cs="Times New Roman"/>
        </w:rPr>
        <w:t>the CNMI</w:t>
      </w:r>
      <w:r w:rsidRPr="00C661C0">
        <w:rPr>
          <w:rFonts w:ascii="Times New Roman" w:hAnsi="Times New Roman" w:cs="Times New Roman"/>
        </w:rPr>
        <w:t>.</w:t>
      </w:r>
    </w:p>
    <w:p w:rsidR="00A579C1" w:rsidP="00A579C1" w14:paraId="15BF4798" w14:textId="77777777">
      <w:pPr>
        <w:spacing w:after="0" w:line="240" w:lineRule="auto"/>
        <w:rPr>
          <w:rFonts w:ascii="Times New Roman" w:hAnsi="Times New Roman" w:cs="Times New Roman"/>
          <w:b/>
        </w:rPr>
      </w:pPr>
    </w:p>
    <w:p w:rsidR="00182F2A" w:rsidP="001F38BF" w14:paraId="1544308A" w14:textId="62641EE2">
      <w:pPr>
        <w:spacing w:after="0" w:line="240" w:lineRule="auto"/>
        <w:jc w:val="center"/>
        <w:rPr>
          <w:rFonts w:ascii="Times New Roman" w:hAnsi="Times New Roman" w:cs="Times New Roman"/>
          <w:b/>
        </w:rPr>
      </w:pPr>
      <w:r w:rsidRPr="00C203B4">
        <w:rPr>
          <w:rFonts w:ascii="Times New Roman" w:hAnsi="Times New Roman" w:cs="Times New Roman"/>
          <w:b/>
        </w:rPr>
        <w:t xml:space="preserve">Commonwealth of the </w:t>
      </w:r>
      <w:r w:rsidRPr="00C203B4" w:rsidR="000170C0">
        <w:rPr>
          <w:rFonts w:ascii="Times New Roman" w:hAnsi="Times New Roman" w:cs="Times New Roman"/>
          <w:b/>
        </w:rPr>
        <w:t>Northern Mariana Islands</w:t>
      </w:r>
    </w:p>
    <w:p w:rsidR="00C203B4" w:rsidP="001F38BF" w14:paraId="47D5A359" w14:textId="77777777">
      <w:pPr>
        <w:spacing w:after="0" w:line="240" w:lineRule="auto"/>
        <w:jc w:val="center"/>
        <w:rPr>
          <w:rFonts w:ascii="Times New Roman" w:hAnsi="Times New Roman" w:cs="Times New Roman"/>
          <w:b/>
        </w:rPr>
      </w:pPr>
    </w:p>
    <w:tbl>
      <w:tblPr>
        <w:tblW w:w="0" w:type="auto"/>
        <w:jc w:val="center"/>
        <w:tblLook w:val="04A0"/>
      </w:tblPr>
      <w:tblGrid>
        <w:gridCol w:w="781"/>
        <w:gridCol w:w="1580"/>
        <w:gridCol w:w="916"/>
        <w:gridCol w:w="716"/>
        <w:gridCol w:w="954"/>
        <w:gridCol w:w="1130"/>
        <w:gridCol w:w="1273"/>
        <w:gridCol w:w="969"/>
        <w:gridCol w:w="1031"/>
      </w:tblGrid>
      <w:tr w14:paraId="27C8DC21" w14:textId="77777777">
        <w:tblPrEx>
          <w:tblW w:w="0" w:type="auto"/>
          <w:jc w:val="center"/>
          <w:tblLook w:val="04A0"/>
        </w:tblPrEx>
        <w:trPr>
          <w:trHeight w:val="1200"/>
          <w:tblHeader/>
          <w:jc w:val="center"/>
        </w:trPr>
        <w:tc>
          <w:tcPr>
            <w:tcW w:w="0" w:type="auto"/>
            <w:tcBorders>
              <w:top w:val="single" w:sz="4" w:space="0" w:color="000000"/>
              <w:left w:val="single" w:sz="4" w:space="0" w:color="000000"/>
              <w:bottom w:val="single" w:sz="4" w:space="0" w:color="000000"/>
              <w:right w:val="single" w:sz="4" w:space="0" w:color="000000"/>
            </w:tcBorders>
            <w:shd w:val="clear" w:color="000000" w:fill="2E77D6"/>
            <w:vAlign w:val="center"/>
            <w:hideMark/>
          </w:tcPr>
          <w:p w:rsidR="00CA2843" w:rsidRPr="00EB1CFA" w14:paraId="7B69D6CF"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State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2662BC5C"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Affected Municipalities</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34E0E453"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Served</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32A401E5"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8E97B71"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Percent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1031824F"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Damage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660C586"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Transport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98681B1"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Power</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182A3F3E"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Up but On Back-up Power</w:t>
            </w:r>
          </w:p>
        </w:tc>
      </w:tr>
      <w:tr w14:paraId="1E57B46C"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FC336C" w:rsidRPr="00CF3DD1" w:rsidP="00FC336C" w14:paraId="77E75299" w14:textId="0D5A3386">
            <w:pPr>
              <w:spacing w:after="0" w:line="240" w:lineRule="auto"/>
              <w:jc w:val="center"/>
              <w:rPr>
                <w:rFonts w:ascii="Calibri" w:eastAsia="Times New Roman" w:hAnsi="Calibri" w:cs="Calibri"/>
                <w:color w:val="000000"/>
                <w:kern w:val="0"/>
                <w:sz w:val="22"/>
                <w:szCs w:val="22"/>
                <w14:ligatures w14:val="none"/>
              </w:rPr>
            </w:pPr>
            <w:r w:rsidRPr="00CF3DD1">
              <w:rPr>
                <w:sz w:val="22"/>
                <w:szCs w:val="22"/>
              </w:rPr>
              <w:t>CNMI</w:t>
            </w:r>
          </w:p>
        </w:tc>
        <w:tc>
          <w:tcPr>
            <w:tcW w:w="0" w:type="auto"/>
            <w:tcBorders>
              <w:top w:val="nil"/>
              <w:left w:val="nil"/>
              <w:bottom w:val="single" w:sz="4" w:space="0" w:color="000000"/>
              <w:right w:val="single" w:sz="4" w:space="0" w:color="000000"/>
            </w:tcBorders>
            <w:shd w:val="clear" w:color="000000" w:fill="FFFFFF"/>
            <w:noWrap/>
            <w:hideMark/>
          </w:tcPr>
          <w:p w:rsidR="00FC336C" w:rsidRPr="00CF3DD1" w:rsidP="00FC336C" w14:paraId="00589DB7" w14:textId="77777777">
            <w:pPr>
              <w:spacing w:after="0" w:line="240" w:lineRule="auto"/>
              <w:jc w:val="center"/>
              <w:rPr>
                <w:rFonts w:ascii="Calibri" w:eastAsia="Times New Roman" w:hAnsi="Calibri" w:cs="Calibri"/>
                <w:color w:val="000000"/>
                <w:kern w:val="0"/>
                <w:sz w:val="22"/>
                <w:szCs w:val="22"/>
                <w14:ligatures w14:val="none"/>
              </w:rPr>
            </w:pPr>
            <w:r w:rsidRPr="00CF3DD1">
              <w:rPr>
                <w:sz w:val="22"/>
                <w:szCs w:val="22"/>
              </w:rPr>
              <w:t>ROTA</w:t>
            </w:r>
          </w:p>
        </w:tc>
        <w:tc>
          <w:tcPr>
            <w:tcW w:w="0" w:type="auto"/>
            <w:tcBorders>
              <w:top w:val="nil"/>
              <w:left w:val="nil"/>
              <w:bottom w:val="single" w:sz="4" w:space="0" w:color="000000"/>
              <w:right w:val="single" w:sz="4" w:space="0" w:color="000000"/>
            </w:tcBorders>
            <w:shd w:val="clear" w:color="000000" w:fill="FFFFFF"/>
            <w:noWrap/>
            <w:hideMark/>
          </w:tcPr>
          <w:p w:rsidR="00FC336C" w:rsidRPr="002C53AF" w:rsidP="00FC336C" w14:paraId="62A718C5" w14:textId="7C82E0D5">
            <w:pPr>
              <w:spacing w:after="0" w:line="240" w:lineRule="auto"/>
              <w:jc w:val="center"/>
              <w:rPr>
                <w:rFonts w:eastAsia="Times New Roman" w:cs="Calibri"/>
                <w:color w:val="000000"/>
                <w:kern w:val="0"/>
                <w:sz w:val="22"/>
                <w:szCs w:val="22"/>
                <w14:ligatures w14:val="none"/>
              </w:rPr>
            </w:pPr>
            <w:r w:rsidRPr="002C53AF">
              <w:rPr>
                <w:sz w:val="22"/>
                <w:szCs w:val="22"/>
              </w:rPr>
              <w:t>11</w:t>
            </w:r>
          </w:p>
        </w:tc>
        <w:tc>
          <w:tcPr>
            <w:tcW w:w="0" w:type="auto"/>
            <w:tcBorders>
              <w:top w:val="nil"/>
              <w:left w:val="nil"/>
              <w:bottom w:val="single" w:sz="4" w:space="0" w:color="000000"/>
              <w:right w:val="single" w:sz="4" w:space="0" w:color="000000"/>
            </w:tcBorders>
            <w:shd w:val="clear" w:color="000000" w:fill="FFFFFF"/>
            <w:noWrap/>
            <w:hideMark/>
          </w:tcPr>
          <w:p w:rsidR="00FC336C" w:rsidRPr="002C53AF" w:rsidP="00FC336C" w14:paraId="3F6E2C9D" w14:textId="262DD3AD">
            <w:pPr>
              <w:spacing w:after="0" w:line="240" w:lineRule="auto"/>
              <w:jc w:val="center"/>
              <w:rPr>
                <w:rFonts w:eastAsia="Times New Roman" w:cs="Calibri"/>
                <w:color w:val="000000"/>
                <w:kern w:val="0"/>
                <w:sz w:val="22"/>
                <w:szCs w:val="22"/>
                <w14:ligatures w14:val="none"/>
              </w:rPr>
            </w:pPr>
            <w:r w:rsidRPr="002C53AF">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FC336C" w:rsidRPr="002C53AF" w:rsidP="00FC336C" w14:paraId="00B24C3F" w14:textId="719A1631">
            <w:pPr>
              <w:spacing w:after="0" w:line="240" w:lineRule="auto"/>
              <w:jc w:val="center"/>
              <w:rPr>
                <w:rFonts w:eastAsia="Times New Roman" w:cs="Calibri"/>
                <w:color w:val="000000"/>
                <w:kern w:val="0"/>
                <w:sz w:val="22"/>
                <w:szCs w:val="22"/>
                <w14:ligatures w14:val="none"/>
              </w:rPr>
            </w:pPr>
            <w:r w:rsidRPr="002C53AF">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FC336C" w:rsidRPr="002C53AF" w:rsidP="00FC336C" w14:paraId="5323ABC2" w14:textId="50114BB4">
            <w:pPr>
              <w:spacing w:after="0" w:line="240" w:lineRule="auto"/>
              <w:jc w:val="center"/>
              <w:rPr>
                <w:rFonts w:eastAsia="Times New Roman" w:cs="Calibri"/>
                <w:color w:val="000000"/>
                <w:kern w:val="0"/>
                <w:sz w:val="22"/>
                <w:szCs w:val="22"/>
                <w14:ligatures w14:val="none"/>
              </w:rPr>
            </w:pPr>
            <w:r w:rsidRPr="002C53AF">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FC336C" w:rsidRPr="002C53AF" w:rsidP="00FC336C" w14:paraId="1A810506" w14:textId="7C16AD78">
            <w:pPr>
              <w:spacing w:after="0" w:line="240" w:lineRule="auto"/>
              <w:jc w:val="center"/>
              <w:rPr>
                <w:rFonts w:eastAsia="Times New Roman" w:cs="Calibri"/>
                <w:color w:val="000000"/>
                <w:kern w:val="0"/>
                <w:sz w:val="22"/>
                <w:szCs w:val="22"/>
                <w14:ligatures w14:val="none"/>
              </w:rPr>
            </w:pPr>
            <w:r w:rsidRPr="002C53AF">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FC336C" w:rsidRPr="002C53AF" w:rsidP="00FC336C" w14:paraId="62AA8A6C" w14:textId="4BA5D9C2">
            <w:pPr>
              <w:spacing w:after="0" w:line="240" w:lineRule="auto"/>
              <w:jc w:val="center"/>
              <w:rPr>
                <w:rFonts w:eastAsia="Times New Roman" w:cs="Calibri"/>
                <w:color w:val="000000"/>
                <w:kern w:val="0"/>
                <w:sz w:val="22"/>
                <w:szCs w:val="22"/>
                <w14:ligatures w14:val="none"/>
              </w:rPr>
            </w:pPr>
            <w:r w:rsidRPr="002C53AF">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FC336C" w:rsidRPr="002C53AF" w:rsidP="00FC336C" w14:paraId="438D49DE" w14:textId="6F523766">
            <w:pPr>
              <w:spacing w:after="0" w:line="240" w:lineRule="auto"/>
              <w:jc w:val="center"/>
              <w:rPr>
                <w:rFonts w:eastAsia="Times New Roman" w:cs="Calibri"/>
                <w:color w:val="000000"/>
                <w:kern w:val="0"/>
                <w:sz w:val="22"/>
                <w:szCs w:val="22"/>
                <w14:ligatures w14:val="none"/>
              </w:rPr>
            </w:pPr>
            <w:r w:rsidRPr="002C53AF">
              <w:rPr>
                <w:sz w:val="22"/>
                <w:szCs w:val="22"/>
              </w:rPr>
              <w:t>4</w:t>
            </w:r>
          </w:p>
        </w:tc>
      </w:tr>
      <w:tr w14:paraId="4FB7D67A"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FC336C" w:rsidRPr="00CF3DD1" w:rsidP="00FC336C" w14:paraId="25B166DB" w14:textId="1D2DCB7A">
            <w:pPr>
              <w:spacing w:after="0" w:line="240" w:lineRule="auto"/>
              <w:jc w:val="center"/>
              <w:rPr>
                <w:rFonts w:ascii="Calibri" w:eastAsia="Times New Roman" w:hAnsi="Calibri" w:cs="Calibri"/>
                <w:color w:val="000000"/>
                <w:kern w:val="0"/>
                <w:sz w:val="22"/>
                <w:szCs w:val="22"/>
                <w14:ligatures w14:val="none"/>
              </w:rPr>
            </w:pPr>
            <w:r w:rsidRPr="00CF3DD1">
              <w:rPr>
                <w:sz w:val="22"/>
                <w:szCs w:val="22"/>
              </w:rPr>
              <w:t>CNMI</w:t>
            </w:r>
          </w:p>
        </w:tc>
        <w:tc>
          <w:tcPr>
            <w:tcW w:w="0" w:type="auto"/>
            <w:tcBorders>
              <w:top w:val="nil"/>
              <w:left w:val="nil"/>
              <w:bottom w:val="single" w:sz="4" w:space="0" w:color="000000"/>
              <w:right w:val="single" w:sz="4" w:space="0" w:color="000000"/>
            </w:tcBorders>
            <w:shd w:val="clear" w:color="000000" w:fill="FFFFFF"/>
            <w:noWrap/>
            <w:hideMark/>
          </w:tcPr>
          <w:p w:rsidR="00FC336C" w:rsidRPr="00CF3DD1" w:rsidP="00FC336C" w14:paraId="21C3AE4F" w14:textId="77777777">
            <w:pPr>
              <w:spacing w:after="0" w:line="240" w:lineRule="auto"/>
              <w:jc w:val="center"/>
              <w:rPr>
                <w:rFonts w:ascii="Calibri" w:eastAsia="Times New Roman" w:hAnsi="Calibri" w:cs="Calibri"/>
                <w:color w:val="000000"/>
                <w:kern w:val="0"/>
                <w:sz w:val="22"/>
                <w:szCs w:val="22"/>
                <w14:ligatures w14:val="none"/>
              </w:rPr>
            </w:pPr>
            <w:r w:rsidRPr="00CF3DD1">
              <w:rPr>
                <w:sz w:val="22"/>
                <w:szCs w:val="22"/>
              </w:rPr>
              <w:t>SAIPAN</w:t>
            </w:r>
          </w:p>
        </w:tc>
        <w:tc>
          <w:tcPr>
            <w:tcW w:w="0" w:type="auto"/>
            <w:tcBorders>
              <w:top w:val="nil"/>
              <w:left w:val="nil"/>
              <w:bottom w:val="single" w:sz="4" w:space="0" w:color="000000"/>
              <w:right w:val="single" w:sz="4" w:space="0" w:color="000000"/>
            </w:tcBorders>
            <w:shd w:val="clear" w:color="000000" w:fill="FFFFFF"/>
            <w:noWrap/>
            <w:hideMark/>
          </w:tcPr>
          <w:p w:rsidR="00FC336C" w:rsidRPr="002C53AF" w:rsidP="00FC336C" w14:paraId="6B02E2DD" w14:textId="46DD71DE">
            <w:pPr>
              <w:spacing w:after="0" w:line="240" w:lineRule="auto"/>
              <w:jc w:val="center"/>
              <w:rPr>
                <w:rFonts w:eastAsia="Times New Roman" w:cs="Calibri"/>
                <w:color w:val="000000"/>
                <w:kern w:val="0"/>
                <w:sz w:val="22"/>
                <w:szCs w:val="22"/>
                <w14:ligatures w14:val="none"/>
              </w:rPr>
            </w:pPr>
            <w:r w:rsidRPr="002C53AF">
              <w:rPr>
                <w:sz w:val="22"/>
                <w:szCs w:val="22"/>
              </w:rPr>
              <w:t>75</w:t>
            </w:r>
          </w:p>
        </w:tc>
        <w:tc>
          <w:tcPr>
            <w:tcW w:w="0" w:type="auto"/>
            <w:tcBorders>
              <w:top w:val="nil"/>
              <w:left w:val="nil"/>
              <w:bottom w:val="single" w:sz="4" w:space="0" w:color="000000"/>
              <w:right w:val="single" w:sz="4" w:space="0" w:color="000000"/>
            </w:tcBorders>
            <w:shd w:val="clear" w:color="000000" w:fill="FFFFFF"/>
            <w:noWrap/>
            <w:hideMark/>
          </w:tcPr>
          <w:p w:rsidR="00FC336C" w:rsidRPr="002C53AF" w:rsidP="00FC336C" w14:paraId="68C63424" w14:textId="44E6B1D4">
            <w:pPr>
              <w:spacing w:after="0" w:line="240" w:lineRule="auto"/>
              <w:jc w:val="center"/>
              <w:rPr>
                <w:rFonts w:eastAsia="Times New Roman" w:cs="Calibri"/>
                <w:color w:val="000000"/>
                <w:kern w:val="0"/>
                <w:sz w:val="22"/>
                <w:szCs w:val="22"/>
                <w14:ligatures w14:val="none"/>
              </w:rPr>
            </w:pPr>
            <w:r w:rsidRPr="002C53AF">
              <w:rPr>
                <w:sz w:val="22"/>
                <w:szCs w:val="22"/>
              </w:rPr>
              <w:t>18</w:t>
            </w:r>
          </w:p>
        </w:tc>
        <w:tc>
          <w:tcPr>
            <w:tcW w:w="0" w:type="auto"/>
            <w:tcBorders>
              <w:top w:val="nil"/>
              <w:left w:val="nil"/>
              <w:bottom w:val="single" w:sz="4" w:space="0" w:color="000000"/>
              <w:right w:val="single" w:sz="4" w:space="0" w:color="000000"/>
            </w:tcBorders>
            <w:shd w:val="clear" w:color="000000" w:fill="FFFFFF"/>
            <w:noWrap/>
            <w:hideMark/>
          </w:tcPr>
          <w:p w:rsidR="00FC336C" w:rsidRPr="002C53AF" w:rsidP="00FC336C" w14:paraId="16CB2CA9" w14:textId="13B05635">
            <w:pPr>
              <w:spacing w:after="0" w:line="240" w:lineRule="auto"/>
              <w:jc w:val="center"/>
              <w:rPr>
                <w:rFonts w:eastAsia="Times New Roman" w:cs="Calibri"/>
                <w:color w:val="000000"/>
                <w:kern w:val="0"/>
                <w:sz w:val="22"/>
                <w:szCs w:val="22"/>
                <w14:ligatures w14:val="none"/>
              </w:rPr>
            </w:pPr>
            <w:r w:rsidRPr="002C53AF">
              <w:rPr>
                <w:sz w:val="22"/>
                <w:szCs w:val="22"/>
              </w:rPr>
              <w:t>24%</w:t>
            </w:r>
          </w:p>
        </w:tc>
        <w:tc>
          <w:tcPr>
            <w:tcW w:w="0" w:type="auto"/>
            <w:tcBorders>
              <w:top w:val="nil"/>
              <w:left w:val="nil"/>
              <w:bottom w:val="single" w:sz="4" w:space="0" w:color="000000"/>
              <w:right w:val="single" w:sz="4" w:space="0" w:color="000000"/>
            </w:tcBorders>
            <w:shd w:val="clear" w:color="000000" w:fill="FFFFFF"/>
            <w:noWrap/>
            <w:hideMark/>
          </w:tcPr>
          <w:p w:rsidR="00FC336C" w:rsidRPr="002C53AF" w:rsidP="00FC336C" w14:paraId="0B7D123C" w14:textId="50EF11BC">
            <w:pPr>
              <w:spacing w:after="0" w:line="240" w:lineRule="auto"/>
              <w:jc w:val="center"/>
              <w:rPr>
                <w:rFonts w:eastAsia="Times New Roman" w:cs="Calibri"/>
                <w:color w:val="000000"/>
                <w:kern w:val="0"/>
                <w:sz w:val="22"/>
                <w:szCs w:val="22"/>
                <w14:ligatures w14:val="none"/>
              </w:rPr>
            </w:pPr>
            <w:r w:rsidRPr="002C53AF">
              <w:rPr>
                <w:sz w:val="22"/>
                <w:szCs w:val="22"/>
              </w:rPr>
              <w:t>2</w:t>
            </w:r>
          </w:p>
        </w:tc>
        <w:tc>
          <w:tcPr>
            <w:tcW w:w="0" w:type="auto"/>
            <w:tcBorders>
              <w:top w:val="nil"/>
              <w:left w:val="nil"/>
              <w:bottom w:val="single" w:sz="4" w:space="0" w:color="000000"/>
              <w:right w:val="single" w:sz="4" w:space="0" w:color="000000"/>
            </w:tcBorders>
            <w:shd w:val="clear" w:color="000000" w:fill="FFFFFF"/>
            <w:noWrap/>
            <w:hideMark/>
          </w:tcPr>
          <w:p w:rsidR="00FC336C" w:rsidRPr="002C53AF" w:rsidP="00FC336C" w14:paraId="58313C2C" w14:textId="4AAE50EC">
            <w:pPr>
              <w:spacing w:after="0" w:line="240" w:lineRule="auto"/>
              <w:jc w:val="center"/>
              <w:rPr>
                <w:rFonts w:eastAsia="Times New Roman" w:cs="Calibri"/>
                <w:color w:val="000000"/>
                <w:kern w:val="0"/>
                <w:sz w:val="22"/>
                <w:szCs w:val="22"/>
                <w14:ligatures w14:val="none"/>
              </w:rPr>
            </w:pPr>
            <w:r w:rsidRPr="002C53AF">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FC336C" w:rsidRPr="002C53AF" w:rsidP="00FC336C" w14:paraId="73DE3C8C" w14:textId="258A3D6D">
            <w:pPr>
              <w:spacing w:after="0" w:line="240" w:lineRule="auto"/>
              <w:jc w:val="center"/>
              <w:rPr>
                <w:rFonts w:eastAsia="Times New Roman" w:cs="Calibri"/>
                <w:color w:val="000000"/>
                <w:kern w:val="0"/>
                <w:sz w:val="22"/>
                <w:szCs w:val="22"/>
                <w14:ligatures w14:val="none"/>
              </w:rPr>
            </w:pPr>
            <w:r w:rsidRPr="002C53AF">
              <w:rPr>
                <w:sz w:val="22"/>
                <w:szCs w:val="22"/>
              </w:rPr>
              <w:t>16</w:t>
            </w:r>
          </w:p>
        </w:tc>
        <w:tc>
          <w:tcPr>
            <w:tcW w:w="0" w:type="auto"/>
            <w:tcBorders>
              <w:top w:val="nil"/>
              <w:left w:val="nil"/>
              <w:bottom w:val="single" w:sz="4" w:space="0" w:color="000000"/>
              <w:right w:val="single" w:sz="4" w:space="0" w:color="000000"/>
            </w:tcBorders>
            <w:shd w:val="clear" w:color="000000" w:fill="FFFFFF"/>
            <w:noWrap/>
            <w:hideMark/>
          </w:tcPr>
          <w:p w:rsidR="00FC336C" w:rsidRPr="002C53AF" w:rsidP="00FC336C" w14:paraId="2FC5BB86" w14:textId="4FC411BA">
            <w:pPr>
              <w:spacing w:after="0" w:line="240" w:lineRule="auto"/>
              <w:jc w:val="center"/>
              <w:rPr>
                <w:rFonts w:eastAsia="Times New Roman" w:cs="Calibri"/>
                <w:color w:val="000000"/>
                <w:kern w:val="0"/>
                <w:sz w:val="22"/>
                <w:szCs w:val="22"/>
                <w14:ligatures w14:val="none"/>
              </w:rPr>
            </w:pPr>
            <w:r w:rsidRPr="002C53AF">
              <w:rPr>
                <w:sz w:val="22"/>
                <w:szCs w:val="22"/>
              </w:rPr>
              <w:t>57</w:t>
            </w:r>
          </w:p>
        </w:tc>
      </w:tr>
      <w:tr w14:paraId="4EBC0703"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FC336C" w:rsidRPr="00CF3DD1" w:rsidP="00FC336C" w14:paraId="5AABD525" w14:textId="3E47F5D7">
            <w:pPr>
              <w:spacing w:after="0" w:line="240" w:lineRule="auto"/>
              <w:jc w:val="center"/>
              <w:rPr>
                <w:rFonts w:ascii="Calibri" w:eastAsia="Times New Roman" w:hAnsi="Calibri" w:cs="Calibri"/>
                <w:color w:val="000000"/>
                <w:kern w:val="0"/>
                <w:sz w:val="22"/>
                <w:szCs w:val="22"/>
                <w14:ligatures w14:val="none"/>
              </w:rPr>
            </w:pPr>
            <w:r w:rsidRPr="00CF3DD1">
              <w:rPr>
                <w:sz w:val="22"/>
                <w:szCs w:val="22"/>
              </w:rPr>
              <w:t>CNMI</w:t>
            </w:r>
          </w:p>
        </w:tc>
        <w:tc>
          <w:tcPr>
            <w:tcW w:w="0" w:type="auto"/>
            <w:tcBorders>
              <w:top w:val="nil"/>
              <w:left w:val="nil"/>
              <w:bottom w:val="single" w:sz="4" w:space="0" w:color="000000"/>
              <w:right w:val="single" w:sz="4" w:space="0" w:color="000000"/>
            </w:tcBorders>
            <w:shd w:val="clear" w:color="000000" w:fill="FFFFFF"/>
            <w:noWrap/>
            <w:hideMark/>
          </w:tcPr>
          <w:p w:rsidR="00FC336C" w:rsidRPr="00CF3DD1" w:rsidP="00FC336C" w14:paraId="0D1CC995" w14:textId="77777777">
            <w:pPr>
              <w:spacing w:after="0" w:line="240" w:lineRule="auto"/>
              <w:jc w:val="center"/>
              <w:rPr>
                <w:rFonts w:ascii="Calibri" w:eastAsia="Times New Roman" w:hAnsi="Calibri" w:cs="Calibri"/>
                <w:color w:val="000000"/>
                <w:kern w:val="0"/>
                <w:sz w:val="22"/>
                <w:szCs w:val="22"/>
                <w14:ligatures w14:val="none"/>
              </w:rPr>
            </w:pPr>
            <w:r w:rsidRPr="00CF3DD1">
              <w:rPr>
                <w:sz w:val="22"/>
                <w:szCs w:val="22"/>
              </w:rPr>
              <w:t>TINIAN</w:t>
            </w:r>
          </w:p>
        </w:tc>
        <w:tc>
          <w:tcPr>
            <w:tcW w:w="0" w:type="auto"/>
            <w:tcBorders>
              <w:top w:val="nil"/>
              <w:left w:val="nil"/>
              <w:bottom w:val="single" w:sz="4" w:space="0" w:color="000000"/>
              <w:right w:val="single" w:sz="4" w:space="0" w:color="000000"/>
            </w:tcBorders>
            <w:shd w:val="clear" w:color="000000" w:fill="FFFFFF"/>
            <w:noWrap/>
            <w:hideMark/>
          </w:tcPr>
          <w:p w:rsidR="00FC336C" w:rsidRPr="002C53AF" w:rsidP="00FC336C" w14:paraId="246E0424" w14:textId="1873F26F">
            <w:pPr>
              <w:spacing w:after="0" w:line="240" w:lineRule="auto"/>
              <w:jc w:val="center"/>
              <w:rPr>
                <w:rFonts w:eastAsia="Times New Roman" w:cs="Calibri"/>
                <w:color w:val="000000"/>
                <w:kern w:val="0"/>
                <w:sz w:val="22"/>
                <w:szCs w:val="22"/>
                <w14:ligatures w14:val="none"/>
              </w:rPr>
            </w:pPr>
            <w:r w:rsidRPr="002C53AF">
              <w:rPr>
                <w:sz w:val="22"/>
                <w:szCs w:val="22"/>
              </w:rPr>
              <w:t>9</w:t>
            </w:r>
          </w:p>
        </w:tc>
        <w:tc>
          <w:tcPr>
            <w:tcW w:w="0" w:type="auto"/>
            <w:tcBorders>
              <w:top w:val="nil"/>
              <w:left w:val="nil"/>
              <w:bottom w:val="single" w:sz="4" w:space="0" w:color="000000"/>
              <w:right w:val="single" w:sz="4" w:space="0" w:color="000000"/>
            </w:tcBorders>
            <w:shd w:val="clear" w:color="000000" w:fill="FFFFFF"/>
            <w:noWrap/>
            <w:hideMark/>
          </w:tcPr>
          <w:p w:rsidR="00FC336C" w:rsidRPr="002C53AF" w:rsidP="00FC336C" w14:paraId="2BA19699" w14:textId="2DAB048A">
            <w:pPr>
              <w:spacing w:after="0" w:line="240" w:lineRule="auto"/>
              <w:jc w:val="center"/>
              <w:rPr>
                <w:rFonts w:eastAsia="Times New Roman" w:cs="Calibri"/>
                <w:color w:val="000000"/>
                <w:kern w:val="0"/>
                <w:sz w:val="22"/>
                <w:szCs w:val="22"/>
                <w14:ligatures w14:val="none"/>
              </w:rPr>
            </w:pPr>
            <w:r w:rsidRPr="002C53AF">
              <w:rPr>
                <w:sz w:val="22"/>
                <w:szCs w:val="22"/>
              </w:rPr>
              <w:t>4</w:t>
            </w:r>
          </w:p>
        </w:tc>
        <w:tc>
          <w:tcPr>
            <w:tcW w:w="0" w:type="auto"/>
            <w:tcBorders>
              <w:top w:val="nil"/>
              <w:left w:val="nil"/>
              <w:bottom w:val="single" w:sz="4" w:space="0" w:color="000000"/>
              <w:right w:val="single" w:sz="4" w:space="0" w:color="000000"/>
            </w:tcBorders>
            <w:shd w:val="clear" w:color="000000" w:fill="FFFFFF"/>
            <w:noWrap/>
            <w:hideMark/>
          </w:tcPr>
          <w:p w:rsidR="00FC336C" w:rsidRPr="002C53AF" w:rsidP="00FC336C" w14:paraId="711B23ED" w14:textId="05600247">
            <w:pPr>
              <w:spacing w:after="0" w:line="240" w:lineRule="auto"/>
              <w:jc w:val="center"/>
              <w:rPr>
                <w:rFonts w:eastAsia="Times New Roman" w:cs="Calibri"/>
                <w:color w:val="000000"/>
                <w:kern w:val="0"/>
                <w:sz w:val="22"/>
                <w:szCs w:val="22"/>
                <w14:ligatures w14:val="none"/>
              </w:rPr>
            </w:pPr>
            <w:r w:rsidRPr="002C53AF">
              <w:rPr>
                <w:sz w:val="22"/>
                <w:szCs w:val="22"/>
              </w:rPr>
              <w:t>44.4%</w:t>
            </w:r>
          </w:p>
        </w:tc>
        <w:tc>
          <w:tcPr>
            <w:tcW w:w="0" w:type="auto"/>
            <w:tcBorders>
              <w:top w:val="nil"/>
              <w:left w:val="nil"/>
              <w:bottom w:val="single" w:sz="4" w:space="0" w:color="000000"/>
              <w:right w:val="single" w:sz="4" w:space="0" w:color="000000"/>
            </w:tcBorders>
            <w:shd w:val="clear" w:color="000000" w:fill="FFFFFF"/>
            <w:noWrap/>
            <w:hideMark/>
          </w:tcPr>
          <w:p w:rsidR="00FC336C" w:rsidRPr="002C53AF" w:rsidP="00FC336C" w14:paraId="393E2BB7" w14:textId="003DA26B">
            <w:pPr>
              <w:spacing w:after="0" w:line="240" w:lineRule="auto"/>
              <w:jc w:val="center"/>
              <w:rPr>
                <w:rFonts w:eastAsia="Times New Roman" w:cs="Calibri"/>
                <w:color w:val="000000"/>
                <w:kern w:val="0"/>
                <w:sz w:val="22"/>
                <w:szCs w:val="22"/>
                <w14:ligatures w14:val="none"/>
              </w:rPr>
            </w:pPr>
            <w:r w:rsidRPr="002C53AF">
              <w:rPr>
                <w:sz w:val="22"/>
                <w:szCs w:val="22"/>
              </w:rPr>
              <w:t>1</w:t>
            </w:r>
          </w:p>
        </w:tc>
        <w:tc>
          <w:tcPr>
            <w:tcW w:w="0" w:type="auto"/>
            <w:tcBorders>
              <w:top w:val="nil"/>
              <w:left w:val="nil"/>
              <w:bottom w:val="single" w:sz="4" w:space="0" w:color="000000"/>
              <w:right w:val="single" w:sz="4" w:space="0" w:color="000000"/>
            </w:tcBorders>
            <w:shd w:val="clear" w:color="000000" w:fill="FFFFFF"/>
            <w:noWrap/>
            <w:hideMark/>
          </w:tcPr>
          <w:p w:rsidR="00FC336C" w:rsidRPr="002C53AF" w:rsidP="00FC336C" w14:paraId="211FE59F" w14:textId="44A7C614">
            <w:pPr>
              <w:spacing w:after="0" w:line="240" w:lineRule="auto"/>
              <w:jc w:val="center"/>
              <w:rPr>
                <w:rFonts w:eastAsia="Times New Roman" w:cs="Calibri"/>
                <w:color w:val="000000"/>
                <w:kern w:val="0"/>
                <w:sz w:val="22"/>
                <w:szCs w:val="22"/>
                <w14:ligatures w14:val="none"/>
              </w:rPr>
            </w:pPr>
            <w:r w:rsidRPr="002C53AF">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FC336C" w:rsidRPr="002C53AF" w:rsidP="00FC336C" w14:paraId="5FB8CBF1" w14:textId="48F6E839">
            <w:pPr>
              <w:spacing w:after="0" w:line="240" w:lineRule="auto"/>
              <w:jc w:val="center"/>
              <w:rPr>
                <w:rFonts w:eastAsia="Times New Roman" w:cs="Calibri"/>
                <w:color w:val="000000"/>
                <w:kern w:val="0"/>
                <w:sz w:val="22"/>
                <w:szCs w:val="22"/>
                <w14:ligatures w14:val="none"/>
              </w:rPr>
            </w:pPr>
            <w:r w:rsidRPr="002C53AF">
              <w:rPr>
                <w:sz w:val="22"/>
                <w:szCs w:val="22"/>
              </w:rPr>
              <w:t>3</w:t>
            </w:r>
          </w:p>
        </w:tc>
        <w:tc>
          <w:tcPr>
            <w:tcW w:w="0" w:type="auto"/>
            <w:tcBorders>
              <w:top w:val="nil"/>
              <w:left w:val="nil"/>
              <w:bottom w:val="single" w:sz="4" w:space="0" w:color="000000"/>
              <w:right w:val="single" w:sz="4" w:space="0" w:color="000000"/>
            </w:tcBorders>
            <w:shd w:val="clear" w:color="000000" w:fill="FFFFFF"/>
            <w:noWrap/>
            <w:hideMark/>
          </w:tcPr>
          <w:p w:rsidR="00FC336C" w:rsidRPr="002C53AF" w:rsidP="00FC336C" w14:paraId="4F74CBD2" w14:textId="4895D788">
            <w:pPr>
              <w:spacing w:after="0" w:line="240" w:lineRule="auto"/>
              <w:jc w:val="center"/>
              <w:rPr>
                <w:rFonts w:eastAsia="Times New Roman" w:cs="Calibri"/>
                <w:color w:val="000000"/>
                <w:kern w:val="0"/>
                <w:sz w:val="22"/>
                <w:szCs w:val="22"/>
                <w14:ligatures w14:val="none"/>
              </w:rPr>
            </w:pPr>
            <w:r w:rsidRPr="002C53AF">
              <w:rPr>
                <w:sz w:val="22"/>
                <w:szCs w:val="22"/>
              </w:rPr>
              <w:t>5</w:t>
            </w:r>
          </w:p>
        </w:tc>
      </w:tr>
      <w:tr w14:paraId="30D31E6F"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FC336C" w:rsidRPr="00C030AA" w:rsidP="00FC336C" w14:paraId="1E65E21F" w14:textId="77777777">
            <w:pPr>
              <w:spacing w:after="0" w:line="240" w:lineRule="auto"/>
              <w:jc w:val="center"/>
              <w:rPr>
                <w:rFonts w:ascii="Calibri" w:eastAsia="Times New Roman" w:hAnsi="Calibri" w:cs="Calibri"/>
                <w:b/>
                <w:bCs/>
                <w:color w:val="000000"/>
                <w:kern w:val="0"/>
                <w:sz w:val="22"/>
                <w:szCs w:val="22"/>
                <w14:ligatures w14:val="none"/>
              </w:rPr>
            </w:pPr>
            <w:r w:rsidRPr="00C030AA">
              <w:rPr>
                <w:b/>
                <w:bCs/>
                <w:sz w:val="22"/>
                <w:szCs w:val="22"/>
              </w:rPr>
              <w:t>TOTAL</w:t>
            </w:r>
          </w:p>
        </w:tc>
        <w:tc>
          <w:tcPr>
            <w:tcW w:w="0" w:type="auto"/>
            <w:tcBorders>
              <w:top w:val="nil"/>
              <w:left w:val="nil"/>
              <w:bottom w:val="single" w:sz="4" w:space="0" w:color="000000"/>
              <w:right w:val="single" w:sz="4" w:space="0" w:color="000000"/>
            </w:tcBorders>
            <w:shd w:val="clear" w:color="000000" w:fill="FFFFFF"/>
            <w:noWrap/>
            <w:hideMark/>
          </w:tcPr>
          <w:p w:rsidR="00FC336C" w:rsidRPr="00C030AA" w:rsidP="00FC336C" w14:paraId="45A0858B" w14:textId="77777777">
            <w:pPr>
              <w:spacing w:after="0" w:line="240" w:lineRule="auto"/>
              <w:jc w:val="center"/>
              <w:rPr>
                <w:rFonts w:ascii="Calibri" w:eastAsia="Times New Roman" w:hAnsi="Calibri" w:cs="Calibri"/>
                <w:b/>
                <w:bCs/>
                <w:color w:val="000000"/>
                <w:kern w:val="0"/>
                <w:sz w:val="22"/>
                <w:szCs w:val="22"/>
                <w14:ligatures w14:val="none"/>
              </w:rPr>
            </w:pPr>
            <w:r w:rsidRPr="00C030AA">
              <w:rPr>
                <w:b/>
                <w:bCs/>
                <w:sz w:val="22"/>
                <w:szCs w:val="22"/>
              </w:rPr>
              <w:t>-</w:t>
            </w:r>
          </w:p>
        </w:tc>
        <w:tc>
          <w:tcPr>
            <w:tcW w:w="0" w:type="auto"/>
            <w:tcBorders>
              <w:top w:val="nil"/>
              <w:left w:val="nil"/>
              <w:bottom w:val="single" w:sz="4" w:space="0" w:color="000000"/>
              <w:right w:val="single" w:sz="4" w:space="0" w:color="000000"/>
            </w:tcBorders>
            <w:shd w:val="clear" w:color="000000" w:fill="FFFFFF"/>
            <w:noWrap/>
            <w:hideMark/>
          </w:tcPr>
          <w:p w:rsidR="00FC336C" w:rsidRPr="00C030AA" w:rsidP="00FC336C" w14:paraId="3A300DDF" w14:textId="6DE0A2D0">
            <w:pPr>
              <w:spacing w:after="0" w:line="240" w:lineRule="auto"/>
              <w:jc w:val="center"/>
              <w:rPr>
                <w:rFonts w:eastAsia="Times New Roman" w:cs="Calibri"/>
                <w:b/>
                <w:bCs/>
                <w:color w:val="000000"/>
                <w:kern w:val="0"/>
                <w:sz w:val="22"/>
                <w:szCs w:val="22"/>
                <w14:ligatures w14:val="none"/>
              </w:rPr>
            </w:pPr>
            <w:r w:rsidRPr="00C030AA">
              <w:rPr>
                <w:b/>
                <w:bCs/>
                <w:sz w:val="22"/>
                <w:szCs w:val="22"/>
              </w:rPr>
              <w:t>95</w:t>
            </w:r>
          </w:p>
        </w:tc>
        <w:tc>
          <w:tcPr>
            <w:tcW w:w="0" w:type="auto"/>
            <w:tcBorders>
              <w:top w:val="nil"/>
              <w:left w:val="nil"/>
              <w:bottom w:val="single" w:sz="4" w:space="0" w:color="000000"/>
              <w:right w:val="single" w:sz="4" w:space="0" w:color="000000"/>
            </w:tcBorders>
            <w:shd w:val="clear" w:color="000000" w:fill="FFFFFF"/>
            <w:noWrap/>
            <w:hideMark/>
          </w:tcPr>
          <w:p w:rsidR="00FC336C" w:rsidRPr="00C030AA" w:rsidP="00FC336C" w14:paraId="6090FED3" w14:textId="7F6F318A">
            <w:pPr>
              <w:spacing w:after="0" w:line="240" w:lineRule="auto"/>
              <w:jc w:val="center"/>
              <w:rPr>
                <w:rFonts w:eastAsia="Times New Roman" w:cs="Calibri"/>
                <w:b/>
                <w:bCs/>
                <w:color w:val="000000"/>
                <w:kern w:val="0"/>
                <w:sz w:val="22"/>
                <w:szCs w:val="22"/>
                <w14:ligatures w14:val="none"/>
              </w:rPr>
            </w:pPr>
            <w:r w:rsidRPr="00C030AA">
              <w:rPr>
                <w:b/>
                <w:bCs/>
                <w:sz w:val="22"/>
                <w:szCs w:val="22"/>
              </w:rPr>
              <w:t>22</w:t>
            </w:r>
          </w:p>
        </w:tc>
        <w:tc>
          <w:tcPr>
            <w:tcW w:w="0" w:type="auto"/>
            <w:tcBorders>
              <w:top w:val="nil"/>
              <w:left w:val="nil"/>
              <w:bottom w:val="single" w:sz="4" w:space="0" w:color="000000"/>
              <w:right w:val="single" w:sz="4" w:space="0" w:color="000000"/>
            </w:tcBorders>
            <w:shd w:val="clear" w:color="000000" w:fill="FFFFFF"/>
            <w:noWrap/>
            <w:hideMark/>
          </w:tcPr>
          <w:p w:rsidR="00FC336C" w:rsidRPr="00C030AA" w:rsidP="00FC336C" w14:paraId="358CC430" w14:textId="28EC97DA">
            <w:pPr>
              <w:spacing w:after="0" w:line="240" w:lineRule="auto"/>
              <w:jc w:val="center"/>
              <w:rPr>
                <w:rFonts w:eastAsia="Times New Roman" w:cs="Calibri"/>
                <w:b/>
                <w:bCs/>
                <w:color w:val="000000"/>
                <w:kern w:val="0"/>
                <w:sz w:val="22"/>
                <w:szCs w:val="22"/>
                <w14:ligatures w14:val="none"/>
              </w:rPr>
            </w:pPr>
            <w:r w:rsidRPr="00C030AA">
              <w:rPr>
                <w:b/>
                <w:bCs/>
                <w:sz w:val="22"/>
                <w:szCs w:val="22"/>
              </w:rPr>
              <w:t>23.2%</w:t>
            </w:r>
          </w:p>
        </w:tc>
        <w:tc>
          <w:tcPr>
            <w:tcW w:w="0" w:type="auto"/>
            <w:tcBorders>
              <w:top w:val="nil"/>
              <w:left w:val="nil"/>
              <w:bottom w:val="single" w:sz="4" w:space="0" w:color="000000"/>
              <w:right w:val="single" w:sz="4" w:space="0" w:color="000000"/>
            </w:tcBorders>
            <w:shd w:val="clear" w:color="000000" w:fill="FFFFFF"/>
            <w:noWrap/>
            <w:hideMark/>
          </w:tcPr>
          <w:p w:rsidR="00FC336C" w:rsidRPr="00C030AA" w:rsidP="00FC336C" w14:paraId="744F2F9D" w14:textId="3159B90A">
            <w:pPr>
              <w:spacing w:after="0" w:line="240" w:lineRule="auto"/>
              <w:jc w:val="center"/>
              <w:rPr>
                <w:rFonts w:eastAsia="Times New Roman" w:cs="Calibri"/>
                <w:b/>
                <w:bCs/>
                <w:color w:val="000000"/>
                <w:kern w:val="0"/>
                <w:sz w:val="22"/>
                <w:szCs w:val="22"/>
                <w14:ligatures w14:val="none"/>
              </w:rPr>
            </w:pPr>
            <w:r w:rsidRPr="00C030AA">
              <w:rPr>
                <w:b/>
                <w:bCs/>
                <w:sz w:val="22"/>
                <w:szCs w:val="22"/>
              </w:rPr>
              <w:t>3</w:t>
            </w:r>
          </w:p>
        </w:tc>
        <w:tc>
          <w:tcPr>
            <w:tcW w:w="0" w:type="auto"/>
            <w:tcBorders>
              <w:top w:val="nil"/>
              <w:left w:val="nil"/>
              <w:bottom w:val="single" w:sz="4" w:space="0" w:color="000000"/>
              <w:right w:val="single" w:sz="4" w:space="0" w:color="000000"/>
            </w:tcBorders>
            <w:shd w:val="clear" w:color="000000" w:fill="FFFFFF"/>
            <w:noWrap/>
            <w:hideMark/>
          </w:tcPr>
          <w:p w:rsidR="00FC336C" w:rsidRPr="00C030AA" w:rsidP="00FC336C" w14:paraId="1CE2937F" w14:textId="12D4FDAD">
            <w:pPr>
              <w:spacing w:after="0" w:line="240" w:lineRule="auto"/>
              <w:jc w:val="center"/>
              <w:rPr>
                <w:rFonts w:eastAsia="Times New Roman" w:cs="Calibri"/>
                <w:b/>
                <w:bCs/>
                <w:color w:val="000000"/>
                <w:kern w:val="0"/>
                <w:sz w:val="22"/>
                <w:szCs w:val="22"/>
                <w14:ligatures w14:val="none"/>
              </w:rPr>
            </w:pPr>
            <w:r w:rsidRPr="00C030AA">
              <w:rPr>
                <w:b/>
                <w:bCs/>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FC336C" w:rsidRPr="00C030AA" w:rsidP="00FC336C" w14:paraId="3B41338C" w14:textId="0290FC8A">
            <w:pPr>
              <w:spacing w:after="0" w:line="240" w:lineRule="auto"/>
              <w:jc w:val="center"/>
              <w:rPr>
                <w:rFonts w:eastAsia="Times New Roman" w:cs="Calibri"/>
                <w:b/>
                <w:bCs/>
                <w:color w:val="000000"/>
                <w:kern w:val="0"/>
                <w:sz w:val="22"/>
                <w:szCs w:val="22"/>
                <w14:ligatures w14:val="none"/>
              </w:rPr>
            </w:pPr>
            <w:r w:rsidRPr="00C030AA">
              <w:rPr>
                <w:b/>
                <w:bCs/>
                <w:sz w:val="22"/>
                <w:szCs w:val="22"/>
              </w:rPr>
              <w:t>19</w:t>
            </w:r>
          </w:p>
        </w:tc>
        <w:tc>
          <w:tcPr>
            <w:tcW w:w="0" w:type="auto"/>
            <w:tcBorders>
              <w:top w:val="nil"/>
              <w:left w:val="nil"/>
              <w:bottom w:val="single" w:sz="4" w:space="0" w:color="000000"/>
              <w:right w:val="single" w:sz="4" w:space="0" w:color="000000"/>
            </w:tcBorders>
            <w:shd w:val="clear" w:color="000000" w:fill="FFFFFF"/>
            <w:noWrap/>
            <w:hideMark/>
          </w:tcPr>
          <w:p w:rsidR="00FC336C" w:rsidRPr="00C030AA" w:rsidP="00FC336C" w14:paraId="4F63557B" w14:textId="7BC03486">
            <w:pPr>
              <w:spacing w:after="0" w:line="240" w:lineRule="auto"/>
              <w:jc w:val="center"/>
              <w:rPr>
                <w:rFonts w:eastAsia="Times New Roman" w:cs="Calibri"/>
                <w:b/>
                <w:bCs/>
                <w:color w:val="000000"/>
                <w:kern w:val="0"/>
                <w:sz w:val="22"/>
                <w:szCs w:val="22"/>
                <w14:ligatures w14:val="none"/>
              </w:rPr>
            </w:pPr>
            <w:r w:rsidRPr="00C030AA">
              <w:rPr>
                <w:b/>
                <w:bCs/>
                <w:sz w:val="22"/>
                <w:szCs w:val="22"/>
              </w:rPr>
              <w:t>66</w:t>
            </w:r>
          </w:p>
        </w:tc>
      </w:tr>
    </w:tbl>
    <w:p w:rsidR="00D427F2" w:rsidP="00182F2A" w14:paraId="6886F489" w14:textId="77777777">
      <w:pPr>
        <w:spacing w:after="0" w:line="240" w:lineRule="auto"/>
        <w:rPr>
          <w:rFonts w:ascii="Times New Roman" w:hAnsi="Times New Roman" w:cs="Times New Roman"/>
          <w:bCs/>
        </w:rPr>
      </w:pPr>
    </w:p>
    <w:p w:rsidR="00222781" w:rsidP="00222781" w14:paraId="19EF1D9A" w14:textId="18DA4F4A">
      <w:pPr>
        <w:spacing w:after="0" w:line="240" w:lineRule="auto"/>
        <w:rPr>
          <w:rFonts w:ascii="Times New Roman" w:hAnsi="Times New Roman" w:cs="Times New Roman"/>
        </w:rPr>
      </w:pPr>
      <w:r>
        <w:rPr>
          <w:rFonts w:ascii="Times New Roman" w:hAnsi="Times New Roman" w:cs="Times New Roman"/>
        </w:rPr>
        <w:t>Please n</w:t>
      </w:r>
      <w:r w:rsidRPr="00F00D5A" w:rsidR="00D95EFE">
        <w:rPr>
          <w:rFonts w:ascii="Times New Roman" w:hAnsi="Times New Roman" w:cs="Times New Roman"/>
        </w:rPr>
        <w:t>ote</w:t>
      </w:r>
      <w:r>
        <w:rPr>
          <w:rFonts w:ascii="Times New Roman" w:hAnsi="Times New Roman" w:cs="Times New Roman"/>
        </w:rPr>
        <w:t xml:space="preserve">: </w:t>
      </w:r>
      <w:r w:rsidRPr="00F00D5A" w:rsidR="00D95EFE">
        <w:rPr>
          <w:rFonts w:ascii="Times New Roman" w:hAnsi="Times New Roman" w:cs="Times New Roman"/>
        </w:rPr>
        <w:t>some cell site outages may be the result of multiple causes.</w:t>
      </w:r>
    </w:p>
    <w:p w:rsidR="00E10192" w:rsidP="00252D2C" w14:paraId="1745332E" w14:textId="77777777">
      <w:pPr>
        <w:spacing w:after="0" w:line="240" w:lineRule="auto"/>
        <w:rPr>
          <w:rFonts w:ascii="Times New Roman" w:hAnsi="Times New Roman" w:cs="Times New Roman"/>
        </w:rPr>
      </w:pPr>
    </w:p>
    <w:p w:rsidR="005C2181" w:rsidP="00252D2C" w14:paraId="137F9AAB" w14:textId="77777777">
      <w:pPr>
        <w:spacing w:after="0" w:line="240" w:lineRule="auto"/>
        <w:rPr>
          <w:rFonts w:ascii="Times New Roman" w:hAnsi="Times New Roman" w:cs="Times New Roman"/>
        </w:rPr>
      </w:pPr>
    </w:p>
    <w:p w:rsidR="005C2181" w:rsidP="00252D2C" w14:paraId="5BAB85C1" w14:textId="77777777">
      <w:pPr>
        <w:spacing w:after="0" w:line="240" w:lineRule="auto"/>
        <w:rPr>
          <w:rFonts w:ascii="Times New Roman" w:hAnsi="Times New Roman" w:cs="Times New Roman"/>
        </w:rPr>
      </w:pPr>
    </w:p>
    <w:p w:rsidR="004631AF" w:rsidP="00252D2C" w14:paraId="2A446A72" w14:textId="77777777">
      <w:pPr>
        <w:spacing w:after="0" w:line="240" w:lineRule="auto"/>
        <w:rPr>
          <w:rFonts w:ascii="Times New Roman" w:hAnsi="Times New Roman" w:cs="Times New Roman"/>
        </w:rPr>
      </w:pPr>
    </w:p>
    <w:p w:rsidR="004631AF" w:rsidP="00252D2C" w14:paraId="2B6971CF" w14:textId="77777777">
      <w:pPr>
        <w:spacing w:after="0" w:line="240" w:lineRule="auto"/>
        <w:rPr>
          <w:rFonts w:ascii="Times New Roman" w:hAnsi="Times New Roman" w:cs="Times New Roman"/>
        </w:rPr>
      </w:pPr>
    </w:p>
    <w:p w:rsidR="00695078" w:rsidP="00252D2C" w14:paraId="42DC567E" w14:textId="77777777">
      <w:pPr>
        <w:spacing w:after="0" w:line="240" w:lineRule="auto"/>
        <w:rPr>
          <w:rFonts w:ascii="Times New Roman" w:hAnsi="Times New Roman" w:cs="Times New Roman"/>
        </w:rPr>
      </w:pPr>
    </w:p>
    <w:p w:rsidR="00695078" w:rsidP="00252D2C" w14:paraId="01B6B905" w14:textId="77777777">
      <w:pPr>
        <w:spacing w:after="0" w:line="240" w:lineRule="auto"/>
        <w:rPr>
          <w:rFonts w:ascii="Times New Roman" w:hAnsi="Times New Roman" w:cs="Times New Roman"/>
        </w:rPr>
      </w:pPr>
    </w:p>
    <w:p w:rsidR="00695078" w:rsidP="00252D2C" w14:paraId="32F3E41D" w14:textId="77777777">
      <w:pPr>
        <w:spacing w:after="0" w:line="240" w:lineRule="auto"/>
        <w:rPr>
          <w:rFonts w:ascii="Times New Roman" w:hAnsi="Times New Roman" w:cs="Times New Roman"/>
        </w:rPr>
      </w:pPr>
    </w:p>
    <w:p w:rsidR="00722AE1" w:rsidRPr="00722AE1" w:rsidP="00252D2C" w14:paraId="1DF519EC" w14:textId="19EF059B">
      <w:pPr>
        <w:spacing w:after="0" w:line="240" w:lineRule="auto"/>
        <w:rPr>
          <w:rFonts w:ascii="Times New Roman" w:hAnsi="Times New Roman" w:cs="Times New Roman"/>
        </w:rPr>
      </w:pPr>
      <w:r w:rsidRPr="00722AE1">
        <w:rPr>
          <w:rFonts w:ascii="Times New Roman" w:hAnsi="Times New Roman" w:cs="Times New Roman"/>
        </w:rPr>
        <w:t>The number of cell site outages in a specific area does not necessarily correspond to the availability of wireless service to consumers in that area.</w:t>
      </w:r>
      <w:r>
        <w:rPr>
          <w:rStyle w:val="FootnoteReference"/>
          <w:rFonts w:ascii="Times New Roman" w:hAnsi="Times New Roman"/>
        </w:rPr>
        <w:footnoteReference w:id="5"/>
      </w:r>
      <w:r w:rsidRPr="00722AE1">
        <w:rPr>
          <w:rFonts w:ascii="Times New Roman" w:hAnsi="Times New Roman" w:cs="Times New Roman"/>
        </w:rPr>
        <w:t xml:space="preserve">  Wireless networks are often designed with numerous, overlapping cell sites that provide maximum capacity and continuity of service even when an individual site is inoperable.  In addition, wireless providers frequently use temporary facilities, such as cells-on-wheels (also known as COWs), </w:t>
      </w:r>
      <w:r w:rsidR="00FD3503">
        <w:rPr>
          <w:rFonts w:ascii="Times New Roman" w:hAnsi="Times New Roman" w:cs="Times New Roman"/>
        </w:rPr>
        <w:t xml:space="preserve">will </w:t>
      </w:r>
      <w:r w:rsidRPr="00722AE1">
        <w:rPr>
          <w:rFonts w:ascii="Times New Roman" w:hAnsi="Times New Roman" w:cs="Times New Roman"/>
        </w:rPr>
        <w:t xml:space="preserve">increase power at operational sites, </w:t>
      </w:r>
      <w:r w:rsidR="00FD3503">
        <w:rPr>
          <w:rFonts w:ascii="Times New Roman" w:hAnsi="Times New Roman" w:cs="Times New Roman"/>
        </w:rPr>
        <w:t xml:space="preserve">will </w:t>
      </w:r>
      <w:r w:rsidRPr="00722AE1">
        <w:rPr>
          <w:rFonts w:ascii="Times New Roman" w:hAnsi="Times New Roman" w:cs="Times New Roman"/>
        </w:rPr>
        <w:t>initiate roaming agreements, or take other actions to maintain service to affected consumers during emergencies or other events that result in cell site outages.</w:t>
      </w:r>
    </w:p>
    <w:p w:rsidR="00A023F5" w:rsidP="00F80546" w14:paraId="573AC325" w14:textId="77777777">
      <w:pPr>
        <w:spacing w:after="0" w:line="240" w:lineRule="auto"/>
        <w:rPr>
          <w:rFonts w:ascii="Times New Roman" w:hAnsi="Times New Roman" w:cs="Times New Roman"/>
          <w:b/>
        </w:rPr>
      </w:pPr>
    </w:p>
    <w:p w:rsidR="00722AE1" w:rsidRPr="00E36C9C" w:rsidP="00F80546" w14:paraId="41B10C5A" w14:textId="46DE3F9A">
      <w:pPr>
        <w:spacing w:after="0" w:line="240" w:lineRule="auto"/>
        <w:rPr>
          <w:rFonts w:ascii="Times New Roman" w:hAnsi="Times New Roman" w:cs="Times New Roman"/>
          <w:b/>
        </w:rPr>
      </w:pPr>
      <w:r w:rsidRPr="00E36C9C">
        <w:rPr>
          <w:rFonts w:ascii="Times New Roman" w:hAnsi="Times New Roman" w:cs="Times New Roman"/>
          <w:b/>
        </w:rPr>
        <w:t>Cable Systems and Wireline (Combined)</w:t>
      </w:r>
    </w:p>
    <w:p w:rsidR="00722AE1" w:rsidRPr="00E36C9C" w:rsidP="00F80546" w14:paraId="4033BEF9" w14:textId="77777777">
      <w:pPr>
        <w:spacing w:after="0" w:line="240" w:lineRule="auto"/>
        <w:rPr>
          <w:rFonts w:ascii="Times New Roman" w:hAnsi="Times New Roman" w:cs="Times New Roman"/>
        </w:rPr>
      </w:pPr>
    </w:p>
    <w:p w:rsidR="00786C6B" w:rsidRPr="00786C6B" w:rsidP="00F80546" w14:paraId="50D264CF" w14:textId="0EA81581">
      <w:pPr>
        <w:spacing w:after="0" w:line="240" w:lineRule="auto"/>
        <w:rPr>
          <w:rFonts w:ascii="Times New Roman" w:hAnsi="Times New Roman" w:cs="Times New Roman"/>
          <w:bCs/>
        </w:rPr>
      </w:pPr>
      <w:r w:rsidRPr="00CF3DD1">
        <w:rPr>
          <w:rFonts w:ascii="Times New Roman" w:hAnsi="Times New Roman" w:cs="Times New Roman"/>
        </w:rPr>
        <w:t xml:space="preserve">Cable and wireline companies </w:t>
      </w:r>
      <w:r w:rsidRPr="00C030AA">
        <w:rPr>
          <w:rFonts w:ascii="Times New Roman" w:hAnsi="Times New Roman" w:cs="Times New Roman"/>
        </w:rPr>
        <w:t xml:space="preserve">reported </w:t>
      </w:r>
      <w:r w:rsidRPr="00C030AA" w:rsidR="00622C49">
        <w:rPr>
          <w:rFonts w:ascii="Times New Roman" w:hAnsi="Times New Roman" w:cs="Times New Roman"/>
        </w:rPr>
        <w:t>4,322</w:t>
      </w:r>
      <w:r w:rsidRPr="00C030AA" w:rsidR="00A3594C">
        <w:rPr>
          <w:rFonts w:ascii="Times New Roman" w:hAnsi="Times New Roman" w:cs="Times New Roman"/>
        </w:rPr>
        <w:t xml:space="preserve"> </w:t>
      </w:r>
      <w:r w:rsidRPr="00C030AA">
        <w:rPr>
          <w:rFonts w:ascii="Times New Roman" w:hAnsi="Times New Roman" w:cs="Times New Roman"/>
        </w:rPr>
        <w:t>subscribers</w:t>
      </w:r>
      <w:r w:rsidRPr="00CF3DD1">
        <w:rPr>
          <w:rFonts w:ascii="Times New Roman" w:hAnsi="Times New Roman" w:cs="Times New Roman"/>
        </w:rPr>
        <w:t xml:space="preserve"> out of service in the disaster area.  This</w:t>
      </w:r>
      <w:r w:rsidRPr="00E36C9C">
        <w:rPr>
          <w:rFonts w:ascii="Times New Roman" w:hAnsi="Times New Roman" w:cs="Times New Roman"/>
        </w:rPr>
        <w:t xml:space="preserve"> includes the loss of telephone, television, and/or Internet services.</w:t>
      </w:r>
      <w:r w:rsidRPr="00786C6B">
        <w:rPr>
          <w:rFonts w:ascii="Times New Roman" w:hAnsi="Times New Roman" w:cs="Times New Roman"/>
        </w:rPr>
        <w:t xml:space="preserve">  </w:t>
      </w:r>
    </w:p>
    <w:p w:rsidR="00786C6B" w:rsidP="00F80546" w14:paraId="5DD8D760" w14:textId="77777777">
      <w:pPr>
        <w:spacing w:after="0" w:line="240" w:lineRule="auto"/>
        <w:rPr>
          <w:rFonts w:ascii="Times New Roman" w:hAnsi="Times New Roman" w:cs="Times New Roman"/>
          <w:bCs/>
        </w:rPr>
      </w:pPr>
    </w:p>
    <w:p w:rsidR="00722AE1" w:rsidRPr="00722AE1" w:rsidP="00F80546" w14:paraId="1E7DC0A2" w14:textId="6D1BC81C">
      <w:pPr>
        <w:spacing w:after="0" w:line="240" w:lineRule="auto"/>
        <w:rPr>
          <w:rFonts w:ascii="Times New Roman" w:eastAsia="Times New Roman" w:hAnsi="Times New Roman" w:cs="Times New Roman"/>
        </w:rPr>
      </w:pPr>
      <w:r w:rsidRPr="00722AE1">
        <w:rPr>
          <w:rFonts w:ascii="Times New Roman" w:hAnsi="Times New Roman" w:cs="Times New Roman"/>
          <w:b/>
        </w:rPr>
        <w:t>Broadcast</w:t>
      </w:r>
    </w:p>
    <w:p w:rsidR="007D4D87" w:rsidP="00F80546" w14:paraId="67A717FB" w14:textId="77777777">
      <w:pPr>
        <w:spacing w:after="0" w:line="240" w:lineRule="auto"/>
        <w:outlineLvl w:val="0"/>
        <w:rPr>
          <w:rFonts w:ascii="Times New Roman" w:eastAsia="Times New Roman" w:hAnsi="Times New Roman" w:cs="Times New Roman"/>
          <w:u w:val="single"/>
        </w:rPr>
      </w:pPr>
      <w:bookmarkStart w:id="1" w:name="_Hlk48212138"/>
    </w:p>
    <w:p w:rsidR="00AF66C1" w:rsidP="00AF66C1" w14:paraId="74F196DF" w14:textId="77777777">
      <w:pPr>
        <w:spacing w:after="120" w:line="240" w:lineRule="auto"/>
        <w:contextualSpacing/>
        <w:outlineLvl w:val="0"/>
        <w:rPr>
          <w:rFonts w:ascii="Times New Roman" w:hAnsi="Times New Roman" w:cs="Times New Roman"/>
          <w:u w:val="single"/>
        </w:rPr>
      </w:pPr>
      <w:bookmarkStart w:id="2" w:name="_Hlk80613601"/>
      <w:bookmarkEnd w:id="1"/>
      <w:r w:rsidRPr="00FB26A3">
        <w:rPr>
          <w:rFonts w:ascii="Times New Roman" w:hAnsi="Times New Roman" w:cs="Times New Roman"/>
          <w:u w:val="single"/>
        </w:rPr>
        <w:t>Television Station Status:</w:t>
      </w:r>
    </w:p>
    <w:p w:rsidR="005562C4" w:rsidRPr="0069634B" w:rsidP="00AF66C1" w14:paraId="324A1B30" w14:textId="77777777">
      <w:pPr>
        <w:spacing w:after="120" w:line="240" w:lineRule="auto"/>
        <w:contextualSpacing/>
        <w:outlineLvl w:val="0"/>
        <w:rPr>
          <w:rFonts w:ascii="Times New Roman" w:hAnsi="Times New Roman" w:cs="Times New Roman"/>
          <w:u w:val="single"/>
        </w:rPr>
      </w:pPr>
    </w:p>
    <w:p w:rsidR="00A6328D" w:rsidRPr="001A45EE" w:rsidP="00A6328D" w14:paraId="27AD1B24" w14:textId="77777777">
      <w:pPr>
        <w:pStyle w:val="ListParagraph"/>
        <w:numPr>
          <w:ilvl w:val="0"/>
          <w:numId w:val="10"/>
        </w:numPr>
        <w:spacing w:after="0"/>
        <w:rPr>
          <w:rFonts w:ascii="Times New Roman" w:hAnsi="Times New Roman" w:cs="Times New Roman"/>
        </w:rPr>
      </w:pPr>
      <w:r w:rsidRPr="00FB26A3">
        <w:rPr>
          <w:rFonts w:ascii="Times New Roman" w:hAnsi="Times New Roman" w:cs="Times New Roman"/>
        </w:rPr>
        <w:t xml:space="preserve">The FCC </w:t>
      </w:r>
      <w:r>
        <w:rPr>
          <w:rFonts w:ascii="Times New Roman" w:hAnsi="Times New Roman" w:cs="Times New Roman"/>
        </w:rPr>
        <w:t>has</w:t>
      </w:r>
      <w:r w:rsidRPr="00FB26A3">
        <w:rPr>
          <w:rFonts w:ascii="Times New Roman" w:hAnsi="Times New Roman" w:cs="Times New Roman"/>
        </w:rPr>
        <w:t xml:space="preserve"> not receive</w:t>
      </w:r>
      <w:r>
        <w:rPr>
          <w:rFonts w:ascii="Times New Roman" w:hAnsi="Times New Roman" w:cs="Times New Roman"/>
        </w:rPr>
        <w:t>d</w:t>
      </w:r>
      <w:r w:rsidRPr="00FB26A3">
        <w:rPr>
          <w:rFonts w:ascii="Times New Roman" w:hAnsi="Times New Roman" w:cs="Times New Roman"/>
        </w:rPr>
        <w:t xml:space="preserve"> any reports in DIRS on the status of television stations.</w:t>
      </w:r>
    </w:p>
    <w:p w:rsidR="00AF66C1" w:rsidRPr="00FB26A3" w:rsidP="00AF66C1" w14:paraId="7CA1DCA2" w14:textId="77777777">
      <w:pPr>
        <w:spacing w:after="120" w:line="240" w:lineRule="auto"/>
        <w:contextualSpacing/>
        <w:outlineLvl w:val="0"/>
        <w:rPr>
          <w:rFonts w:ascii="Times New Roman" w:hAnsi="Times New Roman" w:cs="Times New Roman"/>
          <w:u w:val="single"/>
        </w:rPr>
      </w:pPr>
    </w:p>
    <w:p w:rsidR="00AF66C1" w:rsidP="005562C4" w14:paraId="689A390C" w14:textId="77777777">
      <w:pPr>
        <w:spacing w:after="120" w:line="240" w:lineRule="auto"/>
        <w:contextualSpacing/>
        <w:outlineLvl w:val="0"/>
        <w:rPr>
          <w:rFonts w:ascii="Times New Roman" w:hAnsi="Times New Roman" w:cs="Times New Roman"/>
          <w:u w:val="single"/>
        </w:rPr>
      </w:pPr>
      <w:r w:rsidRPr="00FB26A3">
        <w:rPr>
          <w:rFonts w:ascii="Times New Roman" w:hAnsi="Times New Roman" w:cs="Times New Roman"/>
          <w:u w:val="single"/>
        </w:rPr>
        <w:t xml:space="preserve">FM Radio station status:  </w:t>
      </w:r>
    </w:p>
    <w:p w:rsidR="005562C4" w:rsidRPr="005562C4" w:rsidP="005562C4" w14:paraId="421CC798" w14:textId="77777777">
      <w:pPr>
        <w:spacing w:after="120" w:line="240" w:lineRule="auto"/>
        <w:contextualSpacing/>
        <w:outlineLvl w:val="0"/>
        <w:rPr>
          <w:rFonts w:ascii="Times New Roman" w:hAnsi="Times New Roman" w:cs="Times New Roman"/>
          <w:u w:val="single"/>
        </w:rPr>
      </w:pPr>
    </w:p>
    <w:p w:rsidR="00681639" w:rsidRPr="001A45EE" w:rsidP="00681639" w14:paraId="00ADAAC2" w14:textId="593CDDF7">
      <w:pPr>
        <w:pStyle w:val="ListParagraph"/>
        <w:numPr>
          <w:ilvl w:val="0"/>
          <w:numId w:val="10"/>
        </w:numPr>
        <w:spacing w:after="0"/>
        <w:rPr>
          <w:rFonts w:ascii="Times New Roman" w:hAnsi="Times New Roman" w:cs="Times New Roman"/>
        </w:rPr>
      </w:pPr>
      <w:r w:rsidRPr="00FB26A3">
        <w:rPr>
          <w:rFonts w:ascii="Times New Roman" w:hAnsi="Times New Roman" w:cs="Times New Roman"/>
        </w:rPr>
        <w:t xml:space="preserve">The FCC </w:t>
      </w:r>
      <w:r>
        <w:rPr>
          <w:rFonts w:ascii="Times New Roman" w:hAnsi="Times New Roman" w:cs="Times New Roman"/>
        </w:rPr>
        <w:t>has</w:t>
      </w:r>
      <w:r w:rsidRPr="00FB26A3">
        <w:rPr>
          <w:rFonts w:ascii="Times New Roman" w:hAnsi="Times New Roman" w:cs="Times New Roman"/>
        </w:rPr>
        <w:t xml:space="preserve"> not receive</w:t>
      </w:r>
      <w:r>
        <w:rPr>
          <w:rFonts w:ascii="Times New Roman" w:hAnsi="Times New Roman" w:cs="Times New Roman"/>
        </w:rPr>
        <w:t>d</w:t>
      </w:r>
      <w:r w:rsidRPr="00FB26A3">
        <w:rPr>
          <w:rFonts w:ascii="Times New Roman" w:hAnsi="Times New Roman" w:cs="Times New Roman"/>
        </w:rPr>
        <w:t xml:space="preserve"> any reports in DIRS on the status of </w:t>
      </w:r>
      <w:r>
        <w:rPr>
          <w:rFonts w:ascii="Times New Roman" w:hAnsi="Times New Roman" w:cs="Times New Roman"/>
        </w:rPr>
        <w:t xml:space="preserve">FM </w:t>
      </w:r>
      <w:r w:rsidRPr="00FB26A3">
        <w:rPr>
          <w:rFonts w:ascii="Times New Roman" w:hAnsi="Times New Roman" w:cs="Times New Roman"/>
        </w:rPr>
        <w:t>stations.</w:t>
      </w:r>
    </w:p>
    <w:p w:rsidR="005562C4" w:rsidRPr="008820D5" w:rsidP="005562C4" w14:paraId="1F570535" w14:textId="77777777">
      <w:pPr>
        <w:pStyle w:val="ListParagraph"/>
        <w:spacing w:after="0"/>
        <w:rPr>
          <w:rFonts w:ascii="Times New Roman" w:hAnsi="Times New Roman" w:cs="Times New Roman"/>
        </w:rPr>
      </w:pPr>
    </w:p>
    <w:p w:rsidR="00AF66C1" w:rsidP="005562C4" w14:paraId="220DEFFE" w14:textId="77777777">
      <w:pPr>
        <w:spacing w:after="120" w:line="240" w:lineRule="auto"/>
        <w:contextualSpacing/>
        <w:outlineLvl w:val="0"/>
        <w:rPr>
          <w:rFonts w:ascii="Times New Roman" w:hAnsi="Times New Roman" w:cs="Times New Roman"/>
          <w:u w:val="single"/>
        </w:rPr>
      </w:pPr>
      <w:r w:rsidRPr="008820D5">
        <w:rPr>
          <w:rFonts w:ascii="Times New Roman" w:hAnsi="Times New Roman" w:cs="Times New Roman"/>
          <w:u w:val="single"/>
        </w:rPr>
        <w:t xml:space="preserve">AM Radio station status:  </w:t>
      </w:r>
    </w:p>
    <w:p w:rsidR="005562C4" w:rsidRPr="005562C4" w:rsidP="005562C4" w14:paraId="7039AEC7" w14:textId="77777777">
      <w:pPr>
        <w:spacing w:after="120" w:line="240" w:lineRule="auto"/>
        <w:contextualSpacing/>
        <w:outlineLvl w:val="0"/>
        <w:rPr>
          <w:rFonts w:ascii="Times New Roman" w:hAnsi="Times New Roman" w:cs="Times New Roman"/>
          <w:u w:val="single"/>
        </w:rPr>
      </w:pPr>
    </w:p>
    <w:p w:rsidR="00AF66C1" w:rsidRPr="00681639" w:rsidP="00681639" w14:paraId="0BBCA524" w14:textId="6A88663B">
      <w:pPr>
        <w:pStyle w:val="ListParagraph"/>
        <w:numPr>
          <w:ilvl w:val="0"/>
          <w:numId w:val="10"/>
        </w:numPr>
        <w:rPr>
          <w:rFonts w:ascii="Times New Roman" w:hAnsi="Times New Roman" w:cs="Times New Roman"/>
        </w:rPr>
      </w:pPr>
      <w:r w:rsidRPr="00681639">
        <w:rPr>
          <w:rFonts w:ascii="Times New Roman" w:hAnsi="Times New Roman" w:cs="Times New Roman"/>
        </w:rPr>
        <w:t xml:space="preserve">The FCC has not received any reports in DIRS on the status of </w:t>
      </w:r>
      <w:r>
        <w:rPr>
          <w:rFonts w:ascii="Times New Roman" w:hAnsi="Times New Roman" w:cs="Times New Roman"/>
        </w:rPr>
        <w:t>A</w:t>
      </w:r>
      <w:r w:rsidRPr="00681639">
        <w:rPr>
          <w:rFonts w:ascii="Times New Roman" w:hAnsi="Times New Roman" w:cs="Times New Roman"/>
        </w:rPr>
        <w:t>M stations.</w:t>
      </w:r>
      <w:r w:rsidRPr="00681639">
        <w:rPr>
          <w:rFonts w:ascii="Times New Roman" w:hAnsi="Times New Roman" w:cs="Times New Roman"/>
        </w:rPr>
        <w:br/>
      </w:r>
    </w:p>
    <w:p w:rsidR="00BB55AA" w:rsidRPr="004B0A4C" w:rsidP="00252D2C" w14:paraId="5E3B20AE" w14:textId="77777777">
      <w:pPr>
        <w:spacing w:after="0" w:line="240" w:lineRule="auto"/>
        <w:rPr>
          <w:rFonts w:ascii="Times New Roman" w:hAnsi="Times New Roman" w:cs="Times New Roman"/>
        </w:rPr>
      </w:pPr>
    </w:p>
    <w:p w:rsidR="00722AE1" w:rsidRPr="00722AE1" w:rsidP="00252D2C" w14:paraId="602703DF" w14:textId="40141A20">
      <w:pPr>
        <w:spacing w:after="0" w:line="240" w:lineRule="auto"/>
        <w:rPr>
          <w:rFonts w:ascii="Times New Roman" w:hAnsi="Times New Roman" w:cs="Times New Roman"/>
          <w:b/>
          <w:bCs/>
        </w:rPr>
      </w:pPr>
      <w:r w:rsidRPr="00722AE1">
        <w:rPr>
          <w:rFonts w:ascii="Times New Roman" w:hAnsi="Times New Roman" w:cs="Times New Roman"/>
          <w:b/>
          <w:bCs/>
        </w:rPr>
        <w:t>Mandatory Disaster Response Initiative</w:t>
      </w:r>
    </w:p>
    <w:p w:rsidR="00722AE1" w:rsidRPr="004B0A4C" w:rsidP="00252D2C" w14:paraId="53CC631E" w14:textId="77777777">
      <w:pPr>
        <w:spacing w:after="0" w:line="240" w:lineRule="auto"/>
        <w:rPr>
          <w:rFonts w:ascii="Times New Roman" w:hAnsi="Times New Roman" w:cs="Times New Roman"/>
        </w:rPr>
      </w:pPr>
    </w:p>
    <w:p w:rsidR="00EA119C" w:rsidP="00252D2C" w14:paraId="3A500EDF" w14:textId="2B5ECFA4">
      <w:pPr>
        <w:spacing w:after="0" w:line="240" w:lineRule="auto"/>
        <w:rPr>
          <w:rFonts w:ascii="Times New Roman" w:hAnsi="Times New Roman" w:cs="Times New Roman"/>
        </w:rPr>
      </w:pPr>
      <w:r w:rsidRPr="009A72C3">
        <w:rPr>
          <w:rFonts w:ascii="Times New Roman" w:hAnsi="Times New Roman" w:cs="Times New Roman"/>
        </w:rPr>
        <w:t xml:space="preserve">The Mandatory Disaster Response Initiative was activated for </w:t>
      </w:r>
      <w:r w:rsidRPr="009A72C3" w:rsidR="009A72C3">
        <w:rPr>
          <w:rFonts w:ascii="Times New Roman" w:hAnsi="Times New Roman" w:cs="Times New Roman"/>
        </w:rPr>
        <w:t xml:space="preserve">Super </w:t>
      </w:r>
      <w:r w:rsidRPr="009A72C3" w:rsidR="00C81E66">
        <w:rPr>
          <w:rFonts w:ascii="Times New Roman" w:hAnsi="Times New Roman" w:cs="Times New Roman"/>
        </w:rPr>
        <w:t xml:space="preserve">Typhoon </w:t>
      </w:r>
      <w:r w:rsidR="00DF27A0">
        <w:rPr>
          <w:rFonts w:ascii="Times New Roman" w:hAnsi="Times New Roman" w:cs="Times New Roman"/>
        </w:rPr>
        <w:t>Sinlaku</w:t>
      </w:r>
      <w:r w:rsidRPr="009A72C3">
        <w:rPr>
          <w:rFonts w:ascii="Times New Roman" w:hAnsi="Times New Roman" w:cs="Times New Roman"/>
        </w:rPr>
        <w:t xml:space="preserve"> response activities on </w:t>
      </w:r>
      <w:r w:rsidRPr="009A72C3" w:rsidR="00C81E66">
        <w:rPr>
          <w:rFonts w:ascii="Times New Roman" w:hAnsi="Times New Roman" w:cs="Times New Roman"/>
        </w:rPr>
        <w:t xml:space="preserve">April </w:t>
      </w:r>
      <w:r w:rsidRPr="009A72C3" w:rsidR="009A72C3">
        <w:rPr>
          <w:rFonts w:ascii="Times New Roman" w:hAnsi="Times New Roman" w:cs="Times New Roman"/>
        </w:rPr>
        <w:t>1</w:t>
      </w:r>
      <w:r w:rsidR="003E6AC6">
        <w:rPr>
          <w:rFonts w:ascii="Times New Roman" w:hAnsi="Times New Roman" w:cs="Times New Roman"/>
        </w:rPr>
        <w:t>3</w:t>
      </w:r>
      <w:r w:rsidRPr="009A72C3" w:rsidR="00C81E66">
        <w:rPr>
          <w:rFonts w:ascii="Times New Roman" w:hAnsi="Times New Roman" w:cs="Times New Roman"/>
        </w:rPr>
        <w:t>,</w:t>
      </w:r>
      <w:r w:rsidRPr="009A72C3" w:rsidR="007178B0">
        <w:rPr>
          <w:rFonts w:ascii="Times New Roman" w:hAnsi="Times New Roman" w:cs="Times New Roman"/>
        </w:rPr>
        <w:t xml:space="preserve"> 2026</w:t>
      </w:r>
      <w:r w:rsidRPr="009A72C3">
        <w:rPr>
          <w:rFonts w:ascii="Times New Roman" w:hAnsi="Times New Roman" w:cs="Times New Roman"/>
        </w:rPr>
        <w:t>.  As a reminder, all facilities-based mobile wireless providers operating in the above-referenced areas are hereby notified and required to: (1) provide for reasonable roaming under</w:t>
      </w:r>
      <w:r w:rsidRPr="00722AE1">
        <w:rPr>
          <w:rFonts w:ascii="Times New Roman" w:hAnsi="Times New Roman" w:cs="Times New Roman"/>
        </w:rPr>
        <w:t xml:space="preserve"> disaster arrangements when technically feasible;</w:t>
      </w:r>
      <w:r>
        <w:rPr>
          <w:rStyle w:val="FootnoteReference"/>
          <w:rFonts w:ascii="Times New Roman" w:hAnsi="Times New Roman"/>
        </w:rPr>
        <w:footnoteReference w:id="6"/>
      </w:r>
      <w:r w:rsidRPr="00722AE1">
        <w:rPr>
          <w:rFonts w:ascii="Times New Roman" w:hAnsi="Times New Roman" w:cs="Times New Roman"/>
        </w:rPr>
        <w:t xml:space="preserve"> (2) activate mutual aid arrangements with other facilities-based mobile wireless providers for providing aid upon </w:t>
      </w:r>
      <w:r w:rsidRPr="00722AE1">
        <w:rPr>
          <w:rFonts w:ascii="Times New Roman" w:hAnsi="Times New Roman" w:cs="Times New Roman"/>
        </w:rPr>
        <w:t>request to those providers during emergencies;</w:t>
      </w:r>
      <w:r>
        <w:rPr>
          <w:rStyle w:val="FootnoteReference"/>
          <w:rFonts w:ascii="Times New Roman" w:hAnsi="Times New Roman"/>
        </w:rPr>
        <w:footnoteReference w:id="7"/>
      </w:r>
      <w:r w:rsidRPr="00722AE1">
        <w:rPr>
          <w:rFonts w:ascii="Times New Roman" w:hAnsi="Times New Roman" w:cs="Times New Roman"/>
        </w:rPr>
        <w:t xml:space="preserve"> (3) take reasonable measures to enhance municipal preparedness and restoration; (4) take reasonable measures to increase consumer readiness and preparation; and (5) take reasonable measures to improve public awareness and stakeholder communications on service and restoration status.</w:t>
      </w:r>
      <w:r>
        <w:rPr>
          <w:rStyle w:val="FootnoteReference"/>
          <w:rFonts w:ascii="Times New Roman" w:hAnsi="Times New Roman"/>
        </w:rPr>
        <w:footnoteReference w:id="8"/>
      </w:r>
      <w:r w:rsidRPr="00722AE1">
        <w:rPr>
          <w:rFonts w:ascii="Times New Roman" w:hAnsi="Times New Roman" w:cs="Times New Roman"/>
        </w:rPr>
        <w:t xml:space="preserve"> </w:t>
      </w:r>
      <w:bookmarkEnd w:id="2"/>
    </w:p>
    <w:p w:rsidR="00A4599C" w:rsidP="00252D2C" w14:paraId="24E16ACD" w14:textId="77777777">
      <w:pPr>
        <w:spacing w:after="0" w:line="240" w:lineRule="auto"/>
        <w:rPr>
          <w:rFonts w:ascii="Times New Roman" w:hAnsi="Times New Roman" w:cs="Times New Roman"/>
        </w:rPr>
      </w:pPr>
    </w:p>
    <w:p w:rsidR="00A4599C" w:rsidRPr="007A6E3C" w:rsidP="00A4599C" w14:paraId="4F017AC6" w14:textId="040AEDBF">
      <w:pPr>
        <w:spacing w:after="0" w:line="240" w:lineRule="auto"/>
        <w:rPr>
          <w:rFonts w:ascii="Times New Roman" w:hAnsi="Times New Roman" w:cs="Times New Roman"/>
          <w:b/>
        </w:rPr>
      </w:pPr>
      <w:r w:rsidRPr="007A6E3C">
        <w:rPr>
          <w:rFonts w:ascii="Times New Roman" w:hAnsi="Times New Roman" w:cs="Times New Roman"/>
          <w:b/>
        </w:rPr>
        <w:t>Special Temporary Authority (STA)/Waivers/Extensions</w:t>
      </w:r>
    </w:p>
    <w:p w:rsidR="00A4599C" w:rsidRPr="007A6E3C" w:rsidP="00A4599C" w14:paraId="06CFE52F" w14:textId="77777777">
      <w:pPr>
        <w:spacing w:after="0" w:line="240" w:lineRule="auto"/>
        <w:rPr>
          <w:rFonts w:ascii="Times New Roman" w:hAnsi="Times New Roman" w:cs="Times New Roman"/>
        </w:rPr>
      </w:pPr>
    </w:p>
    <w:p w:rsidR="00A4599C" w:rsidRPr="007A6E3C" w:rsidP="00A4599C" w14:paraId="7097FB16" w14:textId="4CBF31A4">
      <w:pPr>
        <w:spacing w:after="0" w:line="240" w:lineRule="auto"/>
        <w:rPr>
          <w:rFonts w:ascii="Times New Roman" w:hAnsi="Times New Roman" w:cs="Times New Roman"/>
        </w:rPr>
      </w:pPr>
      <w:r w:rsidRPr="007A6E3C">
        <w:rPr>
          <w:rFonts w:ascii="Times New Roman" w:hAnsi="Times New Roman" w:cs="Times New Roman"/>
        </w:rPr>
        <w:t>The FCC may grant Special Temporary Authority (STA) to permit immediate or temporary operation of certain radio facilities during emergencies or other urgent conditions, as well as waivers to support emergency communications and service restoration.</w:t>
      </w:r>
    </w:p>
    <w:p w:rsidR="00A4599C" w:rsidRPr="00504545" w:rsidP="00A4599C" w14:paraId="118871FB" w14:textId="77777777">
      <w:pPr>
        <w:spacing w:after="0" w:line="240" w:lineRule="auto"/>
        <w:rPr>
          <w:rFonts w:ascii="Times New Roman" w:hAnsi="Times New Roman" w:cs="Times New Roman"/>
        </w:rPr>
      </w:pPr>
    </w:p>
    <w:p w:rsidR="00A4599C" w:rsidRPr="00846580" w:rsidP="00504D13" w14:paraId="664A6494" w14:textId="4F6387B0">
      <w:pPr>
        <w:pStyle w:val="ListParagraph"/>
        <w:numPr>
          <w:ilvl w:val="0"/>
          <w:numId w:val="2"/>
        </w:numPr>
        <w:spacing w:after="0" w:line="240" w:lineRule="auto"/>
        <w:rPr>
          <w:rFonts w:ascii="Times New Roman" w:hAnsi="Times New Roman" w:cs="Times New Roman"/>
        </w:rPr>
      </w:pPr>
      <w:r w:rsidRPr="00504D13">
        <w:rPr>
          <w:rFonts w:ascii="Times New Roman" w:hAnsi="Times New Roman" w:cs="Times New Roman"/>
        </w:rPr>
        <w:t>On April 15, 2026, the FCC Wireless Telecommunications Bureau conditionally granted Federated Wireless, Inc.’s request for a precautionary, limited, and conditional emergency waiver of sections 96.67(c)(2) and (3) of the Commission’s rules governing the Citizens Broadband Radio Service.  The link(s) for the document are as follows:</w:t>
      </w:r>
      <w:r w:rsidRPr="00504D13">
        <w:rPr>
          <w14:ligatures w14:val="none"/>
        </w:rPr>
        <w:t xml:space="preserve"> </w:t>
      </w:r>
      <w:hyperlink r:id="rId8" w:tgtFrame="_blank" w:history="1">
        <w:r w:rsidRPr="00504D13">
          <w:rPr>
            <w:rStyle w:val="Hyperlink"/>
            <w:rFonts w:ascii="Times New Roman" w:hAnsi="Times New Roman" w:cs="Times New Roman"/>
          </w:rPr>
          <w:t>DA-26-365A1.docx</w:t>
        </w:r>
      </w:hyperlink>
      <w:r w:rsidRPr="00504D13">
        <w:rPr>
          <w:rFonts w:ascii="Times New Roman" w:hAnsi="Times New Roman" w:cs="Times New Roman"/>
        </w:rPr>
        <w:t xml:space="preserve"> , </w:t>
      </w:r>
      <w:hyperlink r:id="rId9" w:tgtFrame="_blank" w:history="1">
        <w:r w:rsidRPr="00504D13">
          <w:rPr>
            <w:rStyle w:val="Hyperlink"/>
            <w:rFonts w:ascii="Times New Roman" w:hAnsi="Times New Roman" w:cs="Times New Roman"/>
          </w:rPr>
          <w:t>DA-26-365A1.pdf</w:t>
        </w:r>
      </w:hyperlink>
      <w:r w:rsidRPr="00504D13">
        <w:rPr>
          <w:rFonts w:ascii="Times New Roman" w:hAnsi="Times New Roman" w:cs="Times New Roman"/>
        </w:rPr>
        <w:t xml:space="preserve"> , </w:t>
      </w:r>
      <w:hyperlink r:id="rId10" w:tgtFrame="_blank" w:history="1">
        <w:r w:rsidRPr="00504D13">
          <w:rPr>
            <w:rStyle w:val="Hyperlink"/>
            <w:rFonts w:ascii="Times New Roman" w:hAnsi="Times New Roman" w:cs="Times New Roman"/>
          </w:rPr>
          <w:t>DA-26-365A1.txt</w:t>
        </w:r>
      </w:hyperlink>
    </w:p>
    <w:p w:rsidR="00846580" w:rsidP="00846580" w14:paraId="124E283D" w14:textId="77777777">
      <w:pPr>
        <w:pStyle w:val="ListParagraph"/>
        <w:spacing w:after="0" w:line="240" w:lineRule="auto"/>
        <w:rPr>
          <w:rFonts w:ascii="Times New Roman" w:hAnsi="Times New Roman" w:cs="Times New Roman"/>
        </w:rPr>
      </w:pPr>
    </w:p>
    <w:p w:rsidR="00846580" w:rsidP="00504D13" w14:paraId="748717C9" w14:textId="343C8F31">
      <w:pPr>
        <w:pStyle w:val="ListParagraph"/>
        <w:numPr>
          <w:ilvl w:val="0"/>
          <w:numId w:val="2"/>
        </w:numPr>
        <w:spacing w:after="0" w:line="240" w:lineRule="auto"/>
        <w:rPr>
          <w:rFonts w:ascii="Times New Roman" w:hAnsi="Times New Roman" w:cs="Times New Roman"/>
        </w:rPr>
      </w:pPr>
      <w:r w:rsidRPr="005054D6">
        <w:rPr>
          <w:rFonts w:ascii="Times New Roman" w:hAnsi="Times New Roman" w:cs="Times New Roman"/>
        </w:rPr>
        <w:t xml:space="preserve">On April 16, 2026, the FCC Space Bureau </w:t>
      </w:r>
      <w:r>
        <w:rPr>
          <w:rFonts w:ascii="Times New Roman" w:hAnsi="Times New Roman" w:cs="Times New Roman"/>
        </w:rPr>
        <w:t>issued a STA to SpaceX enabling provision of Supplemental Coverage from Space in Guam and the CNMI.</w:t>
      </w:r>
    </w:p>
    <w:p w:rsidR="00283341" w:rsidRPr="00283341" w:rsidP="00283341" w14:paraId="67D5CE2C" w14:textId="77777777">
      <w:pPr>
        <w:pStyle w:val="ListParagraph"/>
        <w:rPr>
          <w:rFonts w:ascii="Times New Roman" w:hAnsi="Times New Roman" w:cs="Times New Roman"/>
        </w:rPr>
      </w:pPr>
    </w:p>
    <w:p w:rsidR="00620767" w:rsidP="00620767" w14:paraId="42B18D65" w14:textId="24F9E6B8">
      <w:pPr>
        <w:pStyle w:val="ListParagraph"/>
        <w:numPr>
          <w:ilvl w:val="0"/>
          <w:numId w:val="2"/>
        </w:numPr>
        <w:rPr>
          <w:rFonts w:ascii="Times New Roman" w:hAnsi="Times New Roman" w:cs="Times New Roman"/>
        </w:rPr>
      </w:pPr>
      <w:r w:rsidRPr="00620767">
        <w:rPr>
          <w:rFonts w:ascii="Times New Roman" w:hAnsi="Times New Roman" w:cs="Times New Roman"/>
        </w:rPr>
        <w:t xml:space="preserve">On April 23, 2026, </w:t>
      </w:r>
      <w:r w:rsidRPr="00620767" w:rsidR="00F05A58">
        <w:rPr>
          <w:rFonts w:ascii="Times New Roman" w:hAnsi="Times New Roman" w:cs="Times New Roman"/>
        </w:rPr>
        <w:t xml:space="preserve">FCC Wireline Competition Bureau (WCB) </w:t>
      </w:r>
      <w:r w:rsidRPr="00620767">
        <w:rPr>
          <w:rFonts w:ascii="Times New Roman" w:hAnsi="Times New Roman" w:cs="Times New Roman"/>
        </w:rPr>
        <w:t xml:space="preserve"> waives certain Lifeline, E-Rate, Rural Health Care, and Contributions rules and deadlines to assist participants and service providers, including Universal Service Fund contributors, located in the areas affected by Typhoon Sinlaku and its immediate aftermath. The link(s) to this waiver are as follows: </w:t>
      </w:r>
      <w:hyperlink r:id="rId11" w:history="1">
        <w:r w:rsidRPr="00620767">
          <w:rPr>
            <w:rStyle w:val="Hyperlink"/>
            <w:rFonts w:ascii="Times New Roman" w:hAnsi="Times New Roman" w:cs="Times New Roman"/>
          </w:rPr>
          <w:t>DA-26-396A1.docx</w:t>
        </w:r>
      </w:hyperlink>
      <w:r w:rsidRPr="00620767">
        <w:rPr>
          <w:rFonts w:ascii="Times New Roman" w:hAnsi="Times New Roman" w:cs="Times New Roman"/>
        </w:rPr>
        <w:t xml:space="preserve">, </w:t>
      </w:r>
      <w:hyperlink r:id="rId12" w:history="1">
        <w:r w:rsidRPr="00620767">
          <w:rPr>
            <w:rStyle w:val="Hyperlink"/>
            <w:rFonts w:ascii="Times New Roman" w:hAnsi="Times New Roman" w:cs="Times New Roman"/>
          </w:rPr>
          <w:t>DA-26-396A1.pdf</w:t>
        </w:r>
      </w:hyperlink>
      <w:r w:rsidRPr="00620767">
        <w:rPr>
          <w:rFonts w:ascii="Times New Roman" w:hAnsi="Times New Roman" w:cs="Times New Roman"/>
        </w:rPr>
        <w:t xml:space="preserve">, and </w:t>
      </w:r>
      <w:hyperlink r:id="rId13" w:history="1">
        <w:r w:rsidRPr="00620767">
          <w:rPr>
            <w:rStyle w:val="Hyperlink"/>
            <w:rFonts w:ascii="Times New Roman" w:hAnsi="Times New Roman" w:cs="Times New Roman"/>
          </w:rPr>
          <w:t>DA-26-396A1.txt</w:t>
        </w:r>
      </w:hyperlink>
      <w:r w:rsidRPr="00620767">
        <w:rPr>
          <w:rFonts w:ascii="Times New Roman" w:hAnsi="Times New Roman" w:cs="Times New Roman"/>
        </w:rPr>
        <w:t>.</w:t>
      </w:r>
    </w:p>
    <w:p w:rsidR="00620767" w:rsidRPr="00620767" w:rsidP="00620767" w14:paraId="0F74FEF7" w14:textId="77777777">
      <w:pPr>
        <w:pStyle w:val="ListParagraph"/>
        <w:rPr>
          <w:rFonts w:ascii="Times New Roman" w:hAnsi="Times New Roman" w:cs="Times New Roman"/>
        </w:rPr>
      </w:pPr>
    </w:p>
    <w:p w:rsidR="00283341" w:rsidRPr="0037171B" w:rsidP="0037171B" w14:paraId="587A532D" w14:textId="4EDCC433">
      <w:pPr>
        <w:pStyle w:val="ListParagraph"/>
        <w:numPr>
          <w:ilvl w:val="0"/>
          <w:numId w:val="2"/>
        </w:numPr>
        <w:rPr>
          <w:rFonts w:ascii="Times New Roman" w:hAnsi="Times New Roman" w:cs="Times New Roman"/>
        </w:rPr>
      </w:pPr>
      <w:r w:rsidRPr="00620767">
        <w:rPr>
          <w:rFonts w:ascii="Times New Roman" w:hAnsi="Times New Roman" w:cs="Times New Roman"/>
        </w:rPr>
        <w:t xml:space="preserve">On April 23, 2026, to assist telephone customers in Guam and the Commonwealth of the Northern Mariana Islands with the impacts of Super Typhoon Sinlaku, the WCB granted a temporary partial waiver of the Commission’s telephone number “aging” rule, specifically section 52.15(f)(1)(ii) with respect to the maximum aging period for residential customers’ telephone numbers, which states, in pertinent part, that service providers may only age telephone numbers that have been disconnected for up to 90 days before making them available for assignment to other customers. WCB is also encouraging service providers to port telephone numbers to locations that may be outside of a customer’s telephone rate center and to waive certain service charges in order to assist customers experiencing this disaster. The link(s) to this waiver are as follows: </w:t>
      </w:r>
      <w:hyperlink r:id="rId14" w:tgtFrame="_blank" w:history="1">
        <w:r w:rsidRPr="00620767">
          <w:rPr>
            <w:rStyle w:val="Hyperlink"/>
            <w:rFonts w:ascii="Times New Roman" w:hAnsi="Times New Roman" w:cs="Times New Roman"/>
          </w:rPr>
          <w:t>DA-26-397A1.docx</w:t>
        </w:r>
      </w:hyperlink>
      <w:r w:rsidRPr="00620767">
        <w:rPr>
          <w:rFonts w:ascii="Times New Roman" w:hAnsi="Times New Roman" w:cs="Times New Roman"/>
        </w:rPr>
        <w:t xml:space="preserve"> , </w:t>
      </w:r>
      <w:hyperlink r:id="rId15" w:tgtFrame="_blank" w:history="1">
        <w:r w:rsidRPr="00620767">
          <w:rPr>
            <w:rStyle w:val="Hyperlink"/>
            <w:rFonts w:ascii="Times New Roman" w:hAnsi="Times New Roman" w:cs="Times New Roman"/>
          </w:rPr>
          <w:t>DA-26-397A1.pdf</w:t>
        </w:r>
      </w:hyperlink>
      <w:r w:rsidRPr="00620767">
        <w:rPr>
          <w:rFonts w:ascii="Times New Roman" w:hAnsi="Times New Roman" w:cs="Times New Roman"/>
        </w:rPr>
        <w:t xml:space="preserve"> , </w:t>
      </w:r>
      <w:hyperlink r:id="rId16" w:tgtFrame="_blank" w:history="1">
        <w:r w:rsidRPr="00620767">
          <w:rPr>
            <w:rStyle w:val="Hyperlink"/>
            <w:rFonts w:ascii="Times New Roman" w:hAnsi="Times New Roman" w:cs="Times New Roman"/>
          </w:rPr>
          <w:t>DA-26-397A1.txt</w:t>
        </w:r>
      </w:hyperlink>
    </w:p>
    <w:sectPr w:rsidSect="00722AE1">
      <w:headerReference w:type="default" r:id="rId17"/>
      <w:footerReference w:type="default" r:id="rId18"/>
      <w:pgSz w:w="12240" w:h="15840"/>
      <w:pgMar w:top="1872"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66AD0" w14:paraId="5381CA80"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DC05D0" w:rsidP="007134E3" w14:paraId="334AA037" w14:textId="77777777">
      <w:pPr>
        <w:spacing w:after="0" w:line="240" w:lineRule="auto"/>
      </w:pPr>
      <w:r>
        <w:separator/>
      </w:r>
    </w:p>
  </w:footnote>
  <w:footnote w:type="continuationSeparator" w:id="1">
    <w:p w:rsidR="00DC05D0" w:rsidP="007134E3" w14:paraId="5175BF45" w14:textId="77777777">
      <w:pPr>
        <w:spacing w:after="0" w:line="240" w:lineRule="auto"/>
      </w:pPr>
      <w:r>
        <w:continuationSeparator/>
      </w:r>
    </w:p>
  </w:footnote>
  <w:footnote w:type="continuationNotice" w:id="2">
    <w:p w:rsidR="00DC05D0" w14:paraId="49B32BA0" w14:textId="77777777">
      <w:pPr>
        <w:spacing w:after="0" w:line="240" w:lineRule="auto"/>
      </w:pPr>
    </w:p>
  </w:footnote>
  <w:footnote w:id="3">
    <w:p w:rsidR="00757774" w:rsidRPr="00933F1F" w:rsidP="00757774" w14:paraId="081AAF3E" w14:textId="77777777">
      <w:pPr>
        <w:pStyle w:val="FootnoteText"/>
        <w:spacing w:after="120"/>
      </w:pPr>
      <w:r w:rsidRPr="0021397F">
        <w:rPr>
          <w:rStyle w:val="FootnoteReference"/>
        </w:rPr>
        <w:footnoteRef/>
      </w:r>
      <w:r w:rsidRPr="0021397F">
        <w:t xml:space="preserve"> </w:t>
      </w:r>
      <w:r w:rsidRPr="00AC0B49">
        <w:rPr>
          <w:i/>
          <w:iCs/>
        </w:rPr>
        <w:t>The Federal Communications Commission Activat</w:t>
      </w:r>
      <w:r>
        <w:rPr>
          <w:i/>
          <w:iCs/>
        </w:rPr>
        <w:t>es</w:t>
      </w:r>
      <w:r w:rsidRPr="00AC0B49">
        <w:rPr>
          <w:i/>
          <w:iCs/>
        </w:rPr>
        <w:t xml:space="preserve"> the Disaster Information Reporting System (DIRS) and the Mandatory Disaster Response Initiative (MDRI) </w:t>
      </w:r>
      <w:r>
        <w:rPr>
          <w:i/>
          <w:iCs/>
        </w:rPr>
        <w:t xml:space="preserve">in Response to </w:t>
      </w:r>
      <w:r w:rsidRPr="00AC0B49">
        <w:rPr>
          <w:i/>
          <w:iCs/>
        </w:rPr>
        <w:t>Super Typhoon Sinl</w:t>
      </w:r>
      <w:r>
        <w:rPr>
          <w:i/>
          <w:iCs/>
        </w:rPr>
        <w:t>a</w:t>
      </w:r>
      <w:r w:rsidRPr="00AC0B49">
        <w:rPr>
          <w:i/>
          <w:iCs/>
        </w:rPr>
        <w:t>k</w:t>
      </w:r>
      <w:r>
        <w:rPr>
          <w:i/>
          <w:iCs/>
        </w:rPr>
        <w:t>u,</w:t>
      </w:r>
      <w:r w:rsidRPr="00AC0B49">
        <w:rPr>
          <w:i/>
          <w:iCs/>
        </w:rPr>
        <w:t xml:space="preserve"> </w:t>
      </w:r>
      <w:r w:rsidRPr="00AC0B49">
        <w:t>Public Notice, DA 26-</w:t>
      </w:r>
      <w:r>
        <w:t>359</w:t>
      </w:r>
      <w:r w:rsidRPr="00AC0B49">
        <w:t xml:space="preserve"> (PSHSB) (rel. April 1</w:t>
      </w:r>
      <w:r>
        <w:t>3</w:t>
      </w:r>
      <w:r w:rsidRPr="00AC0B49">
        <w:t>, 2026).</w:t>
      </w:r>
    </w:p>
  </w:footnote>
  <w:footnote w:id="4">
    <w:p w:rsidR="0078448A" w:rsidRPr="004C7311" w:rsidP="0078448A" w14:paraId="172A4BA1" w14:textId="77777777">
      <w:pPr>
        <w:pStyle w:val="FootnoteText"/>
      </w:pPr>
      <w:r>
        <w:rPr>
          <w:rStyle w:val="FootnoteReference"/>
        </w:rPr>
        <w:footnoteRef/>
      </w:r>
      <w:r>
        <w:t xml:space="preserve"> </w:t>
      </w:r>
      <w:r w:rsidRPr="00AC0B49">
        <w:rPr>
          <w:i/>
          <w:iCs/>
        </w:rPr>
        <w:t>The Federal Communications Commission A</w:t>
      </w:r>
      <w:r>
        <w:rPr>
          <w:i/>
          <w:iCs/>
        </w:rPr>
        <w:t>nnounces the Expansion of</w:t>
      </w:r>
      <w:r w:rsidRPr="00AC0B49">
        <w:rPr>
          <w:i/>
          <w:iCs/>
        </w:rPr>
        <w:t xml:space="preserve"> the Disaster Information Reporting System and the Mandatory Disaster Response Initiative </w:t>
      </w:r>
      <w:r>
        <w:rPr>
          <w:i/>
          <w:iCs/>
        </w:rPr>
        <w:t xml:space="preserve">in Response to </w:t>
      </w:r>
      <w:r w:rsidRPr="00AC0B49">
        <w:rPr>
          <w:i/>
          <w:iCs/>
        </w:rPr>
        <w:t>Super Typhoon Sinl</w:t>
      </w:r>
      <w:r>
        <w:rPr>
          <w:i/>
          <w:iCs/>
        </w:rPr>
        <w:t>a</w:t>
      </w:r>
      <w:r w:rsidRPr="00AC0B49">
        <w:rPr>
          <w:i/>
          <w:iCs/>
        </w:rPr>
        <w:t>k</w:t>
      </w:r>
      <w:r>
        <w:rPr>
          <w:i/>
          <w:iCs/>
        </w:rPr>
        <w:t xml:space="preserve">u, </w:t>
      </w:r>
      <w:r>
        <w:t>Public Notice, DA-26-371 (PSHSB) (rel. April 15, 2026).</w:t>
      </w:r>
    </w:p>
  </w:footnote>
  <w:footnote w:id="5">
    <w:p w:rsidR="006962F7" w14:paraId="3C0F1485" w14:textId="74335175">
      <w:pPr>
        <w:pStyle w:val="FootnoteText"/>
      </w:pPr>
      <w:r>
        <w:rPr>
          <w:rStyle w:val="FootnoteReference"/>
        </w:rPr>
        <w:footnoteRef/>
      </w:r>
      <w:r>
        <w:t xml:space="preserve"> </w:t>
      </w:r>
      <w:r w:rsidRPr="006962F7">
        <w:t xml:space="preserve">See </w:t>
      </w:r>
      <w:r w:rsidRPr="006962F7">
        <w:rPr>
          <w:i/>
          <w:iCs/>
        </w:rPr>
        <w:t>Improving the Resiliency of Mobile Wireless Communications Networks</w:t>
      </w:r>
      <w:r w:rsidRPr="006962F7">
        <w:t xml:space="preserve">, Order, 31 FCC </w:t>
      </w:r>
      <w:r w:rsidRPr="006962F7">
        <w:t>Rcd</w:t>
      </w:r>
      <w:r w:rsidRPr="006962F7">
        <w:t xml:space="preserve"> 13745, para. 10 (2016) (recognizing the difficulties in accurately depicting the ongoing status of a wireless provider’s service during emergencies).</w:t>
      </w:r>
    </w:p>
  </w:footnote>
  <w:footnote w:id="6">
    <w:p w:rsidR="00722AE1" w:rsidRPr="0025299B" w:rsidP="00722AE1" w14:paraId="11FC81D5" w14:textId="296E52B9">
      <w:pPr>
        <w:pStyle w:val="FootnoteText"/>
        <w:spacing w:after="120"/>
      </w:pPr>
      <w:r w:rsidRPr="00844F8D">
        <w:rPr>
          <w:rStyle w:val="FootnoteReference"/>
          <w:rFonts w:eastAsiaTheme="majorEastAsia"/>
        </w:rPr>
        <w:footnoteRef/>
      </w:r>
      <w:r>
        <w:t xml:space="preserve"> </w:t>
      </w:r>
      <w:r w:rsidRPr="0025299B">
        <w:rPr>
          <w:i/>
          <w:iCs/>
        </w:rPr>
        <w:t>See</w:t>
      </w:r>
      <w:r w:rsidRPr="0025299B">
        <w:t xml:space="preserve"> 47 CFR § 4.17(a)(3)(i) </w:t>
      </w:r>
      <w:r>
        <w:t>(detailing criteria for activating roaming under disaster arrangements)</w:t>
      </w:r>
      <w:r w:rsidRPr="0025299B">
        <w:t>.</w:t>
      </w:r>
    </w:p>
  </w:footnote>
  <w:footnote w:id="7">
    <w:p w:rsidR="00722AE1" w:rsidP="00722AE1" w14:paraId="1F0D8AFE" w14:textId="23AFEA99">
      <w:pPr>
        <w:pStyle w:val="FootnoteText"/>
        <w:spacing w:after="120"/>
      </w:pPr>
      <w:r>
        <w:rPr>
          <w:rStyle w:val="FootnoteReference"/>
          <w:rFonts w:eastAsiaTheme="majorEastAsia"/>
        </w:rPr>
        <w:footnoteRef/>
      </w:r>
      <w:r>
        <w:t xml:space="preserve"> </w:t>
      </w:r>
      <w:r w:rsidRPr="0025299B">
        <w:rPr>
          <w:i/>
          <w:iCs/>
        </w:rPr>
        <w:t>See</w:t>
      </w:r>
      <w:r w:rsidRPr="0025299B">
        <w:t xml:space="preserve"> 47 CFR § 4.17(a)(3)(ii) </w:t>
      </w:r>
      <w:r>
        <w:t xml:space="preserve">(explaining </w:t>
      </w:r>
      <w:r w:rsidRPr="0025299B">
        <w:t xml:space="preserve">what mutual aid arrangements </w:t>
      </w:r>
      <w:r>
        <w:t>must include)</w:t>
      </w:r>
      <w:r w:rsidRPr="0025299B">
        <w:t>.</w:t>
      </w:r>
    </w:p>
  </w:footnote>
  <w:footnote w:id="8">
    <w:p w:rsidR="00722AE1" w:rsidRPr="0025299B" w:rsidP="00722AE1" w14:paraId="6599F81B" w14:textId="3ED24513">
      <w:pPr>
        <w:pStyle w:val="FootnoteText"/>
        <w:spacing w:after="120"/>
      </w:pPr>
      <w:r w:rsidRPr="004D3EDC">
        <w:rPr>
          <w:rStyle w:val="FootnoteReference"/>
          <w:rFonts w:eastAsiaTheme="majorEastAsia"/>
        </w:rPr>
        <w:footnoteRef/>
      </w:r>
      <w:r w:rsidRPr="004D3EDC">
        <w:t xml:space="preserve"> </w:t>
      </w:r>
      <w:r w:rsidRPr="0025299B">
        <w:t xml:space="preserve">47 CFR § 4.17(a)(3)(i)-(v); </w:t>
      </w:r>
      <w:r w:rsidRPr="0025299B">
        <w:rPr>
          <w:i/>
          <w:iCs/>
        </w:rPr>
        <w:t>see also</w:t>
      </w:r>
      <w:r w:rsidRPr="0025299B">
        <w:t xml:space="preserve"> </w:t>
      </w:r>
      <w:r>
        <w:t>FCC</w:t>
      </w:r>
      <w:r w:rsidRPr="0025299B">
        <w:t xml:space="preserve">, </w:t>
      </w:r>
      <w:r w:rsidRPr="0025299B">
        <w:rPr>
          <w:i/>
          <w:iCs/>
        </w:rPr>
        <w:t>Wireless Network Resiliency During Disasters</w:t>
      </w:r>
      <w:r w:rsidRPr="0025299B">
        <w:t xml:space="preserve"> (</w:t>
      </w:r>
      <w:r>
        <w:t>June</w:t>
      </w:r>
      <w:r w:rsidRPr="0025299B">
        <w:t xml:space="preserve"> </w:t>
      </w:r>
      <w:r>
        <w:t>4</w:t>
      </w:r>
      <w:r w:rsidRPr="0025299B">
        <w:t xml:space="preserve">, 2024), </w:t>
      </w:r>
      <w:hyperlink r:id="rId1" w:history="1">
        <w:r w:rsidRPr="0025299B">
          <w:rPr>
            <w:rStyle w:val="Hyperlink"/>
          </w:rPr>
          <w:t>https://www.fcc.gov/wireless-network-resiliency-during-disasters</w:t>
        </w:r>
      </w:hyperlink>
      <w:r w:rsidRPr="0025299B">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34E3" w14:paraId="357610E5" w14:textId="595934A0">
    <w:pPr>
      <w:pStyle w:val="Header"/>
    </w:pPr>
    <w:r>
      <w:rPr>
        <w:noProof/>
      </w:rPr>
      <w:drawing>
        <wp:anchor distT="0" distB="0" distL="114300" distR="114300" simplePos="0" relativeHeight="251658240" behindDoc="1" locked="0" layoutInCell="1" allowOverlap="0">
          <wp:simplePos x="0" y="0"/>
          <wp:positionH relativeFrom="column">
            <wp:posOffset>-914400</wp:posOffset>
          </wp:positionH>
          <wp:positionV relativeFrom="page">
            <wp:posOffset>-3110</wp:posOffset>
          </wp:positionV>
          <wp:extent cx="7772400" cy="10058400"/>
          <wp:effectExtent l="0" t="0" r="0" b="0"/>
          <wp:wrapNone/>
          <wp:docPr id="1521477039" name="Picture 2"/>
          <wp:cNvGraphicFramePr/>
          <a:graphic xmlns:a="http://schemas.openxmlformats.org/drawingml/2006/main">
            <a:graphicData uri="http://schemas.openxmlformats.org/drawingml/2006/picture">
              <pic:pic xmlns:pic="http://schemas.openxmlformats.org/drawingml/2006/picture">
                <pic:nvPicPr>
                  <pic:cNvPr id="1521477039" name="Picture 1521477039"/>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a:xfrm>
                    <a:off x="0" y="0"/>
                    <a:ext cx="7772400" cy="100584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13E6731"/>
    <w:multiLevelType w:val="hybridMultilevel"/>
    <w:tmpl w:val="1102C61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
    <w:nsid w:val="41756568"/>
    <w:multiLevelType w:val="hybridMultilevel"/>
    <w:tmpl w:val="04580228"/>
    <w:lvl w:ilvl="0">
      <w:start w:val="0"/>
      <w:numFmt w:val="bullet"/>
      <w:lvlText w:val="-"/>
      <w:lvlJc w:val="left"/>
      <w:pPr>
        <w:ind w:left="720" w:hanging="360"/>
      </w:pPr>
      <w:rPr>
        <w:rFonts w:ascii="Calibri" w:eastAsia="Times New Roman" w:hAnsi="Calibri" w:cs="Calibri"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4C244013"/>
    <w:multiLevelType w:val="hybridMultilevel"/>
    <w:tmpl w:val="92CC21E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4E7F19C5"/>
    <w:multiLevelType w:val="hybridMultilevel"/>
    <w:tmpl w:val="F23A3564"/>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5220639F"/>
    <w:multiLevelType w:val="hybridMultilevel"/>
    <w:tmpl w:val="F5AA400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585E5289"/>
    <w:multiLevelType w:val="hybridMultilevel"/>
    <w:tmpl w:val="DDF81BD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69622A02"/>
    <w:multiLevelType w:val="hybridMultilevel"/>
    <w:tmpl w:val="AD1C774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6F6C5604"/>
    <w:multiLevelType w:val="hybridMultilevel"/>
    <w:tmpl w:val="1EC2630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71C619AB"/>
    <w:multiLevelType w:val="hybridMultilevel"/>
    <w:tmpl w:val="97ECB16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7A525E92"/>
    <w:multiLevelType w:val="hybridMultilevel"/>
    <w:tmpl w:val="BD18B4C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53371703">
    <w:abstractNumId w:val="0"/>
  </w:num>
  <w:num w:numId="2" w16cid:durableId="1897664009">
    <w:abstractNumId w:val="5"/>
  </w:num>
  <w:num w:numId="3" w16cid:durableId="121120917">
    <w:abstractNumId w:val="4"/>
  </w:num>
  <w:num w:numId="4" w16cid:durableId="1032151495">
    <w:abstractNumId w:val="2"/>
  </w:num>
  <w:num w:numId="5" w16cid:durableId="1065025813">
    <w:abstractNumId w:val="1"/>
  </w:num>
  <w:num w:numId="6" w16cid:durableId="1302073170">
    <w:abstractNumId w:val="6"/>
  </w:num>
  <w:num w:numId="7" w16cid:durableId="1114402329">
    <w:abstractNumId w:val="9"/>
  </w:num>
  <w:num w:numId="8" w16cid:durableId="1330211919">
    <w:abstractNumId w:val="7"/>
  </w:num>
  <w:num w:numId="9" w16cid:durableId="1622225498">
    <w:abstractNumId w:val="8"/>
  </w:num>
  <w:num w:numId="10" w16cid:durableId="21266504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0"/>
    <w:footnote w:id="1"/>
    <w:footnote w:id="2"/>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34E3"/>
    <w:rsid w:val="00001DA8"/>
    <w:rsid w:val="00001DD9"/>
    <w:rsid w:val="000030A4"/>
    <w:rsid w:val="00010BEC"/>
    <w:rsid w:val="000110EB"/>
    <w:rsid w:val="00012D74"/>
    <w:rsid w:val="00015D5C"/>
    <w:rsid w:val="0001708C"/>
    <w:rsid w:val="000170C0"/>
    <w:rsid w:val="000176DE"/>
    <w:rsid w:val="00020395"/>
    <w:rsid w:val="000221E8"/>
    <w:rsid w:val="0002235E"/>
    <w:rsid w:val="00023742"/>
    <w:rsid w:val="00023B20"/>
    <w:rsid w:val="0002604A"/>
    <w:rsid w:val="00026BCD"/>
    <w:rsid w:val="00032573"/>
    <w:rsid w:val="00036B55"/>
    <w:rsid w:val="00044364"/>
    <w:rsid w:val="00046920"/>
    <w:rsid w:val="00046A6E"/>
    <w:rsid w:val="00046C7C"/>
    <w:rsid w:val="000475A7"/>
    <w:rsid w:val="00054826"/>
    <w:rsid w:val="00056575"/>
    <w:rsid w:val="000569C2"/>
    <w:rsid w:val="000612D7"/>
    <w:rsid w:val="000649AC"/>
    <w:rsid w:val="00066195"/>
    <w:rsid w:val="00077812"/>
    <w:rsid w:val="00085E44"/>
    <w:rsid w:val="000913F8"/>
    <w:rsid w:val="000A03BA"/>
    <w:rsid w:val="000A23C4"/>
    <w:rsid w:val="000B161B"/>
    <w:rsid w:val="000B3339"/>
    <w:rsid w:val="000B3A26"/>
    <w:rsid w:val="000B4C48"/>
    <w:rsid w:val="000B4EF0"/>
    <w:rsid w:val="000B5F30"/>
    <w:rsid w:val="000B6034"/>
    <w:rsid w:val="000B7A8C"/>
    <w:rsid w:val="000C1984"/>
    <w:rsid w:val="000C1E9A"/>
    <w:rsid w:val="000C7001"/>
    <w:rsid w:val="000D3636"/>
    <w:rsid w:val="000D5706"/>
    <w:rsid w:val="000D6295"/>
    <w:rsid w:val="000D7F1C"/>
    <w:rsid w:val="000E689A"/>
    <w:rsid w:val="000E7315"/>
    <w:rsid w:val="000F4F26"/>
    <w:rsid w:val="000F6258"/>
    <w:rsid w:val="000F7FCE"/>
    <w:rsid w:val="00102F3E"/>
    <w:rsid w:val="00103872"/>
    <w:rsid w:val="00105EDF"/>
    <w:rsid w:val="00120354"/>
    <w:rsid w:val="00121993"/>
    <w:rsid w:val="00122E16"/>
    <w:rsid w:val="00122F90"/>
    <w:rsid w:val="00126801"/>
    <w:rsid w:val="00126DC1"/>
    <w:rsid w:val="00132BA1"/>
    <w:rsid w:val="00134273"/>
    <w:rsid w:val="001454D9"/>
    <w:rsid w:val="00151242"/>
    <w:rsid w:val="001537DF"/>
    <w:rsid w:val="00153E62"/>
    <w:rsid w:val="001578EF"/>
    <w:rsid w:val="0016167C"/>
    <w:rsid w:val="00164E8C"/>
    <w:rsid w:val="00165300"/>
    <w:rsid w:val="00171FED"/>
    <w:rsid w:val="0017408E"/>
    <w:rsid w:val="00175036"/>
    <w:rsid w:val="00177079"/>
    <w:rsid w:val="001822AF"/>
    <w:rsid w:val="00182F2A"/>
    <w:rsid w:val="00183BC0"/>
    <w:rsid w:val="001874A7"/>
    <w:rsid w:val="00192EA1"/>
    <w:rsid w:val="00193D4B"/>
    <w:rsid w:val="00197FA2"/>
    <w:rsid w:val="001A1514"/>
    <w:rsid w:val="001A15BE"/>
    <w:rsid w:val="001A1776"/>
    <w:rsid w:val="001A420F"/>
    <w:rsid w:val="001A45EE"/>
    <w:rsid w:val="001A6E04"/>
    <w:rsid w:val="001A7DBD"/>
    <w:rsid w:val="001B57BE"/>
    <w:rsid w:val="001C457A"/>
    <w:rsid w:val="001C4BC5"/>
    <w:rsid w:val="001C50B4"/>
    <w:rsid w:val="001C5F80"/>
    <w:rsid w:val="001C7281"/>
    <w:rsid w:val="001C7B3E"/>
    <w:rsid w:val="001D283F"/>
    <w:rsid w:val="001D3186"/>
    <w:rsid w:val="001D5E1E"/>
    <w:rsid w:val="001D5E94"/>
    <w:rsid w:val="001D6C96"/>
    <w:rsid w:val="001E4111"/>
    <w:rsid w:val="001E4352"/>
    <w:rsid w:val="001E55AE"/>
    <w:rsid w:val="001F2CB3"/>
    <w:rsid w:val="001F38BF"/>
    <w:rsid w:val="001F3969"/>
    <w:rsid w:val="00204702"/>
    <w:rsid w:val="00205438"/>
    <w:rsid w:val="0021397F"/>
    <w:rsid w:val="00216654"/>
    <w:rsid w:val="00217BEF"/>
    <w:rsid w:val="00217E64"/>
    <w:rsid w:val="00222781"/>
    <w:rsid w:val="00224F29"/>
    <w:rsid w:val="00227503"/>
    <w:rsid w:val="00242C6E"/>
    <w:rsid w:val="0025299B"/>
    <w:rsid w:val="00252B5F"/>
    <w:rsid w:val="00252D2C"/>
    <w:rsid w:val="002554E8"/>
    <w:rsid w:val="00256468"/>
    <w:rsid w:val="0026478F"/>
    <w:rsid w:val="00264D6F"/>
    <w:rsid w:val="0027337A"/>
    <w:rsid w:val="0027586A"/>
    <w:rsid w:val="002769B3"/>
    <w:rsid w:val="00276F6E"/>
    <w:rsid w:val="00283341"/>
    <w:rsid w:val="0028446E"/>
    <w:rsid w:val="0028584A"/>
    <w:rsid w:val="00285FD5"/>
    <w:rsid w:val="00287D25"/>
    <w:rsid w:val="002936E2"/>
    <w:rsid w:val="002B08E1"/>
    <w:rsid w:val="002B52E0"/>
    <w:rsid w:val="002C1873"/>
    <w:rsid w:val="002C44DF"/>
    <w:rsid w:val="002C53AF"/>
    <w:rsid w:val="002C62E9"/>
    <w:rsid w:val="002C6C09"/>
    <w:rsid w:val="002D04A5"/>
    <w:rsid w:val="002E09F6"/>
    <w:rsid w:val="002E764C"/>
    <w:rsid w:val="002F0AC4"/>
    <w:rsid w:val="002F2B35"/>
    <w:rsid w:val="002F4740"/>
    <w:rsid w:val="00307069"/>
    <w:rsid w:val="00307385"/>
    <w:rsid w:val="00312AA8"/>
    <w:rsid w:val="00312DE5"/>
    <w:rsid w:val="00313D88"/>
    <w:rsid w:val="003156B7"/>
    <w:rsid w:val="0031612C"/>
    <w:rsid w:val="003168F7"/>
    <w:rsid w:val="003171EA"/>
    <w:rsid w:val="0032627C"/>
    <w:rsid w:val="00330C6C"/>
    <w:rsid w:val="003323B3"/>
    <w:rsid w:val="00341E3A"/>
    <w:rsid w:val="00342E63"/>
    <w:rsid w:val="003506D2"/>
    <w:rsid w:val="00353B04"/>
    <w:rsid w:val="00353C72"/>
    <w:rsid w:val="00354FC0"/>
    <w:rsid w:val="00360393"/>
    <w:rsid w:val="00363975"/>
    <w:rsid w:val="003669CA"/>
    <w:rsid w:val="0037080D"/>
    <w:rsid w:val="00371398"/>
    <w:rsid w:val="0037171B"/>
    <w:rsid w:val="00373D6E"/>
    <w:rsid w:val="00386EBF"/>
    <w:rsid w:val="00390A0B"/>
    <w:rsid w:val="003913CD"/>
    <w:rsid w:val="003972E8"/>
    <w:rsid w:val="00397C11"/>
    <w:rsid w:val="003A2EEF"/>
    <w:rsid w:val="003A4320"/>
    <w:rsid w:val="003B3107"/>
    <w:rsid w:val="003B4832"/>
    <w:rsid w:val="003C46BC"/>
    <w:rsid w:val="003C6ABB"/>
    <w:rsid w:val="003D14E8"/>
    <w:rsid w:val="003E1F69"/>
    <w:rsid w:val="003E311B"/>
    <w:rsid w:val="003E5353"/>
    <w:rsid w:val="003E6AC6"/>
    <w:rsid w:val="003F0E07"/>
    <w:rsid w:val="003F5F84"/>
    <w:rsid w:val="004014DF"/>
    <w:rsid w:val="004067A0"/>
    <w:rsid w:val="00406D30"/>
    <w:rsid w:val="00413C7C"/>
    <w:rsid w:val="00413FBD"/>
    <w:rsid w:val="00414246"/>
    <w:rsid w:val="00421D6F"/>
    <w:rsid w:val="00431DB4"/>
    <w:rsid w:val="004430E5"/>
    <w:rsid w:val="00444274"/>
    <w:rsid w:val="004458B4"/>
    <w:rsid w:val="004459C0"/>
    <w:rsid w:val="00450C8B"/>
    <w:rsid w:val="0045197F"/>
    <w:rsid w:val="00451F7A"/>
    <w:rsid w:val="00456284"/>
    <w:rsid w:val="0046213A"/>
    <w:rsid w:val="004631AF"/>
    <w:rsid w:val="00470555"/>
    <w:rsid w:val="00474F3A"/>
    <w:rsid w:val="004757BA"/>
    <w:rsid w:val="00476EA1"/>
    <w:rsid w:val="00477DAE"/>
    <w:rsid w:val="00482DDA"/>
    <w:rsid w:val="00490258"/>
    <w:rsid w:val="00491412"/>
    <w:rsid w:val="00497D6B"/>
    <w:rsid w:val="004A4462"/>
    <w:rsid w:val="004A7D82"/>
    <w:rsid w:val="004B0A4C"/>
    <w:rsid w:val="004B4C78"/>
    <w:rsid w:val="004B59A3"/>
    <w:rsid w:val="004C01AD"/>
    <w:rsid w:val="004C5A22"/>
    <w:rsid w:val="004C7311"/>
    <w:rsid w:val="004C7819"/>
    <w:rsid w:val="004C7F29"/>
    <w:rsid w:val="004D01E9"/>
    <w:rsid w:val="004D213F"/>
    <w:rsid w:val="004D3EDC"/>
    <w:rsid w:val="004D6105"/>
    <w:rsid w:val="004D76D9"/>
    <w:rsid w:val="004D7CD2"/>
    <w:rsid w:val="004E081B"/>
    <w:rsid w:val="004E1B6C"/>
    <w:rsid w:val="004E254D"/>
    <w:rsid w:val="004E301B"/>
    <w:rsid w:val="004E624E"/>
    <w:rsid w:val="004F0C36"/>
    <w:rsid w:val="004F191C"/>
    <w:rsid w:val="004F5814"/>
    <w:rsid w:val="004F6A8A"/>
    <w:rsid w:val="005018FD"/>
    <w:rsid w:val="00504545"/>
    <w:rsid w:val="00504AE0"/>
    <w:rsid w:val="00504D13"/>
    <w:rsid w:val="005054D6"/>
    <w:rsid w:val="00505F27"/>
    <w:rsid w:val="005065D7"/>
    <w:rsid w:val="005069C2"/>
    <w:rsid w:val="00506ACE"/>
    <w:rsid w:val="00507CF0"/>
    <w:rsid w:val="00507D62"/>
    <w:rsid w:val="00510B0F"/>
    <w:rsid w:val="00511B11"/>
    <w:rsid w:val="005311B8"/>
    <w:rsid w:val="00534B6D"/>
    <w:rsid w:val="00535D4D"/>
    <w:rsid w:val="00535E61"/>
    <w:rsid w:val="00553406"/>
    <w:rsid w:val="005543A4"/>
    <w:rsid w:val="00555C2C"/>
    <w:rsid w:val="005562C4"/>
    <w:rsid w:val="00556600"/>
    <w:rsid w:val="00556BEB"/>
    <w:rsid w:val="00557A40"/>
    <w:rsid w:val="00565431"/>
    <w:rsid w:val="00565D99"/>
    <w:rsid w:val="00566AD0"/>
    <w:rsid w:val="00566C44"/>
    <w:rsid w:val="0057254D"/>
    <w:rsid w:val="00575B21"/>
    <w:rsid w:val="00576822"/>
    <w:rsid w:val="00576D81"/>
    <w:rsid w:val="00577AEE"/>
    <w:rsid w:val="00580CD9"/>
    <w:rsid w:val="00582576"/>
    <w:rsid w:val="0059321F"/>
    <w:rsid w:val="00595A03"/>
    <w:rsid w:val="005A1B77"/>
    <w:rsid w:val="005A2A9C"/>
    <w:rsid w:val="005A718E"/>
    <w:rsid w:val="005B3674"/>
    <w:rsid w:val="005C135A"/>
    <w:rsid w:val="005C2181"/>
    <w:rsid w:val="005C71CE"/>
    <w:rsid w:val="005D173C"/>
    <w:rsid w:val="005D4172"/>
    <w:rsid w:val="005D45CA"/>
    <w:rsid w:val="005D6AA7"/>
    <w:rsid w:val="005E69D1"/>
    <w:rsid w:val="005F22BF"/>
    <w:rsid w:val="005F5D1F"/>
    <w:rsid w:val="0060279F"/>
    <w:rsid w:val="00603BCB"/>
    <w:rsid w:val="00613529"/>
    <w:rsid w:val="006141CA"/>
    <w:rsid w:val="00617B47"/>
    <w:rsid w:val="00620125"/>
    <w:rsid w:val="006203C2"/>
    <w:rsid w:val="0062070C"/>
    <w:rsid w:val="00620767"/>
    <w:rsid w:val="00622C49"/>
    <w:rsid w:val="00622D7C"/>
    <w:rsid w:val="00623613"/>
    <w:rsid w:val="0063112F"/>
    <w:rsid w:val="0063687D"/>
    <w:rsid w:val="00637113"/>
    <w:rsid w:val="00641B72"/>
    <w:rsid w:val="00641D5F"/>
    <w:rsid w:val="00644044"/>
    <w:rsid w:val="00644199"/>
    <w:rsid w:val="00656391"/>
    <w:rsid w:val="00656B78"/>
    <w:rsid w:val="00666351"/>
    <w:rsid w:val="00672308"/>
    <w:rsid w:val="00672602"/>
    <w:rsid w:val="00676E13"/>
    <w:rsid w:val="00681639"/>
    <w:rsid w:val="00686D4D"/>
    <w:rsid w:val="006942DC"/>
    <w:rsid w:val="00695078"/>
    <w:rsid w:val="006962F7"/>
    <w:rsid w:val="0069634B"/>
    <w:rsid w:val="006A2FA0"/>
    <w:rsid w:val="006A3D6E"/>
    <w:rsid w:val="006B4A3F"/>
    <w:rsid w:val="006B4AEE"/>
    <w:rsid w:val="006B71C1"/>
    <w:rsid w:val="006C175D"/>
    <w:rsid w:val="006C22BA"/>
    <w:rsid w:val="006C3289"/>
    <w:rsid w:val="006C6A3D"/>
    <w:rsid w:val="006D3E73"/>
    <w:rsid w:val="006D6DF2"/>
    <w:rsid w:val="006D7623"/>
    <w:rsid w:val="006E1BD3"/>
    <w:rsid w:val="006E2F4E"/>
    <w:rsid w:val="006E391C"/>
    <w:rsid w:val="006E54DC"/>
    <w:rsid w:val="006F4744"/>
    <w:rsid w:val="006F4FB1"/>
    <w:rsid w:val="007018E9"/>
    <w:rsid w:val="00705FF2"/>
    <w:rsid w:val="00707631"/>
    <w:rsid w:val="007134E3"/>
    <w:rsid w:val="007178B0"/>
    <w:rsid w:val="00717A59"/>
    <w:rsid w:val="00720B45"/>
    <w:rsid w:val="00722AE1"/>
    <w:rsid w:val="00723256"/>
    <w:rsid w:val="0072594C"/>
    <w:rsid w:val="00725F78"/>
    <w:rsid w:val="00730CA0"/>
    <w:rsid w:val="0073346A"/>
    <w:rsid w:val="00740F81"/>
    <w:rsid w:val="00744956"/>
    <w:rsid w:val="0074697B"/>
    <w:rsid w:val="00746E10"/>
    <w:rsid w:val="00750E0D"/>
    <w:rsid w:val="007527E2"/>
    <w:rsid w:val="00753836"/>
    <w:rsid w:val="00757774"/>
    <w:rsid w:val="00761B4C"/>
    <w:rsid w:val="007637E3"/>
    <w:rsid w:val="0076501A"/>
    <w:rsid w:val="00771B7A"/>
    <w:rsid w:val="007741A0"/>
    <w:rsid w:val="00777076"/>
    <w:rsid w:val="00782296"/>
    <w:rsid w:val="00782D54"/>
    <w:rsid w:val="0078448A"/>
    <w:rsid w:val="00784BFC"/>
    <w:rsid w:val="00785BF5"/>
    <w:rsid w:val="00786C6B"/>
    <w:rsid w:val="007919FE"/>
    <w:rsid w:val="00792D7F"/>
    <w:rsid w:val="00797EE7"/>
    <w:rsid w:val="007A6E3C"/>
    <w:rsid w:val="007A7FFA"/>
    <w:rsid w:val="007B05CC"/>
    <w:rsid w:val="007B24F6"/>
    <w:rsid w:val="007B6400"/>
    <w:rsid w:val="007B65AD"/>
    <w:rsid w:val="007B677A"/>
    <w:rsid w:val="007B73D4"/>
    <w:rsid w:val="007C0C48"/>
    <w:rsid w:val="007D0AF6"/>
    <w:rsid w:val="007D2EE9"/>
    <w:rsid w:val="007D4D87"/>
    <w:rsid w:val="007D6F5B"/>
    <w:rsid w:val="007E2C33"/>
    <w:rsid w:val="007E3A84"/>
    <w:rsid w:val="007E70F6"/>
    <w:rsid w:val="007F2AF0"/>
    <w:rsid w:val="007F348E"/>
    <w:rsid w:val="007F5A51"/>
    <w:rsid w:val="00801FDC"/>
    <w:rsid w:val="00804E08"/>
    <w:rsid w:val="0082756F"/>
    <w:rsid w:val="00831BA0"/>
    <w:rsid w:val="00836830"/>
    <w:rsid w:val="00837FE8"/>
    <w:rsid w:val="00844509"/>
    <w:rsid w:val="00846580"/>
    <w:rsid w:val="00851258"/>
    <w:rsid w:val="00855800"/>
    <w:rsid w:val="00870E55"/>
    <w:rsid w:val="008714FF"/>
    <w:rsid w:val="0087210F"/>
    <w:rsid w:val="00873246"/>
    <w:rsid w:val="00874BC5"/>
    <w:rsid w:val="00875333"/>
    <w:rsid w:val="008777F1"/>
    <w:rsid w:val="008803CB"/>
    <w:rsid w:val="008820D5"/>
    <w:rsid w:val="00890FAE"/>
    <w:rsid w:val="00891BCF"/>
    <w:rsid w:val="008958CD"/>
    <w:rsid w:val="00896EDE"/>
    <w:rsid w:val="0089703A"/>
    <w:rsid w:val="008A3437"/>
    <w:rsid w:val="008A3440"/>
    <w:rsid w:val="008A3FFD"/>
    <w:rsid w:val="008A48FA"/>
    <w:rsid w:val="008A5650"/>
    <w:rsid w:val="008A67C0"/>
    <w:rsid w:val="008A726F"/>
    <w:rsid w:val="008C0411"/>
    <w:rsid w:val="008C222F"/>
    <w:rsid w:val="008C5D7C"/>
    <w:rsid w:val="008C6697"/>
    <w:rsid w:val="008D2FE4"/>
    <w:rsid w:val="008D3BC3"/>
    <w:rsid w:val="008D65BB"/>
    <w:rsid w:val="008D7A60"/>
    <w:rsid w:val="008E0911"/>
    <w:rsid w:val="008E20A6"/>
    <w:rsid w:val="008E5AC8"/>
    <w:rsid w:val="008E6DA0"/>
    <w:rsid w:val="008F3F57"/>
    <w:rsid w:val="008F6951"/>
    <w:rsid w:val="00903ADE"/>
    <w:rsid w:val="009055C4"/>
    <w:rsid w:val="009072B6"/>
    <w:rsid w:val="00907CB1"/>
    <w:rsid w:val="00907DA3"/>
    <w:rsid w:val="009166E6"/>
    <w:rsid w:val="00917476"/>
    <w:rsid w:val="00921C50"/>
    <w:rsid w:val="009227D9"/>
    <w:rsid w:val="00924152"/>
    <w:rsid w:val="009246DF"/>
    <w:rsid w:val="00925D53"/>
    <w:rsid w:val="009323DC"/>
    <w:rsid w:val="00933F1F"/>
    <w:rsid w:val="0093539A"/>
    <w:rsid w:val="009444A7"/>
    <w:rsid w:val="00951853"/>
    <w:rsid w:val="009528E7"/>
    <w:rsid w:val="009536DE"/>
    <w:rsid w:val="009552C3"/>
    <w:rsid w:val="00955845"/>
    <w:rsid w:val="00962008"/>
    <w:rsid w:val="0097735F"/>
    <w:rsid w:val="009823FE"/>
    <w:rsid w:val="009853DF"/>
    <w:rsid w:val="0099328C"/>
    <w:rsid w:val="009A169A"/>
    <w:rsid w:val="009A2F93"/>
    <w:rsid w:val="009A72C3"/>
    <w:rsid w:val="009A7570"/>
    <w:rsid w:val="009A7987"/>
    <w:rsid w:val="009B1442"/>
    <w:rsid w:val="009C1EB8"/>
    <w:rsid w:val="009C2408"/>
    <w:rsid w:val="009D3D02"/>
    <w:rsid w:val="009D5685"/>
    <w:rsid w:val="009D5769"/>
    <w:rsid w:val="009D66EF"/>
    <w:rsid w:val="009E0311"/>
    <w:rsid w:val="009E29CE"/>
    <w:rsid w:val="009E551E"/>
    <w:rsid w:val="009F08D7"/>
    <w:rsid w:val="009F0984"/>
    <w:rsid w:val="009F7559"/>
    <w:rsid w:val="00A023F5"/>
    <w:rsid w:val="00A05B3F"/>
    <w:rsid w:val="00A05F39"/>
    <w:rsid w:val="00A06867"/>
    <w:rsid w:val="00A119EC"/>
    <w:rsid w:val="00A1338D"/>
    <w:rsid w:val="00A13D8C"/>
    <w:rsid w:val="00A1611C"/>
    <w:rsid w:val="00A1667B"/>
    <w:rsid w:val="00A16917"/>
    <w:rsid w:val="00A1734A"/>
    <w:rsid w:val="00A217FB"/>
    <w:rsid w:val="00A222B7"/>
    <w:rsid w:val="00A23752"/>
    <w:rsid w:val="00A2764B"/>
    <w:rsid w:val="00A316A0"/>
    <w:rsid w:val="00A329F7"/>
    <w:rsid w:val="00A3594C"/>
    <w:rsid w:val="00A42B24"/>
    <w:rsid w:val="00A44A18"/>
    <w:rsid w:val="00A4599C"/>
    <w:rsid w:val="00A45BCE"/>
    <w:rsid w:val="00A579C1"/>
    <w:rsid w:val="00A6328D"/>
    <w:rsid w:val="00A63332"/>
    <w:rsid w:val="00A640E2"/>
    <w:rsid w:val="00A7399D"/>
    <w:rsid w:val="00A75E55"/>
    <w:rsid w:val="00A777EE"/>
    <w:rsid w:val="00A835D0"/>
    <w:rsid w:val="00A8771A"/>
    <w:rsid w:val="00A93D96"/>
    <w:rsid w:val="00A97739"/>
    <w:rsid w:val="00AA1CE4"/>
    <w:rsid w:val="00AA3ED8"/>
    <w:rsid w:val="00AA5A04"/>
    <w:rsid w:val="00AA6A2B"/>
    <w:rsid w:val="00AB037B"/>
    <w:rsid w:val="00AB2FEA"/>
    <w:rsid w:val="00AB43C1"/>
    <w:rsid w:val="00AB522C"/>
    <w:rsid w:val="00AB5C02"/>
    <w:rsid w:val="00AB792E"/>
    <w:rsid w:val="00AC0B49"/>
    <w:rsid w:val="00AC0EAD"/>
    <w:rsid w:val="00AC24FD"/>
    <w:rsid w:val="00AC421C"/>
    <w:rsid w:val="00AC579E"/>
    <w:rsid w:val="00AD24D9"/>
    <w:rsid w:val="00AE0E6F"/>
    <w:rsid w:val="00AE0F08"/>
    <w:rsid w:val="00AE151C"/>
    <w:rsid w:val="00AE186F"/>
    <w:rsid w:val="00AE2AFF"/>
    <w:rsid w:val="00AE3CD1"/>
    <w:rsid w:val="00AE56DC"/>
    <w:rsid w:val="00AE6185"/>
    <w:rsid w:val="00AE65B1"/>
    <w:rsid w:val="00AF2D66"/>
    <w:rsid w:val="00AF5F85"/>
    <w:rsid w:val="00AF66C1"/>
    <w:rsid w:val="00B00411"/>
    <w:rsid w:val="00B00698"/>
    <w:rsid w:val="00B02147"/>
    <w:rsid w:val="00B12107"/>
    <w:rsid w:val="00B17922"/>
    <w:rsid w:val="00B201E1"/>
    <w:rsid w:val="00B25492"/>
    <w:rsid w:val="00B2792B"/>
    <w:rsid w:val="00B301F5"/>
    <w:rsid w:val="00B3047B"/>
    <w:rsid w:val="00B3209D"/>
    <w:rsid w:val="00B338C1"/>
    <w:rsid w:val="00B40864"/>
    <w:rsid w:val="00B41B4B"/>
    <w:rsid w:val="00B44D2F"/>
    <w:rsid w:val="00B50B08"/>
    <w:rsid w:val="00B53562"/>
    <w:rsid w:val="00B5590E"/>
    <w:rsid w:val="00B60E99"/>
    <w:rsid w:val="00B616B7"/>
    <w:rsid w:val="00B61BA0"/>
    <w:rsid w:val="00B63240"/>
    <w:rsid w:val="00B722A3"/>
    <w:rsid w:val="00B72B95"/>
    <w:rsid w:val="00B757B6"/>
    <w:rsid w:val="00B764E8"/>
    <w:rsid w:val="00B83A68"/>
    <w:rsid w:val="00B859FD"/>
    <w:rsid w:val="00B91FDE"/>
    <w:rsid w:val="00BA2FE9"/>
    <w:rsid w:val="00BA4B4C"/>
    <w:rsid w:val="00BA757E"/>
    <w:rsid w:val="00BB010A"/>
    <w:rsid w:val="00BB55AA"/>
    <w:rsid w:val="00BB5731"/>
    <w:rsid w:val="00BB68CB"/>
    <w:rsid w:val="00BC068A"/>
    <w:rsid w:val="00BC0867"/>
    <w:rsid w:val="00BC2965"/>
    <w:rsid w:val="00BC5C38"/>
    <w:rsid w:val="00BC6583"/>
    <w:rsid w:val="00BD304B"/>
    <w:rsid w:val="00BD3BD3"/>
    <w:rsid w:val="00BD7E74"/>
    <w:rsid w:val="00BE3932"/>
    <w:rsid w:val="00BE4F6B"/>
    <w:rsid w:val="00BE7785"/>
    <w:rsid w:val="00C030AA"/>
    <w:rsid w:val="00C03694"/>
    <w:rsid w:val="00C06317"/>
    <w:rsid w:val="00C07649"/>
    <w:rsid w:val="00C07C8C"/>
    <w:rsid w:val="00C11A50"/>
    <w:rsid w:val="00C151F6"/>
    <w:rsid w:val="00C203B4"/>
    <w:rsid w:val="00C21C8F"/>
    <w:rsid w:val="00C23EB1"/>
    <w:rsid w:val="00C25E85"/>
    <w:rsid w:val="00C3290F"/>
    <w:rsid w:val="00C360A3"/>
    <w:rsid w:val="00C369AB"/>
    <w:rsid w:val="00C3774A"/>
    <w:rsid w:val="00C442AF"/>
    <w:rsid w:val="00C44F50"/>
    <w:rsid w:val="00C50A31"/>
    <w:rsid w:val="00C50CB8"/>
    <w:rsid w:val="00C52882"/>
    <w:rsid w:val="00C529EA"/>
    <w:rsid w:val="00C54DB6"/>
    <w:rsid w:val="00C57E15"/>
    <w:rsid w:val="00C6353B"/>
    <w:rsid w:val="00C64DD9"/>
    <w:rsid w:val="00C661C0"/>
    <w:rsid w:val="00C70445"/>
    <w:rsid w:val="00C73B9C"/>
    <w:rsid w:val="00C76A42"/>
    <w:rsid w:val="00C81E66"/>
    <w:rsid w:val="00C84999"/>
    <w:rsid w:val="00CA0DFB"/>
    <w:rsid w:val="00CA2843"/>
    <w:rsid w:val="00CA5518"/>
    <w:rsid w:val="00CB141C"/>
    <w:rsid w:val="00CB36EA"/>
    <w:rsid w:val="00CB6383"/>
    <w:rsid w:val="00CC019C"/>
    <w:rsid w:val="00CD014E"/>
    <w:rsid w:val="00CD0958"/>
    <w:rsid w:val="00CD7988"/>
    <w:rsid w:val="00CE0328"/>
    <w:rsid w:val="00CE327C"/>
    <w:rsid w:val="00CF3DD1"/>
    <w:rsid w:val="00CF4074"/>
    <w:rsid w:val="00CF5805"/>
    <w:rsid w:val="00CF75F5"/>
    <w:rsid w:val="00D021F7"/>
    <w:rsid w:val="00D027A9"/>
    <w:rsid w:val="00D03917"/>
    <w:rsid w:val="00D046BB"/>
    <w:rsid w:val="00D06B45"/>
    <w:rsid w:val="00D15821"/>
    <w:rsid w:val="00D15BFB"/>
    <w:rsid w:val="00D23C3E"/>
    <w:rsid w:val="00D248D4"/>
    <w:rsid w:val="00D25E43"/>
    <w:rsid w:val="00D3228E"/>
    <w:rsid w:val="00D353F2"/>
    <w:rsid w:val="00D40BFE"/>
    <w:rsid w:val="00D427F2"/>
    <w:rsid w:val="00D43839"/>
    <w:rsid w:val="00D43D50"/>
    <w:rsid w:val="00D57B23"/>
    <w:rsid w:val="00D616BB"/>
    <w:rsid w:val="00D61FF5"/>
    <w:rsid w:val="00D63D54"/>
    <w:rsid w:val="00D64641"/>
    <w:rsid w:val="00D65C2F"/>
    <w:rsid w:val="00D67329"/>
    <w:rsid w:val="00D7553C"/>
    <w:rsid w:val="00D757C3"/>
    <w:rsid w:val="00D803F2"/>
    <w:rsid w:val="00D821C7"/>
    <w:rsid w:val="00D82F34"/>
    <w:rsid w:val="00D85B1D"/>
    <w:rsid w:val="00D86E76"/>
    <w:rsid w:val="00D914D1"/>
    <w:rsid w:val="00D95EFE"/>
    <w:rsid w:val="00D963F3"/>
    <w:rsid w:val="00DA0AE5"/>
    <w:rsid w:val="00DA1428"/>
    <w:rsid w:val="00DB18E4"/>
    <w:rsid w:val="00DB5754"/>
    <w:rsid w:val="00DC01C3"/>
    <w:rsid w:val="00DC05D0"/>
    <w:rsid w:val="00DC1D42"/>
    <w:rsid w:val="00DC2510"/>
    <w:rsid w:val="00DC3E14"/>
    <w:rsid w:val="00DC4514"/>
    <w:rsid w:val="00DD2A3A"/>
    <w:rsid w:val="00DD7763"/>
    <w:rsid w:val="00DD7B6F"/>
    <w:rsid w:val="00DE6CFF"/>
    <w:rsid w:val="00DF27A0"/>
    <w:rsid w:val="00DF500C"/>
    <w:rsid w:val="00E06A5A"/>
    <w:rsid w:val="00E06D00"/>
    <w:rsid w:val="00E10028"/>
    <w:rsid w:val="00E10192"/>
    <w:rsid w:val="00E10B80"/>
    <w:rsid w:val="00E120B4"/>
    <w:rsid w:val="00E15A6B"/>
    <w:rsid w:val="00E25DF3"/>
    <w:rsid w:val="00E27300"/>
    <w:rsid w:val="00E31DCB"/>
    <w:rsid w:val="00E3225E"/>
    <w:rsid w:val="00E36C9C"/>
    <w:rsid w:val="00E36EA2"/>
    <w:rsid w:val="00E37366"/>
    <w:rsid w:val="00E401A7"/>
    <w:rsid w:val="00E40706"/>
    <w:rsid w:val="00E413EA"/>
    <w:rsid w:val="00E459E6"/>
    <w:rsid w:val="00E46B0F"/>
    <w:rsid w:val="00E47339"/>
    <w:rsid w:val="00E47738"/>
    <w:rsid w:val="00E5650B"/>
    <w:rsid w:val="00E573F9"/>
    <w:rsid w:val="00E627DB"/>
    <w:rsid w:val="00E7067E"/>
    <w:rsid w:val="00E70A20"/>
    <w:rsid w:val="00E76760"/>
    <w:rsid w:val="00E76BCF"/>
    <w:rsid w:val="00E83572"/>
    <w:rsid w:val="00E85ACC"/>
    <w:rsid w:val="00E8700E"/>
    <w:rsid w:val="00E9378F"/>
    <w:rsid w:val="00E9707A"/>
    <w:rsid w:val="00EA119C"/>
    <w:rsid w:val="00EA1D3D"/>
    <w:rsid w:val="00EA49F2"/>
    <w:rsid w:val="00EA68C3"/>
    <w:rsid w:val="00EA7C15"/>
    <w:rsid w:val="00EB1CFA"/>
    <w:rsid w:val="00EB1E4B"/>
    <w:rsid w:val="00EB284E"/>
    <w:rsid w:val="00EB29BE"/>
    <w:rsid w:val="00EB5134"/>
    <w:rsid w:val="00EB7ACC"/>
    <w:rsid w:val="00ED03A6"/>
    <w:rsid w:val="00ED0CC5"/>
    <w:rsid w:val="00ED1ECF"/>
    <w:rsid w:val="00ED2805"/>
    <w:rsid w:val="00ED6EFC"/>
    <w:rsid w:val="00EE3920"/>
    <w:rsid w:val="00EE7D1E"/>
    <w:rsid w:val="00EF0952"/>
    <w:rsid w:val="00EF1DA9"/>
    <w:rsid w:val="00EF43C0"/>
    <w:rsid w:val="00EF7896"/>
    <w:rsid w:val="00F001C9"/>
    <w:rsid w:val="00F00D5A"/>
    <w:rsid w:val="00F011CB"/>
    <w:rsid w:val="00F036AD"/>
    <w:rsid w:val="00F04EE9"/>
    <w:rsid w:val="00F05A58"/>
    <w:rsid w:val="00F11B44"/>
    <w:rsid w:val="00F160C9"/>
    <w:rsid w:val="00F20FA8"/>
    <w:rsid w:val="00F26AC4"/>
    <w:rsid w:val="00F30933"/>
    <w:rsid w:val="00F33332"/>
    <w:rsid w:val="00F360D0"/>
    <w:rsid w:val="00F36924"/>
    <w:rsid w:val="00F43340"/>
    <w:rsid w:val="00F43AAF"/>
    <w:rsid w:val="00F43E32"/>
    <w:rsid w:val="00F50B76"/>
    <w:rsid w:val="00F52ABB"/>
    <w:rsid w:val="00F52D95"/>
    <w:rsid w:val="00F52E88"/>
    <w:rsid w:val="00F539D5"/>
    <w:rsid w:val="00F61BE4"/>
    <w:rsid w:val="00F64610"/>
    <w:rsid w:val="00F6555E"/>
    <w:rsid w:val="00F74DB5"/>
    <w:rsid w:val="00F80546"/>
    <w:rsid w:val="00F80BE5"/>
    <w:rsid w:val="00F8489C"/>
    <w:rsid w:val="00F87AF5"/>
    <w:rsid w:val="00F90DE0"/>
    <w:rsid w:val="00F91BEC"/>
    <w:rsid w:val="00F9265F"/>
    <w:rsid w:val="00F92B0F"/>
    <w:rsid w:val="00F94426"/>
    <w:rsid w:val="00F95455"/>
    <w:rsid w:val="00FA0E0E"/>
    <w:rsid w:val="00FA4FD0"/>
    <w:rsid w:val="00FA5B0F"/>
    <w:rsid w:val="00FA766E"/>
    <w:rsid w:val="00FB26A3"/>
    <w:rsid w:val="00FB295B"/>
    <w:rsid w:val="00FB363B"/>
    <w:rsid w:val="00FC336C"/>
    <w:rsid w:val="00FC3BB5"/>
    <w:rsid w:val="00FC45E2"/>
    <w:rsid w:val="00FC5856"/>
    <w:rsid w:val="00FD1411"/>
    <w:rsid w:val="00FD3503"/>
    <w:rsid w:val="00FD37C7"/>
    <w:rsid w:val="00FD5199"/>
    <w:rsid w:val="00FE0D27"/>
    <w:rsid w:val="00FE4943"/>
    <w:rsid w:val="00FE4EB8"/>
    <w:rsid w:val="00FE7D4E"/>
    <w:rsid w:val="00FF0EB0"/>
    <w:rsid w:val="00FF4AF0"/>
    <w:rsid w:val="00FF7854"/>
    <w:rsid w:val="034125EE"/>
    <w:rsid w:val="0E24BAA6"/>
    <w:rsid w:val="10293A06"/>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79280EA9"/>
  <w15:chartTrackingRefBased/>
  <w15:docId w15:val="{4C4816BD-B04D-46F8-85A7-7E1F43ABC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34E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34E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34E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34E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34E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34E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34E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34E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34E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34E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34E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34E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34E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34E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34E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34E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34E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34E3"/>
    <w:rPr>
      <w:rFonts w:eastAsiaTheme="majorEastAsia" w:cstheme="majorBidi"/>
      <w:color w:val="272727" w:themeColor="text1" w:themeTint="D8"/>
    </w:rPr>
  </w:style>
  <w:style w:type="paragraph" w:styleId="Title">
    <w:name w:val="Title"/>
    <w:basedOn w:val="Normal"/>
    <w:next w:val="Normal"/>
    <w:link w:val="TitleChar"/>
    <w:uiPriority w:val="10"/>
    <w:qFormat/>
    <w:rsid w:val="007134E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34E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34E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34E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34E3"/>
    <w:pPr>
      <w:spacing w:before="160"/>
      <w:jc w:val="center"/>
    </w:pPr>
    <w:rPr>
      <w:i/>
      <w:iCs/>
      <w:color w:val="404040" w:themeColor="text1" w:themeTint="BF"/>
    </w:rPr>
  </w:style>
  <w:style w:type="character" w:customStyle="1" w:styleId="QuoteChar">
    <w:name w:val="Quote Char"/>
    <w:basedOn w:val="DefaultParagraphFont"/>
    <w:link w:val="Quote"/>
    <w:uiPriority w:val="29"/>
    <w:rsid w:val="007134E3"/>
    <w:rPr>
      <w:i/>
      <w:iCs/>
      <w:color w:val="404040" w:themeColor="text1" w:themeTint="BF"/>
    </w:rPr>
  </w:style>
  <w:style w:type="paragraph" w:styleId="ListParagraph">
    <w:name w:val="List Paragraph"/>
    <w:basedOn w:val="Normal"/>
    <w:uiPriority w:val="34"/>
    <w:qFormat/>
    <w:rsid w:val="007134E3"/>
    <w:pPr>
      <w:ind w:left="720"/>
      <w:contextualSpacing/>
    </w:pPr>
  </w:style>
  <w:style w:type="character" w:styleId="IntenseEmphasis">
    <w:name w:val="Intense Emphasis"/>
    <w:basedOn w:val="DefaultParagraphFont"/>
    <w:uiPriority w:val="21"/>
    <w:qFormat/>
    <w:rsid w:val="007134E3"/>
    <w:rPr>
      <w:i/>
      <w:iCs/>
      <w:color w:val="0F4761" w:themeColor="accent1" w:themeShade="BF"/>
    </w:rPr>
  </w:style>
  <w:style w:type="paragraph" w:styleId="IntenseQuote">
    <w:name w:val="Intense Quote"/>
    <w:basedOn w:val="Normal"/>
    <w:next w:val="Normal"/>
    <w:link w:val="IntenseQuoteChar"/>
    <w:uiPriority w:val="30"/>
    <w:qFormat/>
    <w:rsid w:val="007134E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34E3"/>
    <w:rPr>
      <w:i/>
      <w:iCs/>
      <w:color w:val="0F4761" w:themeColor="accent1" w:themeShade="BF"/>
    </w:rPr>
  </w:style>
  <w:style w:type="character" w:styleId="IntenseReference">
    <w:name w:val="Intense Reference"/>
    <w:basedOn w:val="DefaultParagraphFont"/>
    <w:uiPriority w:val="32"/>
    <w:qFormat/>
    <w:rsid w:val="007134E3"/>
    <w:rPr>
      <w:b/>
      <w:bCs/>
      <w:smallCaps/>
      <w:color w:val="0F4761" w:themeColor="accent1" w:themeShade="BF"/>
      <w:spacing w:val="5"/>
    </w:rPr>
  </w:style>
  <w:style w:type="paragraph" w:styleId="Header">
    <w:name w:val="header"/>
    <w:basedOn w:val="Normal"/>
    <w:link w:val="HeaderChar"/>
    <w:uiPriority w:val="99"/>
    <w:unhideWhenUsed/>
    <w:rsid w:val="007134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34E3"/>
  </w:style>
  <w:style w:type="paragraph" w:styleId="Footer">
    <w:name w:val="footer"/>
    <w:basedOn w:val="Normal"/>
    <w:link w:val="FooterChar"/>
    <w:uiPriority w:val="99"/>
    <w:unhideWhenUsed/>
    <w:rsid w:val="007134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34E3"/>
  </w:style>
  <w:style w:type="paragraph" w:styleId="FootnoteText">
    <w:name w:val="footnote text"/>
    <w:aliases w:val="ALTS FOOTNOTE,Footnote Text Char Char Char Char,Footnote Text Char1 Char,Footnote Text Char1 Char Char,Footnote Text Char1 Char1 Char Char Char Char,Footnote Text Char2,Footnote Text Char2 Char,Footnote Text Char2 Char Char Char Char,fn,f"/>
    <w:basedOn w:val="Normal"/>
    <w:link w:val="FootnoteTextChar"/>
    <w:rsid w:val="00722AE1"/>
    <w:pPr>
      <w:spacing w:after="0" w:line="240" w:lineRule="auto"/>
    </w:pPr>
    <w:rPr>
      <w:rFonts w:ascii="Times New Roman" w:eastAsia="Times New Roman" w:hAnsi="Times New Roman" w:cs="Times New Roman"/>
      <w:kern w:val="0"/>
      <w:sz w:val="20"/>
      <w:szCs w:val="20"/>
      <w14:ligatures w14:val="none"/>
    </w:rPr>
  </w:style>
  <w:style w:type="character" w:customStyle="1" w:styleId="FootnoteTextChar">
    <w:name w:val="Footnote Text Char"/>
    <w:aliases w:val="ALTS FOOTNOTE Char,Footnote Text Char Char Char Char Char,Footnote Text Char1 Char Char1,Footnote Text Char1 Char Char Char,Footnote Text Char1 Char1 Char Char Char Char Char,Footnote Text Char2 Char1,Footnote Text Char2 Char Char"/>
    <w:basedOn w:val="DefaultParagraphFont"/>
    <w:link w:val="FootnoteText"/>
    <w:rsid w:val="00722AE1"/>
    <w:rPr>
      <w:rFonts w:ascii="Times New Roman" w:eastAsia="Times New Roman" w:hAnsi="Times New Roman" w:cs="Times New Roman"/>
      <w:kern w:val="0"/>
      <w:sz w:val="20"/>
      <w:szCs w:val="20"/>
      <w14:ligatures w14:val="none"/>
    </w:r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
    <w:basedOn w:val="DefaultParagraphFont"/>
    <w:rsid w:val="00722AE1"/>
    <w:rPr>
      <w:rFonts w:cs="Times New Roman"/>
      <w:vertAlign w:val="superscript"/>
    </w:rPr>
  </w:style>
  <w:style w:type="character" w:styleId="Hyperlink">
    <w:name w:val="Hyperlink"/>
    <w:basedOn w:val="DefaultParagraphFont"/>
    <w:uiPriority w:val="99"/>
    <w:unhideWhenUsed/>
    <w:rsid w:val="00722AE1"/>
    <w:rPr>
      <w:color w:val="0000FF"/>
      <w:u w:val="single"/>
    </w:rPr>
  </w:style>
  <w:style w:type="character" w:styleId="FollowedHyperlink">
    <w:name w:val="FollowedHyperlink"/>
    <w:basedOn w:val="DefaultParagraphFont"/>
    <w:uiPriority w:val="99"/>
    <w:semiHidden/>
    <w:unhideWhenUsed/>
    <w:rsid w:val="00891BCF"/>
    <w:rPr>
      <w:color w:val="800080"/>
      <w:u w:val="single"/>
    </w:rPr>
  </w:style>
  <w:style w:type="paragraph" w:customStyle="1" w:styleId="msonormal">
    <w:name w:val="msonormal"/>
    <w:basedOn w:val="Normal"/>
    <w:rsid w:val="00891BCF"/>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xl63">
    <w:name w:val="xl63"/>
    <w:basedOn w:val="Normal"/>
    <w:rsid w:val="00891BCF"/>
    <w:pPr>
      <w:spacing w:before="100" w:beforeAutospacing="1" w:after="100" w:afterAutospacing="1" w:line="240" w:lineRule="auto"/>
    </w:pPr>
    <w:rPr>
      <w:rFonts w:ascii="Times New Roman" w:eastAsia="Times New Roman" w:hAnsi="Times New Roman" w:cs="Times New Roman"/>
      <w:b/>
      <w:bCs/>
      <w:kern w:val="0"/>
      <w14:ligatures w14:val="none"/>
    </w:rPr>
  </w:style>
  <w:style w:type="paragraph" w:customStyle="1" w:styleId="xl64">
    <w:name w:val="xl64"/>
    <w:basedOn w:val="Normal"/>
    <w:rsid w:val="00891BCF"/>
    <w:pPr>
      <w:pBdr>
        <w:top w:val="single" w:sz="4" w:space="0" w:color="000000"/>
        <w:left w:val="single" w:sz="4" w:space="0" w:color="000000"/>
        <w:bottom w:val="single" w:sz="4" w:space="0" w:color="000000"/>
        <w:right w:val="single" w:sz="4" w:space="0" w:color="000000"/>
      </w:pBdr>
      <w:shd w:val="clear" w:color="000000" w:fill="2E77D6"/>
      <w:spacing w:before="100" w:beforeAutospacing="1" w:after="100" w:afterAutospacing="1" w:line="240" w:lineRule="auto"/>
      <w:jc w:val="center"/>
      <w:textAlignment w:val="center"/>
    </w:pPr>
    <w:rPr>
      <w:rFonts w:ascii="Times New Roman" w:eastAsia="Times New Roman" w:hAnsi="Times New Roman" w:cs="Times New Roman"/>
      <w:b/>
      <w:bCs/>
      <w:color w:val="FFFFFF"/>
      <w:kern w:val="0"/>
      <w14:ligatures w14:val="none"/>
    </w:rPr>
  </w:style>
  <w:style w:type="paragraph" w:customStyle="1" w:styleId="xl65">
    <w:name w:val="xl65"/>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6">
    <w:name w:val="xl66"/>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7">
    <w:name w:val="xl67"/>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8">
    <w:name w:val="xl68"/>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paragraph" w:customStyle="1" w:styleId="xl69">
    <w:name w:val="xl69"/>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character" w:styleId="UnresolvedMention">
    <w:name w:val="Unresolved Mention"/>
    <w:basedOn w:val="DefaultParagraphFont"/>
    <w:uiPriority w:val="99"/>
    <w:semiHidden/>
    <w:unhideWhenUsed/>
    <w:rsid w:val="00A1734A"/>
    <w:rPr>
      <w:color w:val="605E5C"/>
      <w:shd w:val="clear" w:color="auto" w:fill="E1DFDD"/>
    </w:rPr>
  </w:style>
  <w:style w:type="paragraph" w:customStyle="1" w:styleId="xl70">
    <w:name w:val="xl70"/>
    <w:basedOn w:val="Normal"/>
    <w:rsid w:val="00A1734A"/>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https://gcc02.safelinks.protection.outlook.com/?url=https%3A%2F%2Fdocs.fcc.gov%2Fpublic%2Fattachments%2FDA-26-365A1.txt&amp;data=05%7C02%7CJustin.Cain%40fcc.gov%7Cd69079246d454803b9e808de9b17948c%7C72970aed36694ca8b960dd016bc72973%7C0%7C0%7C639118722746078648%7CUnknown%7CTWFpbGZsb3d8eyJFbXB0eU1hcGkiOnRydWUsIlYiOiIwLjAuMDAwMCIsIlAiOiJXaW4zMiIsIkFOIjoiTWFpbCIsIldUIjoyfQ%3D%3D%7C0%7C%7C%7C&amp;sdata=KvHB6jgu2QuSp4rxXp%2BdS%2BbXRDdgEs4uGt3Z7BrE4pk%3D&amp;reserved=0" TargetMode="External" /><Relationship Id="rId11" Type="http://schemas.openxmlformats.org/officeDocument/2006/relationships/hyperlink" Target="https://gcc02.safelinks.protection.outlook.com/?url=https%3A%2F%2Fdocs.fcc.gov%2Fpublic%2Fattachments%2FDA-26-396A1.docx&amp;data=05%7C02%7CJuan.Chapa%40fcc.gov%7C4e1558ba38764423244608dea1eecc8a%7C72970aed36694ca8b960dd016bc72973%7C0%7C0%7C639126244162357736%7CUnknown%7CTWFpbGZsb3d8eyJFbXB0eU1hcGkiOnRydWUsIlYiOiIwLjAuMDAwMCIsIlAiOiJXaW4zMiIsIkFOIjoiTWFpbCIsIldUIjoyfQ%3D%3D%7C0%7C%7C%7C&amp;sdata=ttIAy4B%2B89DYQAacdBCVf%2FOheRD8xSlhIs4zH8SsisM%3D&amp;reserved=0" TargetMode="External" /><Relationship Id="rId12" Type="http://schemas.openxmlformats.org/officeDocument/2006/relationships/hyperlink" Target="https://gcc02.safelinks.protection.outlook.com/?url=https%3A%2F%2Fdocs.fcc.gov%2Fpublic%2Fattachments%2FDA-26-396A1.pdf&amp;data=05%7C02%7CJuan.Chapa%40fcc.gov%7C4e1558ba38764423244608dea1eecc8a%7C72970aed36694ca8b960dd016bc72973%7C0%7C0%7C639126244162381989%7CUnknown%7CTWFpbGZsb3d8eyJFbXB0eU1hcGkiOnRydWUsIlYiOiIwLjAuMDAwMCIsIlAiOiJXaW4zMiIsIkFOIjoiTWFpbCIsIldUIjoyfQ%3D%3D%7C0%7C%7C%7C&amp;sdata=Sfjqey%2Bdn6s2qQJJEnv%2BeBqUN1JqjkF8ynJB9rp%2Fyt4%3D&amp;reserved=0" TargetMode="External" /><Relationship Id="rId13" Type="http://schemas.openxmlformats.org/officeDocument/2006/relationships/hyperlink" Target="https://gcc02.safelinks.protection.outlook.com/?url=https%3A%2F%2Fdocs.fcc.gov%2Fpublic%2Fattachments%2FDA-26-396A1.txt&amp;data=05%7C02%7CJuan.Chapa%40fcc.gov%7C4e1558ba38764423244608dea1eecc8a%7C72970aed36694ca8b960dd016bc72973%7C0%7C0%7C639126244162393430%7CUnknown%7CTWFpbGZsb3d8eyJFbXB0eU1hcGkiOnRydWUsIlYiOiIwLjAuMDAwMCIsIlAiOiJXaW4zMiIsIkFOIjoiTWFpbCIsIldUIjoyfQ%3D%3D%7C0%7C%7C%7C&amp;sdata=IV%2Fr4u2wkmhaEEzBMxkb8zV6anwAI0AfhCIyrcvAysQ%3D&amp;reserved=0" TargetMode="External" /><Relationship Id="rId14" Type="http://schemas.openxmlformats.org/officeDocument/2006/relationships/hyperlink" Target="https://gcc02.safelinks.protection.outlook.com/?url=https%3A%2F%2Fdocs.fcc.gov%2Fpublic%2Fattachments%2FDA-26-397A1.docx&amp;data=05%7C02%7CJuan.Chapa%40fcc.gov%7C4e1558ba38764423244608dea1eecc8a%7C72970aed36694ca8b960dd016bc72973%7C0%7C0%7C639126244162404028%7CUnknown%7CTWFpbGZsb3d8eyJFbXB0eU1hcGkiOnRydWUsIlYiOiIwLjAuMDAwMCIsIlAiOiJXaW4zMiIsIkFOIjoiTWFpbCIsIldUIjoyfQ%3D%3D%7C0%7C%7C%7C&amp;sdata=ptT137XN%2FO9Ay7IdrEIxYXk1WVWVLZ7ok7gksaaa9mA%3D&amp;reserved=0" TargetMode="External" /><Relationship Id="rId15" Type="http://schemas.openxmlformats.org/officeDocument/2006/relationships/hyperlink" Target="https://gcc02.safelinks.protection.outlook.com/?url=https%3A%2F%2Fdocs.fcc.gov%2Fpublic%2Fattachments%2FDA-26-397A1.pdf&amp;data=05%7C02%7CJuan.Chapa%40fcc.gov%7C4e1558ba38764423244608dea1eecc8a%7C72970aed36694ca8b960dd016bc72973%7C0%7C0%7C639126244162415710%7CUnknown%7CTWFpbGZsb3d8eyJFbXB0eU1hcGkiOnRydWUsIlYiOiIwLjAuMDAwMCIsIlAiOiJXaW4zMiIsIkFOIjoiTWFpbCIsIldUIjoyfQ%3D%3D%7C0%7C%7C%7C&amp;sdata=oT%2BGH1t5rdOiZrBf56UOgE6wot1UBAOT5k%2BaL0omUIw%3D&amp;reserved=0" TargetMode="External" /><Relationship Id="rId16" Type="http://schemas.openxmlformats.org/officeDocument/2006/relationships/hyperlink" Target="https://gcc02.safelinks.protection.outlook.com/?url=https%3A%2F%2Fdocs.fcc.gov%2Fpublic%2Fattachments%2FDA-26-397A1.txt&amp;data=05%7C02%7CJuan.Chapa%40fcc.gov%7C4e1558ba38764423244608dea1eecc8a%7C72970aed36694ca8b960dd016bc72973%7C0%7C0%7C639126244162426194%7CUnknown%7CTWFpbGZsb3d8eyJFbXB0eU1hcGkiOnRydWUsIlYiOiIwLjAuMDAwMCIsIlAiOiJXaW4zMiIsIkFOIjoiTWFpbCIsIldUIjoyfQ%3D%3D%7C0%7C%7C%7C&amp;sdata=ibx53I2GUHezVzeT1YjD%2BdQiAWf1Zwrtrp%2BiA2jMaqM%3D&amp;reserved=0" TargetMode="External" /><Relationship Id="rId17" Type="http://schemas.openxmlformats.org/officeDocument/2006/relationships/header" Target="header1.xml" /><Relationship Id="rId18" Type="http://schemas.openxmlformats.org/officeDocument/2006/relationships/footer" Target="footer1.xml" /><Relationship Id="rId19" Type="http://schemas.openxmlformats.org/officeDocument/2006/relationships/theme" Target="theme/theme1.xml" /><Relationship Id="rId2" Type="http://schemas.openxmlformats.org/officeDocument/2006/relationships/settings" Target="settings.xml" /><Relationship Id="rId20" Type="http://schemas.openxmlformats.org/officeDocument/2006/relationships/numbering" Target="numbering.xml" /><Relationship Id="rId21" Type="http://schemas.openxmlformats.org/officeDocument/2006/relationships/styles" Target="style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image" Target="media/image1.png" /><Relationship Id="rId6" Type="http://schemas.openxmlformats.org/officeDocument/2006/relationships/image" Target="cid:image001.png@01DCD541.FAEF0070" TargetMode="External" /><Relationship Id="rId7" Type="http://schemas.openxmlformats.org/officeDocument/2006/relationships/image" Target="media/image2.jpeg" /><Relationship Id="rId8" Type="http://schemas.openxmlformats.org/officeDocument/2006/relationships/hyperlink" Target="https://gcc02.safelinks.protection.outlook.com/?url=https%3A%2F%2Fdocs.fcc.gov%2Fpublic%2Fattachments%2FDA-26-365A1.docx&amp;data=05%7C02%7CJustin.Cain%40fcc.gov%7Cd69079246d454803b9e808de9b17948c%7C72970aed36694ca8b960dd016bc72973%7C0%7C0%7C639118722746033831%7CUnknown%7CTWFpbGZsb3d8eyJFbXB0eU1hcGkiOnRydWUsIlYiOiIwLjAuMDAwMCIsIlAiOiJXaW4zMiIsIkFOIjoiTWFpbCIsIldUIjoyfQ%3D%3D%7C0%7C%7C%7C&amp;sdata=JDWVYN4EY%2FBPaX0WBwCEdDmsBDtCu3qLTNuwK%2FGtTKg%3D&amp;reserved=0" TargetMode="External" /><Relationship Id="rId9" Type="http://schemas.openxmlformats.org/officeDocument/2006/relationships/hyperlink" Target="https://gcc02.safelinks.protection.outlook.com/?url=https%3A%2F%2Fdocs.fcc.gov%2Fpublic%2Fattachments%2FDA-26-365A1.pdf&amp;data=05%7C02%7CJustin.Cain%40fcc.gov%7Cd69079246d454803b9e808de9b17948c%7C72970aed36694ca8b960dd016bc72973%7C0%7C0%7C639118722746057301%7CUnknown%7CTWFpbGZsb3d8eyJFbXB0eU1hcGkiOnRydWUsIlYiOiIwLjAuMDAwMCIsIlAiOiJXaW4zMiIsIkFOIjoiTWFpbCIsIldUIjoyfQ%3D%3D%7C0%7C%7C%7C&amp;sdata=tNwA5GruKPFG9cX6qiCe5hrMXCEIwHZgk7UJtiHjFbM%3D&amp;reserved=0"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www.fcc.gov/wireless-network-resiliency-during-disasters" TargetMode="External" /></Relationships>
</file>

<file path=word/_rels/header1.xml.rels><?xml version="1.0" encoding="utf-8" standalone="yes"?><Relationships xmlns="http://schemas.openxmlformats.org/package/2006/relationships"><Relationship Id="rId1" Type="http://schemas.openxmlformats.org/officeDocument/2006/relationships/image" Target="media/image3.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