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06C6EE5D" w14:textId="77777777" w:rsidTr="00A547BF">
        <w:tblPrEx>
          <w:tblW w:w="9029" w:type="dxa"/>
          <w:tblLook w:val="0000"/>
        </w:tblPrEx>
        <w:trPr>
          <w:trHeight w:val="2181"/>
        </w:trPr>
        <w:tc>
          <w:tcPr>
            <w:tcW w:w="9029" w:type="dxa"/>
          </w:tcPr>
          <w:p w:rsidR="008B74C3" w:rsidP="68B40A2B" w14:paraId="7B0458EC" w14:textId="77777777">
            <w:pPr>
              <w:jc w:val="center"/>
              <w:rPr>
                <w:b/>
                <w:bCs/>
              </w:rPr>
            </w:pPr>
            <w:r>
              <w:rPr>
                <w:noProof/>
                <w:sz w:val="22"/>
                <w:szCs w:val="22"/>
              </w:rPr>
              <w:drawing>
                <wp:inline distT="0" distB="0" distL="0" distR="0">
                  <wp:extent cx="5578928" cy="820051"/>
                  <wp:effectExtent l="0" t="0" r="3175"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590783" cy="821794"/>
                          </a:xfrm>
                          <a:prstGeom prst="rect">
                            <a:avLst/>
                          </a:prstGeom>
                          <a:noFill/>
                          <a:ln>
                            <a:noFill/>
                          </a:ln>
                        </pic:spPr>
                      </pic:pic>
                    </a:graphicData>
                  </a:graphic>
                </wp:inline>
              </w:drawing>
            </w:r>
          </w:p>
          <w:p w:rsidR="00401F89" w:rsidP="68B40A2B" w14:paraId="70D458A2" w14:textId="77777777">
            <w:pPr>
              <w:jc w:val="center"/>
              <w:rPr>
                <w:b/>
                <w:bCs/>
                <w:sz w:val="28"/>
                <w:szCs w:val="28"/>
              </w:rPr>
            </w:pPr>
          </w:p>
          <w:p w:rsidR="008B74C3" w:rsidRPr="00FF105E" w:rsidP="00A133B6" w14:paraId="1D592548" w14:textId="41DD002E">
            <w:pPr>
              <w:jc w:val="center"/>
              <w:rPr>
                <w:i/>
                <w:iCs/>
              </w:rPr>
            </w:pPr>
            <w:r w:rsidRPr="68B40A2B">
              <w:rPr>
                <w:b/>
                <w:bCs/>
                <w:sz w:val="28"/>
                <w:szCs w:val="28"/>
              </w:rPr>
              <w:t xml:space="preserve">FCC </w:t>
            </w:r>
            <w:r w:rsidRPr="00A133B6" w:rsidR="00A133B6">
              <w:rPr>
                <w:b/>
                <w:bCs/>
                <w:sz w:val="28"/>
                <w:szCs w:val="28"/>
              </w:rPr>
              <w:t xml:space="preserve">Announces Tentative Agenda for </w:t>
            </w:r>
            <w:r w:rsidR="001E20E6">
              <w:rPr>
                <w:b/>
                <w:bCs/>
                <w:sz w:val="28"/>
                <w:szCs w:val="28"/>
              </w:rPr>
              <w:t>May</w:t>
            </w:r>
            <w:r w:rsidRPr="00A133B6" w:rsidR="00A133B6">
              <w:rPr>
                <w:b/>
                <w:bCs/>
                <w:sz w:val="28"/>
                <w:szCs w:val="28"/>
              </w:rPr>
              <w:t xml:space="preserve"> Open Meeting</w:t>
            </w:r>
          </w:p>
          <w:p w:rsidR="008B74C3" w:rsidP="008B74C3" w14:paraId="7FF7FA51" w14:textId="77777777">
            <w:pPr>
              <w:tabs>
                <w:tab w:val="left" w:pos="8625"/>
              </w:tabs>
              <w:jc w:val="center"/>
              <w:rPr>
                <w:i/>
                <w:color w:val="F2F2F2" w:themeColor="background1" w:themeShade="F2"/>
                <w:sz w:val="28"/>
              </w:rPr>
            </w:pPr>
            <w:r>
              <w:rPr>
                <w:b/>
                <w:bCs/>
                <w:i/>
                <w:sz w:val="28"/>
                <w:szCs w:val="32"/>
              </w:rPr>
              <w:t xml:space="preserve"> </w:t>
            </w:r>
          </w:p>
          <w:p w:rsidR="00A133B6" w:rsidRPr="001E20E6" w:rsidP="00A133B6" w14:paraId="674AFA59" w14:textId="48C84C00">
            <w:pPr>
              <w:ind w:right="-77"/>
              <w:rPr>
                <w:sz w:val="22"/>
                <w:szCs w:val="22"/>
              </w:rPr>
            </w:pPr>
            <w:r w:rsidRPr="083AF924">
              <w:rPr>
                <w:sz w:val="22"/>
                <w:szCs w:val="22"/>
              </w:rPr>
              <w:t>WASHINGTON</w:t>
            </w:r>
            <w:r>
              <w:rPr>
                <w:sz w:val="22"/>
                <w:szCs w:val="22"/>
              </w:rPr>
              <w:t xml:space="preserve">, </w:t>
            </w:r>
            <w:r w:rsidR="001E20E6">
              <w:rPr>
                <w:sz w:val="22"/>
                <w:szCs w:val="22"/>
              </w:rPr>
              <w:t>April 29</w:t>
            </w:r>
            <w:r w:rsidRPr="00A133B6">
              <w:rPr>
                <w:sz w:val="22"/>
                <w:szCs w:val="22"/>
              </w:rPr>
              <w:t xml:space="preserve">, </w:t>
            </w:r>
            <w:r w:rsidRPr="001E20E6">
              <w:rPr>
                <w:sz w:val="22"/>
                <w:szCs w:val="22"/>
              </w:rPr>
              <w:t>202</w:t>
            </w:r>
            <w:r w:rsidRPr="001E20E6" w:rsidR="001E7C5A">
              <w:rPr>
                <w:sz w:val="22"/>
                <w:szCs w:val="22"/>
              </w:rPr>
              <w:t>6</w:t>
            </w:r>
            <w:r w:rsidRPr="001E20E6">
              <w:rPr>
                <w:sz w:val="22"/>
                <w:szCs w:val="22"/>
              </w:rPr>
              <w:t xml:space="preserve">—Federal Communications Commission Chairman Brendan Carr announced that the items below are tentatively on the agenda for the </w:t>
            </w:r>
            <w:r w:rsidRPr="001E20E6" w:rsidR="001E20E6">
              <w:rPr>
                <w:sz w:val="22"/>
                <w:szCs w:val="22"/>
              </w:rPr>
              <w:t>May</w:t>
            </w:r>
            <w:r w:rsidRPr="001E20E6">
              <w:rPr>
                <w:sz w:val="22"/>
                <w:szCs w:val="22"/>
              </w:rPr>
              <w:t xml:space="preserve"> Open Commission Meeting scheduled for </w:t>
            </w:r>
            <w:r w:rsidRPr="001E20E6" w:rsidR="001E20E6">
              <w:rPr>
                <w:sz w:val="22"/>
                <w:szCs w:val="22"/>
              </w:rPr>
              <w:t>Wednesday</w:t>
            </w:r>
            <w:r w:rsidRPr="001E20E6">
              <w:rPr>
                <w:sz w:val="22"/>
                <w:szCs w:val="22"/>
              </w:rPr>
              <w:t xml:space="preserve">, </w:t>
            </w:r>
            <w:r w:rsidRPr="001E20E6" w:rsidR="001E20E6">
              <w:rPr>
                <w:sz w:val="22"/>
                <w:szCs w:val="22"/>
              </w:rPr>
              <w:t>May 20</w:t>
            </w:r>
            <w:r w:rsidRPr="001E20E6">
              <w:rPr>
                <w:sz w:val="22"/>
                <w:szCs w:val="22"/>
              </w:rPr>
              <w:t>, 202</w:t>
            </w:r>
            <w:r w:rsidRPr="001E20E6" w:rsidR="001E7C5A">
              <w:rPr>
                <w:sz w:val="22"/>
                <w:szCs w:val="22"/>
              </w:rPr>
              <w:t>6</w:t>
            </w:r>
            <w:r w:rsidRPr="001E20E6">
              <w:rPr>
                <w:sz w:val="22"/>
                <w:szCs w:val="22"/>
              </w:rPr>
              <w:t>:</w:t>
            </w:r>
          </w:p>
          <w:p w:rsidR="00A133B6" w:rsidRPr="001E20E6" w:rsidP="00A133B6" w14:paraId="42730B2A" w14:textId="77777777">
            <w:pPr>
              <w:ind w:right="-77"/>
              <w:rPr>
                <w:sz w:val="22"/>
                <w:szCs w:val="22"/>
              </w:rPr>
            </w:pPr>
          </w:p>
          <w:p w:rsidR="00A133B6" w:rsidRPr="00A133B6" w:rsidP="00024D56" w14:paraId="52801423" w14:textId="15C233A9">
            <w:pPr>
              <w:ind w:right="-77"/>
              <w:rPr>
                <w:sz w:val="22"/>
                <w:szCs w:val="22"/>
              </w:rPr>
            </w:pPr>
            <w:r w:rsidRPr="00024D56">
              <w:rPr>
                <w:b/>
                <w:bCs/>
                <w:sz w:val="22"/>
                <w:szCs w:val="22"/>
              </w:rPr>
              <w:t xml:space="preserve">Enhancing </w:t>
            </w:r>
            <w:r w:rsidRPr="00024D56">
              <w:rPr>
                <w:b/>
                <w:bCs/>
                <w:sz w:val="22"/>
                <w:szCs w:val="22"/>
              </w:rPr>
              <w:t>Know-Your-Upstream-Provider</w:t>
            </w:r>
            <w:r w:rsidR="007A73C0">
              <w:rPr>
                <w:b/>
                <w:bCs/>
                <w:sz w:val="22"/>
                <w:szCs w:val="22"/>
              </w:rPr>
              <w:t xml:space="preserve"> Requirements</w:t>
            </w:r>
            <w:r>
              <w:rPr>
                <w:sz w:val="22"/>
                <w:szCs w:val="22"/>
              </w:rPr>
              <w:t xml:space="preserve"> – </w:t>
            </w:r>
            <w:r w:rsidRPr="00024D56">
              <w:rPr>
                <w:sz w:val="22"/>
                <w:szCs w:val="22"/>
              </w:rPr>
              <w:t>The Commission will consider a Further Notice of Proposed Rulemaking that would propose to enhance the STIR/SHAKEN framework used by voice providers to combat illegal robocalls by improving know-your-upstream-provider (KYUP) requirements and oversight, raising standards for STIR/SHAKEN attestations, and closing implementation loopholes.</w:t>
            </w:r>
            <w:r>
              <w:rPr>
                <w:sz w:val="22"/>
                <w:szCs w:val="22"/>
              </w:rPr>
              <w:t xml:space="preserve"> (</w:t>
            </w:r>
            <w:r w:rsidR="00DC73A1">
              <w:rPr>
                <w:sz w:val="22"/>
                <w:szCs w:val="22"/>
              </w:rPr>
              <w:t xml:space="preserve">WC </w:t>
            </w:r>
            <w:r w:rsidRPr="00DC73A1" w:rsidR="00DC73A1">
              <w:rPr>
                <w:sz w:val="22"/>
                <w:szCs w:val="22"/>
              </w:rPr>
              <w:t>Docket</w:t>
            </w:r>
            <w:r w:rsidR="00DC73A1">
              <w:rPr>
                <w:sz w:val="22"/>
                <w:szCs w:val="22"/>
              </w:rPr>
              <w:t xml:space="preserve"> No. </w:t>
            </w:r>
            <w:r w:rsidRPr="00DC73A1" w:rsidR="00DC73A1">
              <w:rPr>
                <w:sz w:val="22"/>
                <w:szCs w:val="22"/>
              </w:rPr>
              <w:t>17-97</w:t>
            </w:r>
            <w:r w:rsidR="00DC73A1">
              <w:rPr>
                <w:sz w:val="22"/>
                <w:szCs w:val="22"/>
              </w:rPr>
              <w:t xml:space="preserve">; </w:t>
            </w:r>
            <w:r w:rsidRPr="00DC73A1" w:rsidR="00DC73A1">
              <w:rPr>
                <w:sz w:val="22"/>
                <w:szCs w:val="22"/>
              </w:rPr>
              <w:t>C</w:t>
            </w:r>
            <w:r w:rsidR="00DC73A1">
              <w:rPr>
                <w:sz w:val="22"/>
                <w:szCs w:val="22"/>
              </w:rPr>
              <w:t>G Docket No.</w:t>
            </w:r>
            <w:r w:rsidRPr="00DC73A1" w:rsidR="00DC73A1">
              <w:rPr>
                <w:sz w:val="22"/>
                <w:szCs w:val="22"/>
              </w:rPr>
              <w:t xml:space="preserve"> 17-59</w:t>
            </w:r>
            <w:r>
              <w:rPr>
                <w:sz w:val="22"/>
                <w:szCs w:val="22"/>
              </w:rPr>
              <w:t>)</w:t>
            </w:r>
          </w:p>
          <w:p w:rsidR="00A133B6" w:rsidRPr="00A133B6" w:rsidP="00A133B6" w14:paraId="1691604E" w14:textId="77777777">
            <w:pPr>
              <w:ind w:right="-77"/>
              <w:rPr>
                <w:sz w:val="22"/>
                <w:szCs w:val="22"/>
              </w:rPr>
            </w:pPr>
          </w:p>
          <w:p w:rsidR="00467EB5" w:rsidRPr="00467EB5" w:rsidP="00467EB5" w14:paraId="0C17B5F2" w14:textId="687EA1C4">
            <w:pPr>
              <w:ind w:right="-77"/>
              <w:rPr>
                <w:sz w:val="22"/>
                <w:szCs w:val="22"/>
              </w:rPr>
            </w:pPr>
            <w:r w:rsidRPr="007B5F52">
              <w:rPr>
                <w:b/>
                <w:bCs/>
                <w:sz w:val="22"/>
                <w:szCs w:val="22"/>
              </w:rPr>
              <w:t>S</w:t>
            </w:r>
            <w:r w:rsidRPr="007B5F52">
              <w:rPr>
                <w:b/>
                <w:bCs/>
                <w:sz w:val="22"/>
                <w:szCs w:val="22"/>
              </w:rPr>
              <w:t>treamlin</w:t>
            </w:r>
            <w:r>
              <w:rPr>
                <w:b/>
                <w:bCs/>
                <w:sz w:val="22"/>
                <w:szCs w:val="22"/>
              </w:rPr>
              <w:t>ing Broadband Data</w:t>
            </w:r>
            <w:r w:rsidRPr="007B5F52">
              <w:rPr>
                <w:b/>
                <w:bCs/>
                <w:sz w:val="22"/>
                <w:szCs w:val="22"/>
              </w:rPr>
              <w:t xml:space="preserve"> </w:t>
            </w:r>
            <w:r w:rsidRPr="007B5F52">
              <w:rPr>
                <w:b/>
                <w:bCs/>
                <w:sz w:val="22"/>
                <w:szCs w:val="22"/>
              </w:rPr>
              <w:t xml:space="preserve">Processes </w:t>
            </w:r>
            <w:r>
              <w:rPr>
                <w:b/>
                <w:bCs/>
                <w:sz w:val="22"/>
                <w:szCs w:val="22"/>
              </w:rPr>
              <w:t>a</w:t>
            </w:r>
            <w:r w:rsidRPr="007B5F52">
              <w:rPr>
                <w:b/>
                <w:bCs/>
                <w:sz w:val="22"/>
                <w:szCs w:val="22"/>
              </w:rPr>
              <w:t>nd Reduc</w:t>
            </w:r>
            <w:r>
              <w:rPr>
                <w:b/>
                <w:bCs/>
                <w:sz w:val="22"/>
                <w:szCs w:val="22"/>
              </w:rPr>
              <w:t>ing</w:t>
            </w:r>
            <w:r w:rsidRPr="007B5F52">
              <w:rPr>
                <w:b/>
                <w:bCs/>
                <w:sz w:val="22"/>
                <w:szCs w:val="22"/>
              </w:rPr>
              <w:t xml:space="preserve"> Unnecessary Regulatory Burden</w:t>
            </w:r>
            <w:r w:rsidRPr="007B5F52">
              <w:rPr>
                <w:b/>
                <w:bCs/>
                <w:sz w:val="22"/>
                <w:szCs w:val="22"/>
              </w:rPr>
              <w:t>s</w:t>
            </w:r>
            <w:r w:rsidRPr="00A133B6" w:rsidR="00A133B6">
              <w:rPr>
                <w:sz w:val="22"/>
                <w:szCs w:val="22"/>
              </w:rPr>
              <w:t xml:space="preserve"> –</w:t>
            </w:r>
            <w:r w:rsidRPr="00467EB5">
              <w:rPr>
                <w:sz w:val="22"/>
                <w:szCs w:val="22"/>
              </w:rPr>
              <w:t>The Commission will consider a Report and Order and Further Notice of Proposed Rulemaking that would take several steps to streamline and improve the FCC’s Broadband Data Collection (BDC).  This item would alleviate unnecessary regulatory burdens on service providers and challenge process participants by streamlining audits and verifications, improving challenge processes, and reducing regulatory burdens that add costs without a corresponding benefit to the quality of provider-reported data, all while ensuring that the data depicted on the National Broadband Map is accurate.</w:t>
            </w:r>
            <w:r>
              <w:rPr>
                <w:sz w:val="22"/>
                <w:szCs w:val="22"/>
              </w:rPr>
              <w:t xml:space="preserve"> (</w:t>
            </w:r>
            <w:r w:rsidRPr="00467EB5">
              <w:rPr>
                <w:sz w:val="22"/>
                <w:szCs w:val="22"/>
              </w:rPr>
              <w:t>WC Docket No</w:t>
            </w:r>
            <w:r>
              <w:rPr>
                <w:sz w:val="22"/>
                <w:szCs w:val="22"/>
              </w:rPr>
              <w:t>s</w:t>
            </w:r>
            <w:r w:rsidRPr="00467EB5">
              <w:rPr>
                <w:sz w:val="22"/>
                <w:szCs w:val="22"/>
              </w:rPr>
              <w:t>. 11-10</w:t>
            </w:r>
            <w:r>
              <w:rPr>
                <w:sz w:val="22"/>
                <w:szCs w:val="22"/>
              </w:rPr>
              <w:t>,</w:t>
            </w:r>
            <w:r w:rsidRPr="00467EB5">
              <w:rPr>
                <w:sz w:val="22"/>
                <w:szCs w:val="22"/>
              </w:rPr>
              <w:t xml:space="preserve"> 19-195</w:t>
            </w:r>
            <w:r>
              <w:rPr>
                <w:sz w:val="22"/>
                <w:szCs w:val="22"/>
              </w:rPr>
              <w:t xml:space="preserve">; </w:t>
            </w:r>
            <w:r w:rsidRPr="00467EB5">
              <w:rPr>
                <w:sz w:val="22"/>
                <w:szCs w:val="22"/>
              </w:rPr>
              <w:t>GN Docket No. 25-133)</w:t>
            </w:r>
          </w:p>
          <w:p w:rsidR="00A133B6" w:rsidRPr="00A133B6" w:rsidP="00A133B6" w14:paraId="3CFDBCE6" w14:textId="77777777">
            <w:pPr>
              <w:ind w:right="-77"/>
              <w:rPr>
                <w:sz w:val="22"/>
                <w:szCs w:val="22"/>
              </w:rPr>
            </w:pPr>
          </w:p>
          <w:p w:rsidR="00A133B6" w:rsidRPr="00A133B6" w:rsidP="00A133B6" w14:paraId="6D44A482" w14:textId="060DC6DE">
            <w:pPr>
              <w:ind w:right="-77"/>
              <w:rPr>
                <w:sz w:val="22"/>
                <w:szCs w:val="22"/>
              </w:rPr>
            </w:pPr>
            <w:r w:rsidRPr="00410F9F">
              <w:rPr>
                <w:b/>
                <w:bCs/>
                <w:sz w:val="22"/>
                <w:szCs w:val="22"/>
              </w:rPr>
              <w:t xml:space="preserve">Modernizing the Disaster Information Reporting System (DIRS) – </w:t>
            </w:r>
            <w:r w:rsidRPr="00410F9F">
              <w:rPr>
                <w:sz w:val="22"/>
                <w:szCs w:val="22"/>
              </w:rPr>
              <w:t>The Commission will consider a Third Report and Order to modernize DIRS by enhancing its capabilities while eliminating unnecessary reporting burdens.  These actions will provide better information to emergency managers during disasters and allow communications service providers to focus their resources on service restoration instead of redundant paperwork at times when every second counts. (PS Docket Nos. 21-346</w:t>
            </w:r>
            <w:r w:rsidR="00630086">
              <w:rPr>
                <w:sz w:val="22"/>
                <w:szCs w:val="22"/>
              </w:rPr>
              <w:t xml:space="preserve">, </w:t>
            </w:r>
            <w:r w:rsidRPr="00410F9F">
              <w:rPr>
                <w:sz w:val="22"/>
                <w:szCs w:val="22"/>
              </w:rPr>
              <w:t>15-80</w:t>
            </w:r>
            <w:r w:rsidR="00630086">
              <w:rPr>
                <w:sz w:val="22"/>
                <w:szCs w:val="22"/>
              </w:rPr>
              <w:t>;</w:t>
            </w:r>
            <w:r w:rsidRPr="00410F9F">
              <w:rPr>
                <w:sz w:val="22"/>
                <w:szCs w:val="22"/>
              </w:rPr>
              <w:t xml:space="preserve"> ET Docket No. 04-35)</w:t>
            </w:r>
          </w:p>
          <w:p w:rsidR="00A133B6" w:rsidRPr="00A133B6" w:rsidP="00A133B6" w14:paraId="7D681113" w14:textId="77777777">
            <w:pPr>
              <w:ind w:right="-77"/>
              <w:rPr>
                <w:sz w:val="22"/>
                <w:szCs w:val="22"/>
              </w:rPr>
            </w:pPr>
          </w:p>
          <w:p w:rsidR="00A133B6" w:rsidRPr="00A133B6" w:rsidP="00A133B6" w14:paraId="1C63FDDD" w14:textId="2F6F5D23">
            <w:pPr>
              <w:ind w:right="-77"/>
              <w:rPr>
                <w:sz w:val="22"/>
                <w:szCs w:val="22"/>
              </w:rPr>
            </w:pPr>
            <w:r>
              <w:rPr>
                <w:b/>
                <w:bCs/>
                <w:sz w:val="22"/>
                <w:szCs w:val="22"/>
              </w:rPr>
              <w:t>Launching</w:t>
            </w:r>
            <w:r w:rsidRPr="006E1ACB" w:rsidR="006E1ACB">
              <w:rPr>
                <w:b/>
                <w:bCs/>
                <w:sz w:val="22"/>
                <w:szCs w:val="22"/>
              </w:rPr>
              <w:t xml:space="preserve"> </w:t>
            </w:r>
            <w:r w:rsidR="006E1ACB">
              <w:rPr>
                <w:b/>
                <w:bCs/>
                <w:sz w:val="22"/>
                <w:szCs w:val="22"/>
              </w:rPr>
              <w:t>‘</w:t>
            </w:r>
            <w:r w:rsidRPr="006E1ACB" w:rsidR="006E1ACB">
              <w:rPr>
                <w:b/>
                <w:bCs/>
                <w:sz w:val="22"/>
                <w:szCs w:val="22"/>
              </w:rPr>
              <w:t>High-Cost</w:t>
            </w:r>
            <w:r w:rsidR="006E1ACB">
              <w:rPr>
                <w:b/>
                <w:bCs/>
                <w:sz w:val="22"/>
                <w:szCs w:val="22"/>
              </w:rPr>
              <w:t>’ Program</w:t>
            </w:r>
            <w:r>
              <w:rPr>
                <w:b/>
                <w:bCs/>
                <w:sz w:val="22"/>
                <w:szCs w:val="22"/>
              </w:rPr>
              <w:t xml:space="preserve"> Initiative</w:t>
            </w:r>
            <w:r w:rsidRPr="00A133B6">
              <w:rPr>
                <w:sz w:val="22"/>
                <w:szCs w:val="22"/>
              </w:rPr>
              <w:t xml:space="preserve"> – </w:t>
            </w:r>
            <w:r w:rsidRPr="00E11CC6" w:rsidR="00E11CC6">
              <w:rPr>
                <w:sz w:val="22"/>
                <w:szCs w:val="22"/>
              </w:rPr>
              <w:t xml:space="preserve">The Commission will consider a Notice of Proposed Rulemaking seeking comment on how a High-Cost Modernization initiative could best ensure that all Americans, particularly those in rural areas, have access to next-generation services in an ever-changing </w:t>
            </w:r>
            <w:r w:rsidR="00630086">
              <w:rPr>
                <w:sz w:val="22"/>
                <w:szCs w:val="22"/>
              </w:rPr>
              <w:t>environment.</w:t>
            </w:r>
            <w:r w:rsidRPr="00E11CC6" w:rsidR="00E11CC6">
              <w:rPr>
                <w:sz w:val="22"/>
                <w:szCs w:val="22"/>
              </w:rPr>
              <w:t xml:space="preserve"> (WC Docket Nos. 26-96, 10-90)</w:t>
            </w:r>
          </w:p>
          <w:p w:rsidR="00A133B6" w:rsidRPr="00A133B6" w:rsidP="00A133B6" w14:paraId="430ED9C8" w14:textId="77777777">
            <w:pPr>
              <w:ind w:right="-77"/>
              <w:rPr>
                <w:sz w:val="22"/>
                <w:szCs w:val="22"/>
              </w:rPr>
            </w:pPr>
          </w:p>
          <w:p w:rsidR="00A133B6" w:rsidRPr="00A133B6" w:rsidP="00A133B6" w14:paraId="2BC5A6F9" w14:textId="1DFD3198">
            <w:pPr>
              <w:ind w:right="-77"/>
              <w:rPr>
                <w:sz w:val="22"/>
                <w:szCs w:val="22"/>
              </w:rPr>
            </w:pPr>
            <w:r w:rsidRPr="00A133B6">
              <w:rPr>
                <w:sz w:val="22"/>
                <w:szCs w:val="22"/>
              </w:rPr>
              <w:t xml:space="preserve">Public Drafts of Meeting Items – The FCC publicly releases the draft text of each item expected to be considered at the next Open Commission Meeting.  One-page cover sheets are included in the public drafts to help summarize each item.  All these materials will be available on the FCC’s Open Meeting page: www.fcc.gov/openmeeting.  </w:t>
            </w:r>
          </w:p>
          <w:p w:rsidR="00A133B6" w:rsidRPr="00A133B6" w:rsidP="00A133B6" w14:paraId="58A365B6" w14:textId="77777777">
            <w:pPr>
              <w:ind w:right="-77"/>
              <w:rPr>
                <w:sz w:val="22"/>
                <w:szCs w:val="22"/>
              </w:rPr>
            </w:pPr>
          </w:p>
          <w:p w:rsidR="00A133B6" w:rsidRPr="00A133B6" w:rsidP="00A133B6" w14:paraId="0F81ED5B" w14:textId="77777777">
            <w:pPr>
              <w:ind w:right="-77"/>
              <w:rPr>
                <w:sz w:val="22"/>
                <w:szCs w:val="22"/>
              </w:rPr>
            </w:pPr>
            <w:r w:rsidRPr="00A133B6">
              <w:rPr>
                <w:sz w:val="22"/>
                <w:szCs w:val="22"/>
              </w:rPr>
              <w:t xml:space="preserve">Public Attendance – The Open Meeting is scheduled to commence at 10:30 a.m. ET in the Commission Meeting Room of the Federal Communications Commission, 45 L Street, N.E., Washington, D.C.  While the Open Meeting is open to the public, the FCC headquarters building </w:t>
            </w:r>
            <w:r w:rsidRPr="00A133B6">
              <w:rPr>
                <w:sz w:val="22"/>
                <w:szCs w:val="22"/>
              </w:rPr>
              <w:t>is not</w:t>
            </w:r>
            <w:r w:rsidRPr="00A133B6">
              <w:rPr>
                <w:sz w:val="22"/>
                <w:szCs w:val="22"/>
              </w:rPr>
              <w:t xml:space="preserve"> open access, and all guests must check in with and be screened by FCC security at the main entrance on L Street.  Attendees at the Open Meeting will not be required to have an appointment </w:t>
            </w:r>
            <w:r w:rsidRPr="00A133B6">
              <w:rPr>
                <w:sz w:val="22"/>
                <w:szCs w:val="22"/>
              </w:rPr>
              <w:t xml:space="preserve">but must otherwise comply with protocols outlined at: </w:t>
            </w:r>
            <w:hyperlink r:id="rId6" w:history="1">
              <w:r w:rsidRPr="005C5FDC">
                <w:rPr>
                  <w:rStyle w:val="Hyperlink"/>
                  <w:sz w:val="22"/>
                  <w:szCs w:val="22"/>
                </w:rPr>
                <w:t>https://www.fcc.gov/visit</w:t>
              </w:r>
            </w:hyperlink>
            <w:r w:rsidRPr="00A133B6">
              <w:rPr>
                <w:sz w:val="22"/>
                <w:szCs w:val="22"/>
              </w:rPr>
              <w:t>.</w:t>
            </w:r>
            <w:r>
              <w:rPr>
                <w:sz w:val="22"/>
                <w:szCs w:val="22"/>
              </w:rPr>
              <w:t xml:space="preserve"> </w:t>
            </w:r>
            <w:r w:rsidRPr="00A133B6">
              <w:rPr>
                <w:sz w:val="22"/>
                <w:szCs w:val="22"/>
              </w:rPr>
              <w:t xml:space="preserve"> Open Meetings are streamed live at </w:t>
            </w:r>
            <w:hyperlink r:id="rId7" w:history="1">
              <w:r w:rsidRPr="005C5FDC">
                <w:rPr>
                  <w:rStyle w:val="Hyperlink"/>
                  <w:sz w:val="22"/>
                  <w:szCs w:val="22"/>
                </w:rPr>
                <w:t>www.fcc.gov/live</w:t>
              </w:r>
            </w:hyperlink>
            <w:r w:rsidRPr="00A133B6">
              <w:rPr>
                <w:sz w:val="22"/>
                <w:szCs w:val="22"/>
              </w:rPr>
              <w:t>.</w:t>
            </w:r>
          </w:p>
          <w:p w:rsidR="00A133B6" w:rsidRPr="00A133B6" w:rsidP="00A133B6" w14:paraId="067B87AA" w14:textId="77777777">
            <w:pPr>
              <w:ind w:right="-77"/>
              <w:rPr>
                <w:sz w:val="22"/>
                <w:szCs w:val="22"/>
              </w:rPr>
            </w:pPr>
          </w:p>
          <w:p w:rsidR="006D748C" w:rsidP="00A133B6" w14:paraId="4C1042CC" w14:textId="77777777">
            <w:pPr>
              <w:ind w:right="-77"/>
              <w:rPr>
                <w:sz w:val="22"/>
                <w:szCs w:val="22"/>
              </w:rPr>
            </w:pPr>
            <w:r w:rsidRPr="00A133B6">
              <w:rPr>
                <w:sz w:val="22"/>
                <w:szCs w:val="22"/>
              </w:rPr>
              <w:t xml:space="preserve">Press Access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8" w:history="1">
              <w:r w:rsidRPr="005C5FDC">
                <w:rPr>
                  <w:rStyle w:val="Hyperlink"/>
                  <w:sz w:val="22"/>
                  <w:szCs w:val="22"/>
                </w:rPr>
                <w:t>MediaRelations@fcc.gov</w:t>
              </w:r>
            </w:hyperlink>
            <w:r w:rsidRPr="00A133B6">
              <w:rPr>
                <w:sz w:val="22"/>
                <w:szCs w:val="22"/>
              </w:rPr>
              <w:t>.</w:t>
            </w:r>
            <w:r>
              <w:rPr>
                <w:sz w:val="22"/>
                <w:szCs w:val="22"/>
              </w:rPr>
              <w:t xml:space="preserve"> </w:t>
            </w:r>
            <w:r w:rsidRPr="00A133B6">
              <w:rPr>
                <w:sz w:val="22"/>
                <w:szCs w:val="22"/>
              </w:rPr>
              <w:t xml:space="preserve"> Questions about credentialing should be directed to OMR.</w:t>
            </w:r>
          </w:p>
          <w:p w:rsidR="008746AF" w:rsidRPr="002E165B" w:rsidP="008746AF" w14:paraId="26DF753C" w14:textId="77777777">
            <w:pPr>
              <w:rPr>
                <w:sz w:val="22"/>
                <w:szCs w:val="22"/>
              </w:rPr>
            </w:pPr>
          </w:p>
          <w:p w:rsidR="004F0F1F" w:rsidRPr="007475A1" w:rsidP="00850E26" w14:paraId="65A15291" w14:textId="77777777">
            <w:pPr>
              <w:ind w:right="72"/>
              <w:jc w:val="center"/>
              <w:rPr>
                <w:sz w:val="22"/>
                <w:szCs w:val="22"/>
              </w:rPr>
            </w:pPr>
            <w:r w:rsidRPr="007475A1">
              <w:rPr>
                <w:sz w:val="22"/>
                <w:szCs w:val="22"/>
              </w:rPr>
              <w:t>###</w:t>
            </w:r>
          </w:p>
          <w:p w:rsidR="00104B0D" w:rsidRPr="00104B0D" w:rsidP="00104B0D" w14:paraId="78E9615C" w14:textId="77777777">
            <w:pPr>
              <w:ind w:right="72"/>
              <w:jc w:val="center"/>
              <w:rPr>
                <w:b/>
                <w:bCs/>
                <w:sz w:val="22"/>
                <w:szCs w:val="22"/>
              </w:rPr>
            </w:pPr>
            <w:r w:rsidRPr="00104B0D">
              <w:rPr>
                <w:b/>
                <w:bCs/>
                <w:sz w:val="22"/>
                <w:szCs w:val="22"/>
              </w:rPr>
              <w:br/>
              <w:t>Media Contact: MediaRelations@fcc.gov / (202) 418-0500</w:t>
            </w:r>
          </w:p>
          <w:p w:rsidR="00FF105E" w:rsidRPr="00104B0D" w:rsidP="00A547BF" w14:paraId="2C48FAB6"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18B31BE3"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3FA9"/>
    <w:rsid w:val="00012186"/>
    <w:rsid w:val="00013E6B"/>
    <w:rsid w:val="00014F48"/>
    <w:rsid w:val="00024D56"/>
    <w:rsid w:val="0002500C"/>
    <w:rsid w:val="000311FC"/>
    <w:rsid w:val="00040127"/>
    <w:rsid w:val="00046988"/>
    <w:rsid w:val="00061904"/>
    <w:rsid w:val="00065E2D"/>
    <w:rsid w:val="00081232"/>
    <w:rsid w:val="00091E65"/>
    <w:rsid w:val="00096D4A"/>
    <w:rsid w:val="000A10EC"/>
    <w:rsid w:val="000A3783"/>
    <w:rsid w:val="000A38E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733A6"/>
    <w:rsid w:val="0018145A"/>
    <w:rsid w:val="001865A9"/>
    <w:rsid w:val="00187DB2"/>
    <w:rsid w:val="001B030B"/>
    <w:rsid w:val="001B20BB"/>
    <w:rsid w:val="001C4370"/>
    <w:rsid w:val="001D3779"/>
    <w:rsid w:val="001E20E6"/>
    <w:rsid w:val="001E7C5A"/>
    <w:rsid w:val="001F0469"/>
    <w:rsid w:val="001F209C"/>
    <w:rsid w:val="00202EF3"/>
    <w:rsid w:val="00203A98"/>
    <w:rsid w:val="00206EDD"/>
    <w:rsid w:val="0021247E"/>
    <w:rsid w:val="002146F6"/>
    <w:rsid w:val="00231C32"/>
    <w:rsid w:val="00240345"/>
    <w:rsid w:val="002421F0"/>
    <w:rsid w:val="00247274"/>
    <w:rsid w:val="00266966"/>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6739"/>
    <w:rsid w:val="0031773E"/>
    <w:rsid w:val="003230CE"/>
    <w:rsid w:val="00333871"/>
    <w:rsid w:val="003427CE"/>
    <w:rsid w:val="00347716"/>
    <w:rsid w:val="003506E1"/>
    <w:rsid w:val="00353B95"/>
    <w:rsid w:val="003727E3"/>
    <w:rsid w:val="00374AE5"/>
    <w:rsid w:val="0037558A"/>
    <w:rsid w:val="00382631"/>
    <w:rsid w:val="00385A93"/>
    <w:rsid w:val="003910F1"/>
    <w:rsid w:val="003B4268"/>
    <w:rsid w:val="003D5DCE"/>
    <w:rsid w:val="003D7499"/>
    <w:rsid w:val="003E42FC"/>
    <w:rsid w:val="003E5991"/>
    <w:rsid w:val="003F2135"/>
    <w:rsid w:val="003F344A"/>
    <w:rsid w:val="003F591F"/>
    <w:rsid w:val="00401F89"/>
    <w:rsid w:val="00403FF0"/>
    <w:rsid w:val="00410F9F"/>
    <w:rsid w:val="0041464A"/>
    <w:rsid w:val="0042046D"/>
    <w:rsid w:val="0042116E"/>
    <w:rsid w:val="00424B52"/>
    <w:rsid w:val="00425AEF"/>
    <w:rsid w:val="00426518"/>
    <w:rsid w:val="00427B06"/>
    <w:rsid w:val="004371FA"/>
    <w:rsid w:val="00441F59"/>
    <w:rsid w:val="00444E07"/>
    <w:rsid w:val="00444FA9"/>
    <w:rsid w:val="00467EB5"/>
    <w:rsid w:val="00473E9C"/>
    <w:rsid w:val="00474016"/>
    <w:rsid w:val="004745B2"/>
    <w:rsid w:val="00480099"/>
    <w:rsid w:val="004941A2"/>
    <w:rsid w:val="00497858"/>
    <w:rsid w:val="004A729A"/>
    <w:rsid w:val="004B2FB3"/>
    <w:rsid w:val="004B3FA9"/>
    <w:rsid w:val="004B4FEA"/>
    <w:rsid w:val="004C0ADA"/>
    <w:rsid w:val="004C3057"/>
    <w:rsid w:val="004C433E"/>
    <w:rsid w:val="004C4512"/>
    <w:rsid w:val="004C4F36"/>
    <w:rsid w:val="004D3D85"/>
    <w:rsid w:val="004E2BD8"/>
    <w:rsid w:val="004F0F1F"/>
    <w:rsid w:val="00500E42"/>
    <w:rsid w:val="005022AA"/>
    <w:rsid w:val="00504845"/>
    <w:rsid w:val="0050757F"/>
    <w:rsid w:val="0051333C"/>
    <w:rsid w:val="00516AD2"/>
    <w:rsid w:val="005337D4"/>
    <w:rsid w:val="00545DAE"/>
    <w:rsid w:val="00571B83"/>
    <w:rsid w:val="00574BE5"/>
    <w:rsid w:val="00575A00"/>
    <w:rsid w:val="00586417"/>
    <w:rsid w:val="0058673C"/>
    <w:rsid w:val="00594504"/>
    <w:rsid w:val="005A14C1"/>
    <w:rsid w:val="005A7972"/>
    <w:rsid w:val="005B0B66"/>
    <w:rsid w:val="005B17E7"/>
    <w:rsid w:val="005B2643"/>
    <w:rsid w:val="005C5FDC"/>
    <w:rsid w:val="005D17FD"/>
    <w:rsid w:val="005E2CB0"/>
    <w:rsid w:val="005F0D55"/>
    <w:rsid w:val="005F183E"/>
    <w:rsid w:val="00600DDA"/>
    <w:rsid w:val="00603A30"/>
    <w:rsid w:val="00604211"/>
    <w:rsid w:val="00613498"/>
    <w:rsid w:val="00617B94"/>
    <w:rsid w:val="00620BED"/>
    <w:rsid w:val="00626FFF"/>
    <w:rsid w:val="00630086"/>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1ACB"/>
    <w:rsid w:val="006E4A76"/>
    <w:rsid w:val="006F1DBD"/>
    <w:rsid w:val="00700556"/>
    <w:rsid w:val="0070589A"/>
    <w:rsid w:val="007167DD"/>
    <w:rsid w:val="007178C6"/>
    <w:rsid w:val="0072478B"/>
    <w:rsid w:val="0073414D"/>
    <w:rsid w:val="007475A1"/>
    <w:rsid w:val="00750A11"/>
    <w:rsid w:val="0075235E"/>
    <w:rsid w:val="007528A5"/>
    <w:rsid w:val="00755DB6"/>
    <w:rsid w:val="007732CC"/>
    <w:rsid w:val="00774079"/>
    <w:rsid w:val="0077752B"/>
    <w:rsid w:val="007926F8"/>
    <w:rsid w:val="00793D6F"/>
    <w:rsid w:val="00794090"/>
    <w:rsid w:val="007A44F8"/>
    <w:rsid w:val="007A73C0"/>
    <w:rsid w:val="007B41C7"/>
    <w:rsid w:val="007B5F52"/>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746AF"/>
    <w:rsid w:val="008824C2"/>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27B09"/>
    <w:rsid w:val="0093373C"/>
    <w:rsid w:val="00933977"/>
    <w:rsid w:val="0094460B"/>
    <w:rsid w:val="00947BF0"/>
    <w:rsid w:val="00954C62"/>
    <w:rsid w:val="00961620"/>
    <w:rsid w:val="00966815"/>
    <w:rsid w:val="009734B6"/>
    <w:rsid w:val="0098096F"/>
    <w:rsid w:val="0098437A"/>
    <w:rsid w:val="00986C92"/>
    <w:rsid w:val="00993C47"/>
    <w:rsid w:val="009972BC"/>
    <w:rsid w:val="009B07DE"/>
    <w:rsid w:val="009B4B16"/>
    <w:rsid w:val="009B7F2E"/>
    <w:rsid w:val="009D2BF9"/>
    <w:rsid w:val="009E54A1"/>
    <w:rsid w:val="009E5F77"/>
    <w:rsid w:val="009F0DAE"/>
    <w:rsid w:val="009F4E25"/>
    <w:rsid w:val="009F5B1F"/>
    <w:rsid w:val="00A133B6"/>
    <w:rsid w:val="00A225A9"/>
    <w:rsid w:val="00A3308E"/>
    <w:rsid w:val="00A35757"/>
    <w:rsid w:val="00A35DFD"/>
    <w:rsid w:val="00A441E5"/>
    <w:rsid w:val="00A50722"/>
    <w:rsid w:val="00A547BF"/>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7131"/>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F2BDA"/>
    <w:rsid w:val="00C0698F"/>
    <w:rsid w:val="00C31ED8"/>
    <w:rsid w:val="00C321B1"/>
    <w:rsid w:val="00C432E4"/>
    <w:rsid w:val="00C45ADA"/>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C73A1"/>
    <w:rsid w:val="00DD1750"/>
    <w:rsid w:val="00DD6C13"/>
    <w:rsid w:val="00E020F1"/>
    <w:rsid w:val="00E11CC6"/>
    <w:rsid w:val="00E17C8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439B3"/>
    <w:rsid w:val="00F5023C"/>
    <w:rsid w:val="00F50D25"/>
    <w:rsid w:val="00F535D8"/>
    <w:rsid w:val="00F61155"/>
    <w:rsid w:val="00F708E3"/>
    <w:rsid w:val="00F73D78"/>
    <w:rsid w:val="00F76561"/>
    <w:rsid w:val="00F84736"/>
    <w:rsid w:val="00F93569"/>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3935550"/>
  <w15:docId w15:val="{F718236C-02A7-4DD7-83D0-8A1DD0B63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s://www.fcc.gov/visit" TargetMode="External" /><Relationship Id="rId7" Type="http://schemas.openxmlformats.org/officeDocument/2006/relationships/hyperlink" Target="http://www.fcc.gov/live" TargetMode="External" /><Relationship Id="rId8" Type="http://schemas.openxmlformats.org/officeDocument/2006/relationships/hyperlink" Target="mailto:MediaRelations@fcc.gov" TargetMode="External" /><Relationship Id="rId9" Type="http://schemas.openxmlformats.org/officeDocument/2006/relationships/theme" Target="theme/theme1.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Tentative%20Agenda%20Notice.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Tentative Agenda Notice</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