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tbl>
      <w:tblPr>
        <w:tblW w:w="9104" w:type="dxa"/>
        <w:tblLook w:val="0000"/>
      </w:tblPr>
      <w:tblGrid>
        <w:gridCol w:w="9104"/>
      </w:tblGrid>
      <w:tr w14:paraId="5AE139B1" w14:textId="77777777" w:rsidTr="329E6251">
        <w:tblPrEx>
          <w:tblW w:w="9104" w:type="dxa"/>
          <w:tblLook w:val="0000"/>
        </w:tblPrEx>
        <w:trPr>
          <w:trHeight w:val="2181"/>
        </w:trPr>
        <w:tc>
          <w:tcPr>
            <w:tcW w:w="9104" w:type="dxa"/>
          </w:tcPr>
          <w:p w:rsidR="008B74C3" w:rsidP="68B40A2B" w14:paraId="0F12F00C" w14:textId="77777777">
            <w:pPr>
              <w:jc w:val="center"/>
              <w:rPr>
                <w:b/>
                <w:bCs/>
              </w:rPr>
            </w:pPr>
            <w:r>
              <w:rPr>
                <w:noProof/>
              </w:rPr>
              <w:drawing>
                <wp:inline distT="0" distB="0" distL="0" distR="0">
                  <wp:extent cx="5644243" cy="829703"/>
                  <wp:effectExtent l="0" t="0" r="0" b="8890"/>
                  <wp:docPr id="1" name="Picture 1" descr="News from the Federal Communications Commi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xmlns:r="http://schemas.openxmlformats.org/officeDocument/2006/relationships" r:embed="rId4">
                            <a:extLst>
                              <a:ext xmlns:a="http://schemas.openxmlformats.org/drawingml/2006/main" uri="{28A0092B-C50C-407E-A947-70E740481C1C}">
                                <a14:useLocalDpi xmlns:a14="http://schemas.microsoft.com/office/drawing/2010/main" val="0"/>
                              </a:ext>
                            </a:extLst>
                          </a:blip>
                          <a:stretch>
                            <a:fillRect/>
                          </a:stretch>
                        </pic:blipFill>
                        <pic:spPr>
                          <a:xfrm>
                            <a:off x="0" y="0"/>
                            <a:ext cx="5687297" cy="836032"/>
                          </a:xfrm>
                          <a:prstGeom prst="rect">
                            <a:avLst/>
                          </a:prstGeom>
                        </pic:spPr>
                      </pic:pic>
                    </a:graphicData>
                  </a:graphic>
                </wp:inline>
              </w:drawing>
            </w:r>
          </w:p>
          <w:p w:rsidR="00401F89" w:rsidP="68B40A2B" w14:paraId="648FC87C" w14:textId="77777777">
            <w:pPr>
              <w:jc w:val="center"/>
              <w:rPr>
                <w:b/>
                <w:bCs/>
                <w:sz w:val="28"/>
                <w:szCs w:val="28"/>
              </w:rPr>
            </w:pPr>
          </w:p>
          <w:p w:rsidR="0026096D" w:rsidP="0026096D" w14:paraId="083754F7" w14:textId="3BF947FA">
            <w:pPr>
              <w:spacing w:after="120"/>
              <w:jc w:val="center"/>
              <w:rPr>
                <w:b/>
                <w:bCs/>
                <w:sz w:val="28"/>
                <w:szCs w:val="28"/>
              </w:rPr>
            </w:pPr>
            <w:bookmarkStart w:id="0" w:name="_Hlk212536837"/>
            <w:r w:rsidRPr="68B40A2B">
              <w:rPr>
                <w:b/>
                <w:bCs/>
                <w:sz w:val="28"/>
                <w:szCs w:val="28"/>
              </w:rPr>
              <w:t xml:space="preserve">FCC </w:t>
            </w:r>
            <w:r w:rsidR="00E4628B">
              <w:rPr>
                <w:b/>
                <w:bCs/>
                <w:sz w:val="28"/>
                <w:szCs w:val="28"/>
              </w:rPr>
              <w:t>Adopts</w:t>
            </w:r>
            <w:r>
              <w:rPr>
                <w:b/>
                <w:bCs/>
                <w:sz w:val="28"/>
                <w:szCs w:val="28"/>
              </w:rPr>
              <w:t xml:space="preserve"> Groundbreaking </w:t>
            </w:r>
            <w:r w:rsidR="00E4628B">
              <w:rPr>
                <w:b/>
                <w:bCs/>
                <w:sz w:val="28"/>
                <w:szCs w:val="28"/>
              </w:rPr>
              <w:t xml:space="preserve">Overhaul </w:t>
            </w:r>
            <w:r>
              <w:rPr>
                <w:b/>
                <w:bCs/>
                <w:sz w:val="28"/>
                <w:szCs w:val="28"/>
              </w:rPr>
              <w:t>of Space Bureau</w:t>
            </w:r>
            <w:r w:rsidR="00C15ACF">
              <w:rPr>
                <w:b/>
                <w:bCs/>
                <w:sz w:val="28"/>
                <w:szCs w:val="28"/>
              </w:rPr>
              <w:t xml:space="preserve">’s </w:t>
            </w:r>
            <w:r w:rsidR="00D662EB">
              <w:rPr>
                <w:b/>
                <w:bCs/>
                <w:sz w:val="28"/>
                <w:szCs w:val="28"/>
              </w:rPr>
              <w:t>Licensing</w:t>
            </w:r>
            <w:r>
              <w:rPr>
                <w:b/>
                <w:bCs/>
                <w:sz w:val="28"/>
                <w:szCs w:val="28"/>
              </w:rPr>
              <w:t xml:space="preserve"> Process</w:t>
            </w:r>
          </w:p>
          <w:bookmarkEnd w:id="0"/>
          <w:p w:rsidR="0026096D" w:rsidRPr="00FF105E" w:rsidP="0026096D" w14:paraId="4DC34E8A" w14:textId="222719E7">
            <w:pPr>
              <w:jc w:val="center"/>
              <w:rPr>
                <w:i/>
                <w:iCs/>
              </w:rPr>
            </w:pPr>
            <w:r>
              <w:rPr>
                <w:i/>
                <w:iCs/>
              </w:rPr>
              <w:t>A New</w:t>
            </w:r>
            <w:r w:rsidR="00116872">
              <w:rPr>
                <w:i/>
                <w:iCs/>
              </w:rPr>
              <w:t xml:space="preserve"> </w:t>
            </w:r>
            <w:r>
              <w:rPr>
                <w:i/>
                <w:iCs/>
              </w:rPr>
              <w:t xml:space="preserve">‘Licensing Assembly Line’ </w:t>
            </w:r>
            <w:r>
              <w:rPr>
                <w:i/>
                <w:iCs/>
              </w:rPr>
              <w:t xml:space="preserve">Will </w:t>
            </w:r>
            <w:r>
              <w:rPr>
                <w:i/>
                <w:iCs/>
              </w:rPr>
              <w:t>Support the Dynamic Space Economy</w:t>
            </w:r>
          </w:p>
          <w:p w:rsidR="0026096D" w:rsidP="0026096D" w14:paraId="58A8D08F" w14:textId="77777777">
            <w:pPr>
              <w:tabs>
                <w:tab w:val="left" w:pos="8625"/>
              </w:tabs>
              <w:jc w:val="center"/>
              <w:rPr>
                <w:i/>
                <w:color w:val="F2F2F2" w:themeColor="background1" w:themeShade="F2"/>
                <w:sz w:val="28"/>
              </w:rPr>
            </w:pPr>
            <w:r>
              <w:rPr>
                <w:b/>
                <w:bCs/>
                <w:i/>
                <w:sz w:val="28"/>
                <w:szCs w:val="32"/>
              </w:rPr>
              <w:t xml:space="preserve">  </w:t>
            </w:r>
            <w:r>
              <w:rPr>
                <w:b/>
                <w:bCs/>
                <w:i/>
                <w:color w:val="F2F2F2" w:themeColor="background1" w:themeShade="F2"/>
                <w:sz w:val="28"/>
                <w:szCs w:val="32"/>
              </w:rPr>
              <w:t xml:space="preserve"> </w:t>
            </w:r>
          </w:p>
          <w:p w:rsidR="00E4628B" w:rsidP="00E4628B" w14:paraId="0EAC1702" w14:textId="5B8A6809">
            <w:pPr>
              <w:ind w:right="-77"/>
              <w:rPr>
                <w:sz w:val="22"/>
                <w:szCs w:val="22"/>
              </w:rPr>
            </w:pPr>
            <w:r w:rsidRPr="083AF924">
              <w:rPr>
                <w:sz w:val="22"/>
                <w:szCs w:val="22"/>
              </w:rPr>
              <w:t xml:space="preserve">WASHINGTON, </w:t>
            </w:r>
            <w:r>
              <w:rPr>
                <w:sz w:val="22"/>
                <w:szCs w:val="22"/>
              </w:rPr>
              <w:t>July 22</w:t>
            </w:r>
            <w:r w:rsidRPr="006D748C">
              <w:rPr>
                <w:sz w:val="22"/>
                <w:szCs w:val="22"/>
              </w:rPr>
              <w:t>, 202</w:t>
            </w:r>
            <w:r>
              <w:rPr>
                <w:sz w:val="22"/>
                <w:szCs w:val="22"/>
              </w:rPr>
              <w:t>6</w:t>
            </w:r>
            <w:r w:rsidRPr="006D748C">
              <w:rPr>
                <w:sz w:val="22"/>
                <w:szCs w:val="22"/>
              </w:rPr>
              <w:t>—</w:t>
            </w:r>
            <w:r>
              <w:rPr>
                <w:sz w:val="22"/>
                <w:szCs w:val="22"/>
              </w:rPr>
              <w:t>In a landmark decision marking the latest Trump Administration win for American space superiority</w:t>
            </w:r>
            <w:r w:rsidR="00116872">
              <w:rPr>
                <w:sz w:val="22"/>
                <w:szCs w:val="22"/>
              </w:rPr>
              <w:t>, the Federal Communications Commission</w:t>
            </w:r>
            <w:r w:rsidR="00B45138">
              <w:rPr>
                <w:sz w:val="22"/>
                <w:szCs w:val="22"/>
              </w:rPr>
              <w:t xml:space="preserve"> voted to overhaul and modernize the Commission’s space and earth </w:t>
            </w:r>
            <w:r w:rsidR="001C0569">
              <w:rPr>
                <w:sz w:val="22"/>
                <w:szCs w:val="22"/>
              </w:rPr>
              <w:t xml:space="preserve">station </w:t>
            </w:r>
            <w:r w:rsidR="00EE1314">
              <w:rPr>
                <w:sz w:val="22"/>
                <w:szCs w:val="22"/>
              </w:rPr>
              <w:t xml:space="preserve">licensing process. </w:t>
            </w:r>
            <w:r w:rsidR="003D24BF">
              <w:rPr>
                <w:sz w:val="22"/>
                <w:szCs w:val="22"/>
              </w:rPr>
              <w:t xml:space="preserve"> </w:t>
            </w:r>
            <w:r w:rsidRPr="329E6251">
              <w:rPr>
                <w:sz w:val="22"/>
                <w:szCs w:val="22"/>
              </w:rPr>
              <w:t>Th</w:t>
            </w:r>
            <w:r>
              <w:rPr>
                <w:sz w:val="22"/>
                <w:szCs w:val="22"/>
              </w:rPr>
              <w:t>ese</w:t>
            </w:r>
            <w:r w:rsidRPr="329E6251">
              <w:rPr>
                <w:sz w:val="22"/>
                <w:szCs w:val="22"/>
              </w:rPr>
              <w:t xml:space="preserve"> </w:t>
            </w:r>
            <w:r>
              <w:rPr>
                <w:sz w:val="22"/>
                <w:szCs w:val="22"/>
              </w:rPr>
              <w:t>signature reforms put</w:t>
            </w:r>
            <w:r w:rsidRPr="329E6251">
              <w:rPr>
                <w:sz w:val="22"/>
                <w:szCs w:val="22"/>
              </w:rPr>
              <w:t xml:space="preserve"> into action the Commission’s long-term vision for accelerating the Space Bureau’s work.</w:t>
            </w:r>
          </w:p>
          <w:p w:rsidR="00E4628B" w:rsidP="0026096D" w14:paraId="6860B0F0" w14:textId="77777777">
            <w:pPr>
              <w:ind w:right="-77"/>
              <w:rPr>
                <w:sz w:val="22"/>
                <w:szCs w:val="22"/>
              </w:rPr>
            </w:pPr>
          </w:p>
          <w:p w:rsidR="0026096D" w:rsidP="0026096D" w14:paraId="5F55E247" w14:textId="37A1868E">
            <w:pPr>
              <w:ind w:right="-77"/>
              <w:rPr>
                <w:sz w:val="22"/>
                <w:szCs w:val="22"/>
              </w:rPr>
            </w:pPr>
            <w:r>
              <w:rPr>
                <w:sz w:val="22"/>
                <w:szCs w:val="22"/>
              </w:rPr>
              <w:t>In roughly 18 months, the Commission began and finished a systematic regulatory overhaul of industry</w:t>
            </w:r>
            <w:r w:rsidR="00BF01DF">
              <w:rPr>
                <w:sz w:val="22"/>
                <w:szCs w:val="22"/>
              </w:rPr>
              <w:t>-</w:t>
            </w:r>
            <w:r>
              <w:rPr>
                <w:sz w:val="22"/>
                <w:szCs w:val="22"/>
              </w:rPr>
              <w:t xml:space="preserve">wide regulations.  Instead of adjusting its regulations around the edges, the Commission proposed to discard the legacy Part 25 rules in their entirety and instead rebuild its rules from first principles through a new Part 100.  The speed and ambition at which the Commission executed these reforms is historically unprecedented within the federal government and something many have considered unimaginable.  The new rules promise to massively </w:t>
            </w:r>
            <w:r w:rsidRPr="329E6251">
              <w:rPr>
                <w:sz w:val="22"/>
                <w:szCs w:val="22"/>
              </w:rPr>
              <w:t xml:space="preserve">accelerate </w:t>
            </w:r>
            <w:r w:rsidRPr="329E6251" w:rsidR="003152BF">
              <w:rPr>
                <w:sz w:val="22"/>
                <w:szCs w:val="22"/>
              </w:rPr>
              <w:t xml:space="preserve">space </w:t>
            </w:r>
            <w:r w:rsidRPr="329E6251">
              <w:rPr>
                <w:sz w:val="22"/>
                <w:szCs w:val="22"/>
              </w:rPr>
              <w:t xml:space="preserve">and earth station licensing, </w:t>
            </w:r>
            <w:r w:rsidRPr="329E6251" w:rsidR="00AA4316">
              <w:rPr>
                <w:sz w:val="22"/>
                <w:szCs w:val="22"/>
              </w:rPr>
              <w:t xml:space="preserve">create a faster, more predictable “licensing assembly line,” enhance space safety, and remove outdated regulations to support America’s </w:t>
            </w:r>
            <w:r w:rsidRPr="329E6251" w:rsidR="69255FD0">
              <w:rPr>
                <w:sz w:val="22"/>
                <w:szCs w:val="22"/>
              </w:rPr>
              <w:t xml:space="preserve">vibrant </w:t>
            </w:r>
            <w:r w:rsidRPr="329E6251" w:rsidR="00AA4316">
              <w:rPr>
                <w:sz w:val="22"/>
                <w:szCs w:val="22"/>
              </w:rPr>
              <w:t>commercial space economy.  </w:t>
            </w:r>
          </w:p>
          <w:p w:rsidR="0026096D" w:rsidP="0026096D" w14:paraId="64EB854C" w14:textId="77777777">
            <w:pPr>
              <w:rPr>
                <w:b/>
                <w:bCs/>
                <w:sz w:val="22"/>
                <w:szCs w:val="22"/>
              </w:rPr>
            </w:pPr>
          </w:p>
          <w:p w:rsidR="00E4628B" w:rsidP="0026096D" w14:paraId="373ED685" w14:textId="374AF014">
            <w:pPr>
              <w:rPr>
                <w:b/>
                <w:bCs/>
                <w:sz w:val="22"/>
                <w:szCs w:val="22"/>
              </w:rPr>
            </w:pPr>
            <w:r>
              <w:rPr>
                <w:b/>
                <w:bCs/>
                <w:sz w:val="22"/>
                <w:szCs w:val="22"/>
              </w:rPr>
              <w:t>Additional Background Information</w:t>
            </w:r>
          </w:p>
          <w:p w:rsidR="00E4628B" w:rsidRPr="005105BD" w:rsidP="0026096D" w14:paraId="3A330CD3" w14:textId="77777777">
            <w:pPr>
              <w:rPr>
                <w:b/>
                <w:bCs/>
                <w:sz w:val="22"/>
                <w:szCs w:val="22"/>
              </w:rPr>
            </w:pPr>
          </w:p>
          <w:p w:rsidR="00AE2678" w:rsidP="0026096D" w14:paraId="0064F35D" w14:textId="54805743">
            <w:pPr>
              <w:ind w:right="-77"/>
              <w:rPr>
                <w:szCs w:val="22"/>
              </w:rPr>
            </w:pPr>
            <w:r>
              <w:rPr>
                <w:sz w:val="22"/>
                <w:szCs w:val="22"/>
              </w:rPr>
              <w:t>T</w:t>
            </w:r>
            <w:r w:rsidRPr="006060AE" w:rsidR="0026096D">
              <w:rPr>
                <w:sz w:val="22"/>
                <w:szCs w:val="22"/>
              </w:rPr>
              <w:t>he United States</w:t>
            </w:r>
            <w:r w:rsidRPr="006060AE" w:rsidR="0026096D">
              <w:rPr>
                <w:sz w:val="22"/>
                <w:szCs w:val="22"/>
              </w:rPr>
              <w:t xml:space="preserve"> </w:t>
            </w:r>
            <w:r w:rsidRPr="006060AE" w:rsidR="0026096D">
              <w:rPr>
                <w:sz w:val="22"/>
                <w:szCs w:val="22"/>
              </w:rPr>
              <w:t xml:space="preserve">is already the world leader in commercial space, </w:t>
            </w:r>
            <w:r>
              <w:rPr>
                <w:sz w:val="22"/>
                <w:szCs w:val="22"/>
              </w:rPr>
              <w:t xml:space="preserve">and </w:t>
            </w:r>
            <w:r w:rsidRPr="006060AE" w:rsidR="0026096D">
              <w:rPr>
                <w:sz w:val="22"/>
                <w:szCs w:val="22"/>
              </w:rPr>
              <w:t xml:space="preserve">the industry is rapidly moving to build the space infrastructure of the future. </w:t>
            </w:r>
            <w:r w:rsidR="0026096D">
              <w:rPr>
                <w:sz w:val="22"/>
                <w:szCs w:val="22"/>
              </w:rPr>
              <w:t xml:space="preserve"> </w:t>
            </w:r>
            <w:r w:rsidR="00696281">
              <w:rPr>
                <w:sz w:val="22"/>
                <w:szCs w:val="22"/>
              </w:rPr>
              <w:t>T</w:t>
            </w:r>
            <w:r w:rsidRPr="006060AE" w:rsidR="0026096D">
              <w:rPr>
                <w:sz w:val="22"/>
                <w:szCs w:val="22"/>
              </w:rPr>
              <w:t>he Commission</w:t>
            </w:r>
            <w:r w:rsidR="00F90FE4">
              <w:rPr>
                <w:sz w:val="22"/>
                <w:szCs w:val="22"/>
              </w:rPr>
              <w:t>’s action today</w:t>
            </w:r>
            <w:r w:rsidRPr="006060AE" w:rsidR="0026096D">
              <w:rPr>
                <w:sz w:val="22"/>
                <w:szCs w:val="22"/>
              </w:rPr>
              <w:t xml:space="preserve"> ensure</w:t>
            </w:r>
            <w:r w:rsidR="00915E31">
              <w:rPr>
                <w:sz w:val="22"/>
                <w:szCs w:val="22"/>
              </w:rPr>
              <w:t>s</w:t>
            </w:r>
            <w:r w:rsidRPr="006060AE" w:rsidR="0026096D">
              <w:rPr>
                <w:sz w:val="22"/>
                <w:szCs w:val="22"/>
              </w:rPr>
              <w:t xml:space="preserve"> </w:t>
            </w:r>
            <w:r w:rsidR="005060A6">
              <w:rPr>
                <w:sz w:val="22"/>
                <w:szCs w:val="22"/>
              </w:rPr>
              <w:t xml:space="preserve">that </w:t>
            </w:r>
            <w:r w:rsidRPr="006060AE" w:rsidR="0026096D">
              <w:rPr>
                <w:sz w:val="22"/>
                <w:szCs w:val="22"/>
              </w:rPr>
              <w:t xml:space="preserve">the United States </w:t>
            </w:r>
            <w:r w:rsidR="005060A6">
              <w:rPr>
                <w:sz w:val="22"/>
                <w:szCs w:val="22"/>
              </w:rPr>
              <w:t xml:space="preserve">remains </w:t>
            </w:r>
            <w:r w:rsidRPr="006060AE" w:rsidR="0026096D">
              <w:rPr>
                <w:sz w:val="22"/>
                <w:szCs w:val="22"/>
              </w:rPr>
              <w:t>the best place for the space industry to build, operate, and license</w:t>
            </w:r>
            <w:r w:rsidR="0026096D">
              <w:rPr>
                <w:sz w:val="22"/>
                <w:szCs w:val="22"/>
              </w:rPr>
              <w:t xml:space="preserve"> </w:t>
            </w:r>
            <w:r w:rsidRPr="00855052" w:rsidR="0026096D">
              <w:rPr>
                <w:sz w:val="22"/>
                <w:szCs w:val="22"/>
              </w:rPr>
              <w:t>i</w:t>
            </w:r>
            <w:r w:rsidRPr="0061541F" w:rsidR="0026096D">
              <w:rPr>
                <w:sz w:val="22"/>
                <w:szCs w:val="22"/>
              </w:rPr>
              <w:t>nnovative space</w:t>
            </w:r>
            <w:r w:rsidR="0026096D">
              <w:rPr>
                <w:sz w:val="22"/>
                <w:szCs w:val="22"/>
              </w:rPr>
              <w:t>-based</w:t>
            </w:r>
            <w:r w:rsidRPr="0061541F" w:rsidR="0026096D">
              <w:rPr>
                <w:sz w:val="22"/>
                <w:szCs w:val="22"/>
              </w:rPr>
              <w:t xml:space="preserve"> systems</w:t>
            </w:r>
            <w:r w:rsidRPr="006060AE" w:rsidR="0026096D">
              <w:rPr>
                <w:sz w:val="22"/>
                <w:szCs w:val="22"/>
              </w:rPr>
              <w:t>.</w:t>
            </w:r>
            <w:r w:rsidR="00266AAC">
              <w:rPr>
                <w:szCs w:val="22"/>
              </w:rPr>
              <w:t xml:space="preserve"> </w:t>
            </w:r>
            <w:r>
              <w:rPr>
                <w:szCs w:val="22"/>
              </w:rPr>
              <w:t xml:space="preserve"> </w:t>
            </w:r>
            <w:r w:rsidRPr="00AE2678" w:rsidR="00266AAC">
              <w:rPr>
                <w:sz w:val="22"/>
                <w:szCs w:val="22"/>
              </w:rPr>
              <w:t>Today’s Report and Order</w:t>
            </w:r>
            <w:r w:rsidRPr="00AE2678">
              <w:rPr>
                <w:sz w:val="22"/>
                <w:szCs w:val="22"/>
              </w:rPr>
              <w:t xml:space="preserve"> overhauls and modernizes the Commission’s space and earth station licensing process</w:t>
            </w:r>
            <w:r w:rsidRPr="00D3732B" w:rsidR="00D3732B">
              <w:rPr>
                <w:rFonts w:ascii="Open Sans" w:hAnsi="Open Sans" w:cs="Open Sans"/>
                <w:color w:val="212529"/>
                <w:sz w:val="21"/>
                <w:szCs w:val="21"/>
                <w:shd w:val="clear" w:color="auto" w:fill="FFFFFF"/>
              </w:rPr>
              <w:t xml:space="preserve"> </w:t>
            </w:r>
            <w:r w:rsidRPr="00AE2678">
              <w:rPr>
                <w:sz w:val="22"/>
                <w:szCs w:val="22"/>
              </w:rPr>
              <w:t xml:space="preserve">in </w:t>
            </w:r>
            <w:r w:rsidRPr="00AE2678">
              <w:rPr>
                <w:sz w:val="22"/>
                <w:szCs w:val="22"/>
              </w:rPr>
              <w:t>a number of</w:t>
            </w:r>
            <w:r w:rsidRPr="00AE2678">
              <w:rPr>
                <w:sz w:val="22"/>
                <w:szCs w:val="22"/>
              </w:rPr>
              <w:t xml:space="preserve"> areas:</w:t>
            </w:r>
          </w:p>
          <w:p w:rsidR="0026096D" w:rsidRPr="00004D46" w:rsidP="0026096D" w14:paraId="67136C8E" w14:textId="77777777">
            <w:pPr>
              <w:ind w:right="-77"/>
              <w:rPr>
                <w:sz w:val="22"/>
                <w:szCs w:val="22"/>
              </w:rPr>
            </w:pPr>
          </w:p>
          <w:p w:rsidR="0026096D" w:rsidP="000D6A21" w14:paraId="6F3882D0" w14:textId="6518753B">
            <w:pPr>
              <w:pStyle w:val="ListParagraph"/>
              <w:numPr>
                <w:ilvl w:val="0"/>
                <w:numId w:val="2"/>
              </w:numPr>
              <w:rPr>
                <w:sz w:val="22"/>
                <w:szCs w:val="22"/>
              </w:rPr>
            </w:pPr>
            <w:r w:rsidRPr="000D6A21">
              <w:rPr>
                <w:sz w:val="22"/>
                <w:szCs w:val="22"/>
              </w:rPr>
              <w:t>Adopt</w:t>
            </w:r>
            <w:r w:rsidRPr="000D6A21" w:rsidR="00C136D9">
              <w:rPr>
                <w:sz w:val="22"/>
                <w:szCs w:val="22"/>
              </w:rPr>
              <w:t>s</w:t>
            </w:r>
            <w:r w:rsidRPr="000D6A21">
              <w:rPr>
                <w:sz w:val="22"/>
                <w:szCs w:val="22"/>
              </w:rPr>
              <w:t xml:space="preserve"> a new rule section (part 100) that would revise many legacy rules (part 25) from first principles, including surety bond requirements, license terms, processing rounds, and other application filing frameworks.</w:t>
            </w:r>
          </w:p>
          <w:p w:rsidR="00DD79E7" w:rsidRPr="000D6A21" w:rsidP="00DD79E7" w14:paraId="68D57F6C" w14:textId="77777777">
            <w:pPr>
              <w:pStyle w:val="ListParagraph"/>
              <w:rPr>
                <w:sz w:val="22"/>
                <w:szCs w:val="22"/>
              </w:rPr>
            </w:pPr>
          </w:p>
          <w:p w:rsidR="0026096D" w:rsidP="0026096D" w14:paraId="65FF4FBC" w14:textId="48C3D6DD">
            <w:pPr>
              <w:pStyle w:val="ListParagraph"/>
              <w:numPr>
                <w:ilvl w:val="0"/>
                <w:numId w:val="2"/>
              </w:numPr>
              <w:ind w:right="-77"/>
              <w:rPr>
                <w:sz w:val="22"/>
                <w:szCs w:val="22"/>
              </w:rPr>
            </w:pPr>
            <w:r>
              <w:rPr>
                <w:sz w:val="22"/>
                <w:szCs w:val="22"/>
              </w:rPr>
              <w:t>R</w:t>
            </w:r>
            <w:r w:rsidRPr="00004D46">
              <w:rPr>
                <w:sz w:val="22"/>
                <w:szCs w:val="22"/>
              </w:rPr>
              <w:t>eplace</w:t>
            </w:r>
            <w:r w:rsidR="00C136D9">
              <w:rPr>
                <w:sz w:val="22"/>
                <w:szCs w:val="22"/>
              </w:rPr>
              <w:t>s</w:t>
            </w:r>
            <w:r w:rsidRPr="00004D46">
              <w:rPr>
                <w:sz w:val="22"/>
                <w:szCs w:val="22"/>
              </w:rPr>
              <w:t xml:space="preserve"> the FCC’s traditional licensing process</w:t>
            </w:r>
            <w:r>
              <w:rPr>
                <w:sz w:val="22"/>
                <w:szCs w:val="22"/>
              </w:rPr>
              <w:t xml:space="preserve"> </w:t>
            </w:r>
            <w:r w:rsidRPr="00004D46">
              <w:rPr>
                <w:sz w:val="22"/>
                <w:szCs w:val="22"/>
              </w:rPr>
              <w:t>with a “licensing assembly line” where applications are modularized and processed more efficiently</w:t>
            </w:r>
            <w:r>
              <w:rPr>
                <w:sz w:val="22"/>
                <w:szCs w:val="22"/>
              </w:rPr>
              <w:t>.</w:t>
            </w:r>
          </w:p>
          <w:p w:rsidR="0026096D" w:rsidP="0026096D" w14:paraId="0EA2C7FA" w14:textId="77777777">
            <w:pPr>
              <w:pStyle w:val="ListParagraph"/>
              <w:ind w:right="-77"/>
              <w:rPr>
                <w:sz w:val="22"/>
                <w:szCs w:val="22"/>
              </w:rPr>
            </w:pPr>
          </w:p>
          <w:p w:rsidR="0026096D" w:rsidP="0026096D" w14:paraId="15DE6BC8" w14:textId="21780D4F">
            <w:pPr>
              <w:pStyle w:val="ListParagraph"/>
              <w:numPr>
                <w:ilvl w:val="0"/>
                <w:numId w:val="2"/>
              </w:numPr>
              <w:ind w:right="-77"/>
              <w:rPr>
                <w:sz w:val="22"/>
                <w:szCs w:val="22"/>
              </w:rPr>
            </w:pPr>
            <w:r>
              <w:rPr>
                <w:sz w:val="22"/>
                <w:szCs w:val="22"/>
              </w:rPr>
              <w:t>I</w:t>
            </w:r>
            <w:r w:rsidRPr="00004D46">
              <w:rPr>
                <w:sz w:val="22"/>
                <w:szCs w:val="22"/>
              </w:rPr>
              <w:t>ncrease</w:t>
            </w:r>
            <w:r w:rsidR="00C136D9">
              <w:rPr>
                <w:sz w:val="22"/>
                <w:szCs w:val="22"/>
              </w:rPr>
              <w:t>s</w:t>
            </w:r>
            <w:r w:rsidRPr="00004D46">
              <w:rPr>
                <w:sz w:val="22"/>
                <w:szCs w:val="22"/>
              </w:rPr>
              <w:t xml:space="preserve"> the speed of application processing, provide</w:t>
            </w:r>
            <w:r w:rsidR="00FF4778">
              <w:rPr>
                <w:sz w:val="22"/>
                <w:szCs w:val="22"/>
              </w:rPr>
              <w:t>s</w:t>
            </w:r>
            <w:r w:rsidRPr="00004D46">
              <w:rPr>
                <w:sz w:val="22"/>
                <w:szCs w:val="22"/>
              </w:rPr>
              <w:t xml:space="preserve"> more predictability for companies, and give</w:t>
            </w:r>
            <w:r w:rsidR="00FF4778">
              <w:rPr>
                <w:sz w:val="22"/>
                <w:szCs w:val="22"/>
              </w:rPr>
              <w:t>s</w:t>
            </w:r>
            <w:r w:rsidRPr="00004D46">
              <w:rPr>
                <w:sz w:val="22"/>
                <w:szCs w:val="22"/>
              </w:rPr>
              <w:t xml:space="preserve"> the FCC new tools to promote today’s space innovators.  </w:t>
            </w:r>
          </w:p>
          <w:p w:rsidR="0026096D" w:rsidP="0026096D" w14:paraId="10D9A6B5" w14:textId="77777777">
            <w:pPr>
              <w:pStyle w:val="ListParagraph"/>
              <w:ind w:right="-77"/>
              <w:rPr>
                <w:sz w:val="22"/>
                <w:szCs w:val="22"/>
              </w:rPr>
            </w:pPr>
          </w:p>
          <w:p w:rsidR="0026096D" w:rsidRPr="00004D46" w:rsidP="0026096D" w14:paraId="08DD396F" w14:textId="583A3EAC">
            <w:pPr>
              <w:pStyle w:val="ListParagraph"/>
              <w:numPr>
                <w:ilvl w:val="0"/>
                <w:numId w:val="2"/>
              </w:numPr>
              <w:ind w:right="-77"/>
              <w:rPr>
                <w:sz w:val="22"/>
                <w:szCs w:val="22"/>
              </w:rPr>
            </w:pPr>
            <w:r>
              <w:rPr>
                <w:sz w:val="22"/>
                <w:szCs w:val="22"/>
              </w:rPr>
              <w:t>E</w:t>
            </w:r>
            <w:r w:rsidRPr="00004D46">
              <w:rPr>
                <w:sz w:val="22"/>
                <w:szCs w:val="22"/>
              </w:rPr>
              <w:t>stablish</w:t>
            </w:r>
            <w:r w:rsidR="00C136D9">
              <w:rPr>
                <w:sz w:val="22"/>
                <w:szCs w:val="22"/>
              </w:rPr>
              <w:t>es</w:t>
            </w:r>
            <w:r>
              <w:rPr>
                <w:sz w:val="22"/>
                <w:szCs w:val="22"/>
              </w:rPr>
              <w:t xml:space="preserve"> </w:t>
            </w:r>
            <w:r w:rsidRPr="00004D46">
              <w:rPr>
                <w:sz w:val="22"/>
                <w:szCs w:val="22"/>
              </w:rPr>
              <w:t xml:space="preserve">bright-line criteria as to when an application serves the public interest, while providing clarity on the exceptional circumstances that warrant more considered review.  </w:t>
            </w:r>
          </w:p>
          <w:p w:rsidR="0026096D" w:rsidRPr="00004D46" w:rsidP="0026096D" w14:paraId="29F11C56" w14:textId="77777777">
            <w:pPr>
              <w:pStyle w:val="ListParagraph"/>
              <w:rPr>
                <w:sz w:val="22"/>
                <w:szCs w:val="22"/>
              </w:rPr>
            </w:pPr>
          </w:p>
          <w:p w:rsidR="0026096D" w:rsidP="0026096D" w14:paraId="21D8CDE2" w14:textId="5AA08360">
            <w:pPr>
              <w:pStyle w:val="ListParagraph"/>
              <w:numPr>
                <w:ilvl w:val="0"/>
                <w:numId w:val="2"/>
              </w:numPr>
              <w:rPr>
                <w:sz w:val="22"/>
                <w:szCs w:val="22"/>
              </w:rPr>
            </w:pPr>
            <w:r>
              <w:rPr>
                <w:sz w:val="22"/>
                <w:szCs w:val="22"/>
              </w:rPr>
              <w:t>P</w:t>
            </w:r>
            <w:r w:rsidRPr="00004D46">
              <w:rPr>
                <w:sz w:val="22"/>
                <w:szCs w:val="22"/>
              </w:rPr>
              <w:t>romote</w:t>
            </w:r>
            <w:r w:rsidR="00C136D9">
              <w:rPr>
                <w:sz w:val="22"/>
                <w:szCs w:val="22"/>
              </w:rPr>
              <w:t>s</w:t>
            </w:r>
            <w:r w:rsidRPr="00004D46">
              <w:rPr>
                <w:sz w:val="22"/>
                <w:szCs w:val="22"/>
              </w:rPr>
              <w:t xml:space="preserve"> space safety</w:t>
            </w:r>
            <w:r>
              <w:rPr>
                <w:sz w:val="22"/>
                <w:szCs w:val="22"/>
              </w:rPr>
              <w:t xml:space="preserve"> by requiring</w:t>
            </w:r>
            <w:r w:rsidRPr="00004D46">
              <w:rPr>
                <w:sz w:val="22"/>
                <w:szCs w:val="22"/>
              </w:rPr>
              <w:t xml:space="preserve"> satellite operators to share space situational awareness data.  </w:t>
            </w:r>
          </w:p>
          <w:p w:rsidR="0026096D" w:rsidRPr="00004D46" w:rsidP="0026096D" w14:paraId="155F2B40" w14:textId="77777777">
            <w:pPr>
              <w:pStyle w:val="ListParagraph"/>
              <w:rPr>
                <w:sz w:val="22"/>
                <w:szCs w:val="22"/>
              </w:rPr>
            </w:pPr>
          </w:p>
          <w:p w:rsidR="0026096D" w:rsidRPr="00004D46" w:rsidP="0026096D" w14:paraId="7F0AE90C" w14:textId="647687DE">
            <w:pPr>
              <w:pStyle w:val="ListParagraph"/>
              <w:numPr>
                <w:ilvl w:val="0"/>
                <w:numId w:val="2"/>
              </w:numPr>
              <w:rPr>
                <w:sz w:val="22"/>
                <w:szCs w:val="22"/>
              </w:rPr>
            </w:pPr>
            <w:r>
              <w:rPr>
                <w:sz w:val="22"/>
                <w:szCs w:val="22"/>
              </w:rPr>
              <w:t>Eliminate</w:t>
            </w:r>
            <w:r w:rsidR="00C136D9">
              <w:rPr>
                <w:sz w:val="22"/>
                <w:szCs w:val="22"/>
              </w:rPr>
              <w:t>s</w:t>
            </w:r>
            <w:r>
              <w:rPr>
                <w:sz w:val="22"/>
                <w:szCs w:val="22"/>
              </w:rPr>
              <w:t xml:space="preserve"> a large swath of unnecessary </w:t>
            </w:r>
            <w:r w:rsidRPr="00004D46">
              <w:rPr>
                <w:sz w:val="22"/>
                <w:szCs w:val="22"/>
              </w:rPr>
              <w:t xml:space="preserve">licensing and operating rules, </w:t>
            </w:r>
            <w:r w:rsidR="0056638C">
              <w:rPr>
                <w:sz w:val="22"/>
                <w:szCs w:val="22"/>
              </w:rPr>
              <w:t xml:space="preserve">consistent with </w:t>
            </w:r>
            <w:r w:rsidRPr="00004D46">
              <w:rPr>
                <w:sz w:val="22"/>
                <w:szCs w:val="22"/>
              </w:rPr>
              <w:t xml:space="preserve">the </w:t>
            </w:r>
            <w:r w:rsidRPr="00004D46">
              <w:rPr>
                <w:sz w:val="22"/>
                <w:szCs w:val="22"/>
              </w:rPr>
              <w:t>agency’s</w:t>
            </w:r>
            <w:r w:rsidRPr="00004D46">
              <w:rPr>
                <w:sz w:val="22"/>
                <w:szCs w:val="22"/>
              </w:rPr>
              <w:t xml:space="preserve"> </w:t>
            </w:r>
            <w:r w:rsidRPr="00004D46">
              <w:rPr>
                <w:i/>
                <w:iCs/>
                <w:sz w:val="22"/>
                <w:szCs w:val="22"/>
              </w:rPr>
              <w:t>Delete, Delete, Delete</w:t>
            </w:r>
            <w:r w:rsidRPr="00004D46">
              <w:rPr>
                <w:sz w:val="22"/>
                <w:szCs w:val="22"/>
              </w:rPr>
              <w:t xml:space="preserve"> proceeding.</w:t>
            </w:r>
          </w:p>
          <w:p w:rsidR="0026096D" w:rsidP="0026096D" w14:paraId="609B7768" w14:textId="77777777">
            <w:pPr>
              <w:ind w:right="-77"/>
              <w:rPr>
                <w:sz w:val="22"/>
                <w:szCs w:val="22"/>
              </w:rPr>
            </w:pPr>
          </w:p>
          <w:p w:rsidR="0026096D" w:rsidRPr="00004D46" w:rsidP="0026096D" w14:paraId="4740A8F9" w14:textId="318A8DDE">
            <w:pPr>
              <w:pStyle w:val="ListParagraph"/>
              <w:numPr>
                <w:ilvl w:val="0"/>
                <w:numId w:val="2"/>
              </w:numPr>
              <w:ind w:right="-77"/>
              <w:rPr>
                <w:sz w:val="22"/>
                <w:szCs w:val="22"/>
              </w:rPr>
            </w:pPr>
            <w:r>
              <w:rPr>
                <w:sz w:val="22"/>
                <w:szCs w:val="22"/>
              </w:rPr>
              <w:t>Seek</w:t>
            </w:r>
            <w:r w:rsidR="00C136D9">
              <w:rPr>
                <w:sz w:val="22"/>
                <w:szCs w:val="22"/>
              </w:rPr>
              <w:t>s</w:t>
            </w:r>
            <w:r>
              <w:rPr>
                <w:sz w:val="22"/>
                <w:szCs w:val="22"/>
              </w:rPr>
              <w:t xml:space="preserve"> </w:t>
            </w:r>
            <w:r w:rsidRPr="00004D46">
              <w:rPr>
                <w:sz w:val="22"/>
                <w:szCs w:val="22"/>
              </w:rPr>
              <w:t xml:space="preserve">comment </w:t>
            </w:r>
            <w:r>
              <w:rPr>
                <w:sz w:val="22"/>
                <w:szCs w:val="22"/>
              </w:rPr>
              <w:t xml:space="preserve">(in a </w:t>
            </w:r>
            <w:r w:rsidRPr="00004D46">
              <w:rPr>
                <w:i/>
                <w:iCs/>
                <w:sz w:val="22"/>
                <w:szCs w:val="22"/>
              </w:rPr>
              <w:t>Further Notice</w:t>
            </w:r>
            <w:r>
              <w:rPr>
                <w:sz w:val="22"/>
                <w:szCs w:val="22"/>
              </w:rPr>
              <w:t xml:space="preserve">) </w:t>
            </w:r>
            <w:r w:rsidRPr="00004D46">
              <w:rPr>
                <w:sz w:val="22"/>
                <w:szCs w:val="22"/>
              </w:rPr>
              <w:t>on the establishment of a space-based experimental licensing regime and further reforms to space and earth station application processing and licensing.</w:t>
            </w:r>
          </w:p>
          <w:p w:rsidR="00F60AFC" w:rsidP="00F60AFC" w14:paraId="02A990ED" w14:textId="77777777">
            <w:pPr>
              <w:rPr>
                <w:sz w:val="22"/>
                <w:szCs w:val="22"/>
              </w:rPr>
            </w:pPr>
          </w:p>
          <w:p w:rsidR="00325C4E" w:rsidRPr="00325C4E" w:rsidP="00325C4E" w14:paraId="289F0D36" w14:textId="6FDB101F">
            <w:pPr>
              <w:rPr>
                <w:sz w:val="22"/>
                <w:szCs w:val="22"/>
              </w:rPr>
            </w:pPr>
            <w:r w:rsidRPr="00325C4E">
              <w:rPr>
                <w:sz w:val="22"/>
                <w:szCs w:val="22"/>
              </w:rPr>
              <w:t xml:space="preserve">Action by the Commission July 22, </w:t>
            </w:r>
            <w:r w:rsidRPr="00325C4E">
              <w:rPr>
                <w:sz w:val="22"/>
                <w:szCs w:val="22"/>
              </w:rPr>
              <w:t>2026</w:t>
            </w:r>
            <w:r w:rsidRPr="00325C4E">
              <w:rPr>
                <w:sz w:val="22"/>
                <w:szCs w:val="22"/>
              </w:rPr>
              <w:t xml:space="preserve"> by Report and Order and Further Notice of Proposed Rulemaking (FCC 26-47).  Chairman Carr, Commissioners Gomez and Trusty approving.  Chairman Carr</w:t>
            </w:r>
            <w:r w:rsidR="002F4237">
              <w:rPr>
                <w:sz w:val="22"/>
                <w:szCs w:val="22"/>
              </w:rPr>
              <w:t xml:space="preserve"> and </w:t>
            </w:r>
            <w:r w:rsidRPr="00325C4E">
              <w:rPr>
                <w:sz w:val="22"/>
                <w:szCs w:val="22"/>
              </w:rPr>
              <w:t>Commissioner Trusty issuing separate statements.</w:t>
            </w:r>
          </w:p>
          <w:p w:rsidR="00325C4E" w:rsidRPr="00325C4E" w:rsidP="00325C4E" w14:paraId="78CAA728" w14:textId="77777777">
            <w:pPr>
              <w:rPr>
                <w:sz w:val="22"/>
                <w:szCs w:val="22"/>
              </w:rPr>
            </w:pPr>
          </w:p>
          <w:p w:rsidR="00325C4E" w:rsidP="00325C4E" w14:paraId="4E5D6274" w14:textId="117BA1DF">
            <w:pPr>
              <w:rPr>
                <w:sz w:val="22"/>
                <w:szCs w:val="22"/>
              </w:rPr>
            </w:pPr>
            <w:r w:rsidRPr="00325C4E">
              <w:rPr>
                <w:sz w:val="22"/>
                <w:szCs w:val="22"/>
              </w:rPr>
              <w:t>SB Docket No. 25-306</w:t>
            </w:r>
          </w:p>
          <w:p w:rsidR="00325C4E" w:rsidRPr="002E165B" w:rsidP="00F60AFC" w14:paraId="07935BC2" w14:textId="77777777">
            <w:pPr>
              <w:rPr>
                <w:sz w:val="22"/>
                <w:szCs w:val="22"/>
              </w:rPr>
            </w:pPr>
          </w:p>
          <w:p w:rsidR="004F0F1F" w:rsidRPr="007475A1" w:rsidP="00850E26" w14:paraId="52BC08A1" w14:textId="77777777">
            <w:pPr>
              <w:ind w:right="72"/>
              <w:jc w:val="center"/>
              <w:rPr>
                <w:sz w:val="22"/>
                <w:szCs w:val="22"/>
              </w:rPr>
            </w:pPr>
            <w:r w:rsidRPr="007475A1">
              <w:rPr>
                <w:sz w:val="22"/>
                <w:szCs w:val="22"/>
              </w:rPr>
              <w:t>###</w:t>
            </w:r>
          </w:p>
          <w:p w:rsidR="00104B0D" w:rsidRPr="00104B0D" w:rsidP="00104B0D" w14:paraId="12A3F92F" w14:textId="77777777">
            <w:pPr>
              <w:ind w:right="72"/>
              <w:jc w:val="center"/>
              <w:rPr>
                <w:b/>
                <w:bCs/>
                <w:sz w:val="22"/>
                <w:szCs w:val="22"/>
              </w:rPr>
            </w:pPr>
            <w:r w:rsidRPr="00104B0D">
              <w:rPr>
                <w:b/>
                <w:bCs/>
                <w:sz w:val="22"/>
                <w:szCs w:val="22"/>
              </w:rPr>
              <w:br/>
              <w:t>Media Contact: MediaRelations@fcc.gov / (202) 418-0500</w:t>
            </w:r>
          </w:p>
          <w:p w:rsidR="00FF105E" w:rsidRPr="00104B0D" w:rsidP="008A6807" w14:paraId="379B4635" w14:textId="3241B0EB">
            <w:pPr>
              <w:ind w:right="72"/>
              <w:jc w:val="center"/>
              <w:rPr>
                <w:b/>
                <w:bCs/>
                <w:i/>
                <w:sz w:val="22"/>
                <w:szCs w:val="22"/>
              </w:rPr>
            </w:pPr>
            <w:r w:rsidRPr="00104B0D">
              <w:rPr>
                <w:b/>
                <w:bCs/>
                <w:sz w:val="22"/>
                <w:szCs w:val="22"/>
              </w:rPr>
              <w:t xml:space="preserve">@FCC / </w:t>
            </w:r>
            <w:hyperlink r:id="rId5" w:history="1">
              <w:r w:rsidRPr="005D1CF8" w:rsidR="004C021A">
                <w:rPr>
                  <w:rStyle w:val="Hyperlink"/>
                  <w:b/>
                  <w:bCs/>
                  <w:sz w:val="22"/>
                  <w:szCs w:val="22"/>
                </w:rPr>
                <w:t>www.fcc.gov</w:t>
              </w:r>
            </w:hyperlink>
          </w:p>
        </w:tc>
      </w:tr>
    </w:tbl>
    <w:p w:rsidR="00D24C3D" w:rsidRPr="007528A5" w14:paraId="0D6F1E5C" w14:textId="77777777">
      <w:pPr>
        <w:rPr>
          <w:b/>
          <w:bCs/>
          <w:sz w:val="2"/>
          <w:szCs w:val="2"/>
        </w:rPr>
      </w:pPr>
    </w:p>
    <w:sectPr w:rsidSect="00A50722">
      <w:pgSz w:w="12240" w:h="15840"/>
      <w:pgMar w:top="1354"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Open Sans">
    <w:charset w:val="00"/>
    <w:family w:val="swiss"/>
    <w:pitch w:val="variable"/>
    <w:sig w:usb0="E00002EF" w:usb1="4000205B" w:usb2="00000028"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36CA2525"/>
    <w:multiLevelType w:val="hybridMultilevel"/>
    <w:tmpl w:val="09569F20"/>
    <w:lvl w:ilvl="0">
      <w:start w:val="1"/>
      <w:numFmt w:val="bullet"/>
      <w:lvlText w:val=""/>
      <w:lvlJc w:val="left"/>
      <w:pPr>
        <w:tabs>
          <w:tab w:val="num" w:pos="1152"/>
        </w:tabs>
        <w:ind w:left="1152" w:hanging="360"/>
      </w:pPr>
      <w:rPr>
        <w:rFonts w:ascii="Symbol" w:hAnsi="Symbol" w:hint="default"/>
      </w:rPr>
    </w:lvl>
    <w:lvl w:ilvl="1" w:tentative="1">
      <w:start w:val="1"/>
      <w:numFmt w:val="bullet"/>
      <w:lvlText w:val="o"/>
      <w:lvlJc w:val="left"/>
      <w:pPr>
        <w:tabs>
          <w:tab w:val="num" w:pos="1872"/>
        </w:tabs>
        <w:ind w:left="1872" w:hanging="360"/>
      </w:pPr>
      <w:rPr>
        <w:rFonts w:ascii="Courier New" w:hAnsi="Courier New" w:cs="Courier New" w:hint="default"/>
      </w:rPr>
    </w:lvl>
    <w:lvl w:ilvl="2" w:tentative="1">
      <w:start w:val="1"/>
      <w:numFmt w:val="bullet"/>
      <w:lvlText w:val=""/>
      <w:lvlJc w:val="left"/>
      <w:pPr>
        <w:tabs>
          <w:tab w:val="num" w:pos="2592"/>
        </w:tabs>
        <w:ind w:left="2592" w:hanging="360"/>
      </w:pPr>
      <w:rPr>
        <w:rFonts w:ascii="Wingdings" w:hAnsi="Wingdings" w:hint="default"/>
      </w:rPr>
    </w:lvl>
    <w:lvl w:ilvl="3" w:tentative="1">
      <w:start w:val="1"/>
      <w:numFmt w:val="bullet"/>
      <w:lvlText w:val=""/>
      <w:lvlJc w:val="left"/>
      <w:pPr>
        <w:tabs>
          <w:tab w:val="num" w:pos="3312"/>
        </w:tabs>
        <w:ind w:left="3312" w:hanging="360"/>
      </w:pPr>
      <w:rPr>
        <w:rFonts w:ascii="Symbol" w:hAnsi="Symbol" w:hint="default"/>
      </w:rPr>
    </w:lvl>
    <w:lvl w:ilvl="4" w:tentative="1">
      <w:start w:val="1"/>
      <w:numFmt w:val="bullet"/>
      <w:lvlText w:val="o"/>
      <w:lvlJc w:val="left"/>
      <w:pPr>
        <w:tabs>
          <w:tab w:val="num" w:pos="4032"/>
        </w:tabs>
        <w:ind w:left="4032" w:hanging="360"/>
      </w:pPr>
      <w:rPr>
        <w:rFonts w:ascii="Courier New" w:hAnsi="Courier New" w:cs="Courier New" w:hint="default"/>
      </w:rPr>
    </w:lvl>
    <w:lvl w:ilvl="5" w:tentative="1">
      <w:start w:val="1"/>
      <w:numFmt w:val="bullet"/>
      <w:lvlText w:val=""/>
      <w:lvlJc w:val="left"/>
      <w:pPr>
        <w:tabs>
          <w:tab w:val="num" w:pos="4752"/>
        </w:tabs>
        <w:ind w:left="4752" w:hanging="360"/>
      </w:pPr>
      <w:rPr>
        <w:rFonts w:ascii="Wingdings" w:hAnsi="Wingdings" w:hint="default"/>
      </w:rPr>
    </w:lvl>
    <w:lvl w:ilvl="6" w:tentative="1">
      <w:start w:val="1"/>
      <w:numFmt w:val="bullet"/>
      <w:lvlText w:val=""/>
      <w:lvlJc w:val="left"/>
      <w:pPr>
        <w:tabs>
          <w:tab w:val="num" w:pos="5472"/>
        </w:tabs>
        <w:ind w:left="5472" w:hanging="360"/>
      </w:pPr>
      <w:rPr>
        <w:rFonts w:ascii="Symbol" w:hAnsi="Symbol" w:hint="default"/>
      </w:rPr>
    </w:lvl>
    <w:lvl w:ilvl="7" w:tentative="1">
      <w:start w:val="1"/>
      <w:numFmt w:val="bullet"/>
      <w:lvlText w:val="o"/>
      <w:lvlJc w:val="left"/>
      <w:pPr>
        <w:tabs>
          <w:tab w:val="num" w:pos="6192"/>
        </w:tabs>
        <w:ind w:left="6192" w:hanging="360"/>
      </w:pPr>
      <w:rPr>
        <w:rFonts w:ascii="Courier New" w:hAnsi="Courier New" w:cs="Courier New" w:hint="default"/>
      </w:rPr>
    </w:lvl>
    <w:lvl w:ilvl="8" w:tentative="1">
      <w:start w:val="1"/>
      <w:numFmt w:val="bullet"/>
      <w:lvlText w:val=""/>
      <w:lvlJc w:val="left"/>
      <w:pPr>
        <w:tabs>
          <w:tab w:val="num" w:pos="6912"/>
        </w:tabs>
        <w:ind w:left="6912" w:hanging="360"/>
      </w:pPr>
      <w:rPr>
        <w:rFonts w:ascii="Wingdings" w:hAnsi="Wingdings" w:hint="default"/>
      </w:rPr>
    </w:lvl>
  </w:abstractNum>
  <w:abstractNum w:abstractNumId="1">
    <w:nsid w:val="486C2ABE"/>
    <w:multiLevelType w:val="hybridMultilevel"/>
    <w:tmpl w:val="E00604FE"/>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407119027">
    <w:abstractNumId w:val="0"/>
  </w:num>
  <w:num w:numId="2" w16cid:durableId="64285635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0AFC"/>
    <w:rsid w:val="00004D46"/>
    <w:rsid w:val="00012186"/>
    <w:rsid w:val="00013E6B"/>
    <w:rsid w:val="00014F48"/>
    <w:rsid w:val="000175AC"/>
    <w:rsid w:val="0002500C"/>
    <w:rsid w:val="000311FC"/>
    <w:rsid w:val="00040127"/>
    <w:rsid w:val="00046988"/>
    <w:rsid w:val="00065E2D"/>
    <w:rsid w:val="00081232"/>
    <w:rsid w:val="00091E65"/>
    <w:rsid w:val="00096D4A"/>
    <w:rsid w:val="000A3783"/>
    <w:rsid w:val="000A38EA"/>
    <w:rsid w:val="000C1E47"/>
    <w:rsid w:val="000C26F3"/>
    <w:rsid w:val="000D4846"/>
    <w:rsid w:val="000D6A21"/>
    <w:rsid w:val="000E049E"/>
    <w:rsid w:val="000E0B1A"/>
    <w:rsid w:val="00104B0D"/>
    <w:rsid w:val="0010799B"/>
    <w:rsid w:val="00116872"/>
    <w:rsid w:val="00117DB2"/>
    <w:rsid w:val="00123ED2"/>
    <w:rsid w:val="00125BE0"/>
    <w:rsid w:val="00134A4A"/>
    <w:rsid w:val="00134BC7"/>
    <w:rsid w:val="00142C13"/>
    <w:rsid w:val="00150380"/>
    <w:rsid w:val="00152776"/>
    <w:rsid w:val="00153222"/>
    <w:rsid w:val="001577D3"/>
    <w:rsid w:val="001733A6"/>
    <w:rsid w:val="001865A9"/>
    <w:rsid w:val="00187DB2"/>
    <w:rsid w:val="001A7E8E"/>
    <w:rsid w:val="001B030B"/>
    <w:rsid w:val="001B20BB"/>
    <w:rsid w:val="001C0569"/>
    <w:rsid w:val="001C4370"/>
    <w:rsid w:val="001D3779"/>
    <w:rsid w:val="001F0469"/>
    <w:rsid w:val="001F209C"/>
    <w:rsid w:val="00202EF3"/>
    <w:rsid w:val="00203A98"/>
    <w:rsid w:val="00206EDD"/>
    <w:rsid w:val="0021247E"/>
    <w:rsid w:val="002146F6"/>
    <w:rsid w:val="00231C32"/>
    <w:rsid w:val="00233389"/>
    <w:rsid w:val="00240345"/>
    <w:rsid w:val="002421F0"/>
    <w:rsid w:val="00247274"/>
    <w:rsid w:val="0026096D"/>
    <w:rsid w:val="00266966"/>
    <w:rsid w:val="00266AAC"/>
    <w:rsid w:val="00282685"/>
    <w:rsid w:val="00285C36"/>
    <w:rsid w:val="00286596"/>
    <w:rsid w:val="002945DF"/>
    <w:rsid w:val="00294C0C"/>
    <w:rsid w:val="002A016A"/>
    <w:rsid w:val="002A0934"/>
    <w:rsid w:val="002A1B4A"/>
    <w:rsid w:val="002B07D7"/>
    <w:rsid w:val="002B1013"/>
    <w:rsid w:val="002C0B0D"/>
    <w:rsid w:val="002C4377"/>
    <w:rsid w:val="002D03E5"/>
    <w:rsid w:val="002D1E91"/>
    <w:rsid w:val="002D4180"/>
    <w:rsid w:val="002E165B"/>
    <w:rsid w:val="002E3F1D"/>
    <w:rsid w:val="002F31D0"/>
    <w:rsid w:val="002F4237"/>
    <w:rsid w:val="002F5273"/>
    <w:rsid w:val="00300359"/>
    <w:rsid w:val="00306BCF"/>
    <w:rsid w:val="0031131E"/>
    <w:rsid w:val="003152BF"/>
    <w:rsid w:val="0031773E"/>
    <w:rsid w:val="003230CE"/>
    <w:rsid w:val="00325C4E"/>
    <w:rsid w:val="00333871"/>
    <w:rsid w:val="00335D3B"/>
    <w:rsid w:val="003427CE"/>
    <w:rsid w:val="00345A23"/>
    <w:rsid w:val="00347716"/>
    <w:rsid w:val="003506E1"/>
    <w:rsid w:val="00353B95"/>
    <w:rsid w:val="003727E3"/>
    <w:rsid w:val="00374AE5"/>
    <w:rsid w:val="0037558A"/>
    <w:rsid w:val="00385A93"/>
    <w:rsid w:val="003910F1"/>
    <w:rsid w:val="003B4268"/>
    <w:rsid w:val="003D24BF"/>
    <w:rsid w:val="003D5DCE"/>
    <w:rsid w:val="003D7499"/>
    <w:rsid w:val="003E42FC"/>
    <w:rsid w:val="003E5991"/>
    <w:rsid w:val="003F2135"/>
    <w:rsid w:val="003F344A"/>
    <w:rsid w:val="003F591F"/>
    <w:rsid w:val="00401F89"/>
    <w:rsid w:val="00403FF0"/>
    <w:rsid w:val="0041464A"/>
    <w:rsid w:val="0042046D"/>
    <w:rsid w:val="0042116E"/>
    <w:rsid w:val="00424B52"/>
    <w:rsid w:val="00425AEF"/>
    <w:rsid w:val="00426518"/>
    <w:rsid w:val="00427B06"/>
    <w:rsid w:val="00430C95"/>
    <w:rsid w:val="004371FA"/>
    <w:rsid w:val="00441F59"/>
    <w:rsid w:val="00444E07"/>
    <w:rsid w:val="00444FA9"/>
    <w:rsid w:val="00445FC8"/>
    <w:rsid w:val="00473E9C"/>
    <w:rsid w:val="00474016"/>
    <w:rsid w:val="004745B2"/>
    <w:rsid w:val="00480099"/>
    <w:rsid w:val="004941A2"/>
    <w:rsid w:val="00497858"/>
    <w:rsid w:val="004A729A"/>
    <w:rsid w:val="004B2FB3"/>
    <w:rsid w:val="004B4FEA"/>
    <w:rsid w:val="004C021A"/>
    <w:rsid w:val="004C0ADA"/>
    <w:rsid w:val="004C3057"/>
    <w:rsid w:val="004C433E"/>
    <w:rsid w:val="004C4512"/>
    <w:rsid w:val="004C4F36"/>
    <w:rsid w:val="004D3D85"/>
    <w:rsid w:val="004E2BD8"/>
    <w:rsid w:val="004F0F1F"/>
    <w:rsid w:val="00500E42"/>
    <w:rsid w:val="005022AA"/>
    <w:rsid w:val="00504845"/>
    <w:rsid w:val="005060A6"/>
    <w:rsid w:val="0050757F"/>
    <w:rsid w:val="005105BD"/>
    <w:rsid w:val="0051333C"/>
    <w:rsid w:val="00516AD2"/>
    <w:rsid w:val="005337D4"/>
    <w:rsid w:val="00534203"/>
    <w:rsid w:val="00545DAE"/>
    <w:rsid w:val="005550DA"/>
    <w:rsid w:val="00561334"/>
    <w:rsid w:val="0056638C"/>
    <w:rsid w:val="0056690C"/>
    <w:rsid w:val="0057048D"/>
    <w:rsid w:val="00571B83"/>
    <w:rsid w:val="00574BE5"/>
    <w:rsid w:val="00575A00"/>
    <w:rsid w:val="00586417"/>
    <w:rsid w:val="0058673C"/>
    <w:rsid w:val="00594504"/>
    <w:rsid w:val="005A14C1"/>
    <w:rsid w:val="005A7972"/>
    <w:rsid w:val="005B0B66"/>
    <w:rsid w:val="005B17E7"/>
    <w:rsid w:val="005B2643"/>
    <w:rsid w:val="005D17FD"/>
    <w:rsid w:val="005D1CF8"/>
    <w:rsid w:val="005E2CB0"/>
    <w:rsid w:val="005F0D55"/>
    <w:rsid w:val="005F183E"/>
    <w:rsid w:val="00600DDA"/>
    <w:rsid w:val="00603A30"/>
    <w:rsid w:val="00604211"/>
    <w:rsid w:val="006060AE"/>
    <w:rsid w:val="00613498"/>
    <w:rsid w:val="0061541F"/>
    <w:rsid w:val="00617B94"/>
    <w:rsid w:val="00620BED"/>
    <w:rsid w:val="00626FFF"/>
    <w:rsid w:val="00630EFB"/>
    <w:rsid w:val="006415B4"/>
    <w:rsid w:val="00644E3D"/>
    <w:rsid w:val="00647AA8"/>
    <w:rsid w:val="00651B9E"/>
    <w:rsid w:val="00652019"/>
    <w:rsid w:val="006550CC"/>
    <w:rsid w:val="00657EC9"/>
    <w:rsid w:val="006604ED"/>
    <w:rsid w:val="00665633"/>
    <w:rsid w:val="00671813"/>
    <w:rsid w:val="00674C86"/>
    <w:rsid w:val="0068015E"/>
    <w:rsid w:val="006861AB"/>
    <w:rsid w:val="00686B89"/>
    <w:rsid w:val="0069420F"/>
    <w:rsid w:val="00696281"/>
    <w:rsid w:val="006A2FC5"/>
    <w:rsid w:val="006A7D75"/>
    <w:rsid w:val="006B0A70"/>
    <w:rsid w:val="006B606A"/>
    <w:rsid w:val="006C33AF"/>
    <w:rsid w:val="006D16EF"/>
    <w:rsid w:val="006D5D22"/>
    <w:rsid w:val="006D748C"/>
    <w:rsid w:val="006D78E7"/>
    <w:rsid w:val="006E0324"/>
    <w:rsid w:val="006E4A76"/>
    <w:rsid w:val="006F1DBD"/>
    <w:rsid w:val="00700556"/>
    <w:rsid w:val="0070589A"/>
    <w:rsid w:val="007167DD"/>
    <w:rsid w:val="007178C6"/>
    <w:rsid w:val="0072478B"/>
    <w:rsid w:val="0073414D"/>
    <w:rsid w:val="007475A1"/>
    <w:rsid w:val="00747AAD"/>
    <w:rsid w:val="00750A11"/>
    <w:rsid w:val="0075235E"/>
    <w:rsid w:val="007528A5"/>
    <w:rsid w:val="00767E0F"/>
    <w:rsid w:val="007732CC"/>
    <w:rsid w:val="00774079"/>
    <w:rsid w:val="0077752B"/>
    <w:rsid w:val="007926F8"/>
    <w:rsid w:val="00793D6F"/>
    <w:rsid w:val="00794090"/>
    <w:rsid w:val="007A44F8"/>
    <w:rsid w:val="007B41C7"/>
    <w:rsid w:val="007D21BF"/>
    <w:rsid w:val="007F1F21"/>
    <w:rsid w:val="007F3C12"/>
    <w:rsid w:val="007F418E"/>
    <w:rsid w:val="007F5205"/>
    <w:rsid w:val="0080486B"/>
    <w:rsid w:val="00817F58"/>
    <w:rsid w:val="008215E7"/>
    <w:rsid w:val="00830FC6"/>
    <w:rsid w:val="00850E26"/>
    <w:rsid w:val="00852BF6"/>
    <w:rsid w:val="00855052"/>
    <w:rsid w:val="00865EAA"/>
    <w:rsid w:val="00866F06"/>
    <w:rsid w:val="008728F5"/>
    <w:rsid w:val="008746AF"/>
    <w:rsid w:val="008824C2"/>
    <w:rsid w:val="008960E4"/>
    <w:rsid w:val="008A3940"/>
    <w:rsid w:val="008A40AB"/>
    <w:rsid w:val="008A6807"/>
    <w:rsid w:val="008B13C9"/>
    <w:rsid w:val="008B74C3"/>
    <w:rsid w:val="008C248C"/>
    <w:rsid w:val="008C5432"/>
    <w:rsid w:val="008C7BF1"/>
    <w:rsid w:val="008D00D6"/>
    <w:rsid w:val="008D484B"/>
    <w:rsid w:val="008D4D00"/>
    <w:rsid w:val="008D4E5E"/>
    <w:rsid w:val="008D7ABD"/>
    <w:rsid w:val="008E55A2"/>
    <w:rsid w:val="008F1609"/>
    <w:rsid w:val="008F78D8"/>
    <w:rsid w:val="00911231"/>
    <w:rsid w:val="00915E31"/>
    <w:rsid w:val="0093373C"/>
    <w:rsid w:val="00933977"/>
    <w:rsid w:val="00954C62"/>
    <w:rsid w:val="0095751A"/>
    <w:rsid w:val="00961620"/>
    <w:rsid w:val="00966815"/>
    <w:rsid w:val="009734B6"/>
    <w:rsid w:val="0098096F"/>
    <w:rsid w:val="0098437A"/>
    <w:rsid w:val="00985FD2"/>
    <w:rsid w:val="00986C92"/>
    <w:rsid w:val="00993C47"/>
    <w:rsid w:val="0099450D"/>
    <w:rsid w:val="009972BC"/>
    <w:rsid w:val="009B02CD"/>
    <w:rsid w:val="009B07DE"/>
    <w:rsid w:val="009B4B16"/>
    <w:rsid w:val="009B7F2E"/>
    <w:rsid w:val="009D4230"/>
    <w:rsid w:val="009E54A1"/>
    <w:rsid w:val="009E5F77"/>
    <w:rsid w:val="009F0DAE"/>
    <w:rsid w:val="009F4E25"/>
    <w:rsid w:val="009F5B1F"/>
    <w:rsid w:val="00A14E92"/>
    <w:rsid w:val="00A225A9"/>
    <w:rsid w:val="00A3308E"/>
    <w:rsid w:val="00A35757"/>
    <w:rsid w:val="00A35DFD"/>
    <w:rsid w:val="00A441E5"/>
    <w:rsid w:val="00A50722"/>
    <w:rsid w:val="00A6714A"/>
    <w:rsid w:val="00A702DF"/>
    <w:rsid w:val="00A775A3"/>
    <w:rsid w:val="00A81700"/>
    <w:rsid w:val="00A81B5B"/>
    <w:rsid w:val="00A82FAD"/>
    <w:rsid w:val="00A9673A"/>
    <w:rsid w:val="00A96EF2"/>
    <w:rsid w:val="00A973B8"/>
    <w:rsid w:val="00AA4316"/>
    <w:rsid w:val="00AA5C35"/>
    <w:rsid w:val="00AA5ED9"/>
    <w:rsid w:val="00AC0A38"/>
    <w:rsid w:val="00AC4274"/>
    <w:rsid w:val="00AC4E0E"/>
    <w:rsid w:val="00AC517B"/>
    <w:rsid w:val="00AD0D19"/>
    <w:rsid w:val="00AD4184"/>
    <w:rsid w:val="00AD452E"/>
    <w:rsid w:val="00AE2678"/>
    <w:rsid w:val="00AF051B"/>
    <w:rsid w:val="00B037A2"/>
    <w:rsid w:val="00B31870"/>
    <w:rsid w:val="00B320B8"/>
    <w:rsid w:val="00B35569"/>
    <w:rsid w:val="00B35EE2"/>
    <w:rsid w:val="00B36DEF"/>
    <w:rsid w:val="00B45138"/>
    <w:rsid w:val="00B46934"/>
    <w:rsid w:val="00B526FE"/>
    <w:rsid w:val="00B57131"/>
    <w:rsid w:val="00B62EB9"/>
    <w:rsid w:val="00B62F2C"/>
    <w:rsid w:val="00B70283"/>
    <w:rsid w:val="00B71F1C"/>
    <w:rsid w:val="00B72307"/>
    <w:rsid w:val="00B727C9"/>
    <w:rsid w:val="00B735C8"/>
    <w:rsid w:val="00B76A63"/>
    <w:rsid w:val="00B818BB"/>
    <w:rsid w:val="00B93CED"/>
    <w:rsid w:val="00BA6350"/>
    <w:rsid w:val="00BA6C50"/>
    <w:rsid w:val="00BB4E29"/>
    <w:rsid w:val="00BB74C9"/>
    <w:rsid w:val="00BC1B3F"/>
    <w:rsid w:val="00BC3AB6"/>
    <w:rsid w:val="00BD19E8"/>
    <w:rsid w:val="00BD4273"/>
    <w:rsid w:val="00BF01DF"/>
    <w:rsid w:val="00BF2BDA"/>
    <w:rsid w:val="00C0698F"/>
    <w:rsid w:val="00C136D9"/>
    <w:rsid w:val="00C15ACF"/>
    <w:rsid w:val="00C31ED8"/>
    <w:rsid w:val="00C321B1"/>
    <w:rsid w:val="00C432E4"/>
    <w:rsid w:val="00C45ADA"/>
    <w:rsid w:val="00C510BE"/>
    <w:rsid w:val="00C513DA"/>
    <w:rsid w:val="00C65A3C"/>
    <w:rsid w:val="00C70C26"/>
    <w:rsid w:val="00C72001"/>
    <w:rsid w:val="00C7593B"/>
    <w:rsid w:val="00C772B7"/>
    <w:rsid w:val="00C80347"/>
    <w:rsid w:val="00C819F3"/>
    <w:rsid w:val="00C85B09"/>
    <w:rsid w:val="00C870AC"/>
    <w:rsid w:val="00CB24D2"/>
    <w:rsid w:val="00CB7C1A"/>
    <w:rsid w:val="00CC0538"/>
    <w:rsid w:val="00CC5E08"/>
    <w:rsid w:val="00CC72B0"/>
    <w:rsid w:val="00CE14FD"/>
    <w:rsid w:val="00CF1AB1"/>
    <w:rsid w:val="00CF6860"/>
    <w:rsid w:val="00D02AC6"/>
    <w:rsid w:val="00D03F0C"/>
    <w:rsid w:val="00D04312"/>
    <w:rsid w:val="00D16A7F"/>
    <w:rsid w:val="00D16AD2"/>
    <w:rsid w:val="00D22596"/>
    <w:rsid w:val="00D22691"/>
    <w:rsid w:val="00D24C3D"/>
    <w:rsid w:val="00D3732B"/>
    <w:rsid w:val="00D46CB1"/>
    <w:rsid w:val="00D662EB"/>
    <w:rsid w:val="00D723F0"/>
    <w:rsid w:val="00D80B18"/>
    <w:rsid w:val="00D8133F"/>
    <w:rsid w:val="00D861EE"/>
    <w:rsid w:val="00D91649"/>
    <w:rsid w:val="00D95B05"/>
    <w:rsid w:val="00D97E2D"/>
    <w:rsid w:val="00DA0D27"/>
    <w:rsid w:val="00DA103D"/>
    <w:rsid w:val="00DA45D3"/>
    <w:rsid w:val="00DA4772"/>
    <w:rsid w:val="00DA7B44"/>
    <w:rsid w:val="00DB2667"/>
    <w:rsid w:val="00DB67B7"/>
    <w:rsid w:val="00DC15A9"/>
    <w:rsid w:val="00DC2B03"/>
    <w:rsid w:val="00DC40AA"/>
    <w:rsid w:val="00DD1750"/>
    <w:rsid w:val="00DD6C13"/>
    <w:rsid w:val="00DD79E7"/>
    <w:rsid w:val="00E020F1"/>
    <w:rsid w:val="00E11A79"/>
    <w:rsid w:val="00E17C8C"/>
    <w:rsid w:val="00E349AA"/>
    <w:rsid w:val="00E41390"/>
    <w:rsid w:val="00E41CA0"/>
    <w:rsid w:val="00E4366B"/>
    <w:rsid w:val="00E4628B"/>
    <w:rsid w:val="00E50A4A"/>
    <w:rsid w:val="00E606DE"/>
    <w:rsid w:val="00E644FE"/>
    <w:rsid w:val="00E70D4A"/>
    <w:rsid w:val="00E72733"/>
    <w:rsid w:val="00E742FA"/>
    <w:rsid w:val="00E76816"/>
    <w:rsid w:val="00E83DBF"/>
    <w:rsid w:val="00E87C13"/>
    <w:rsid w:val="00E91E04"/>
    <w:rsid w:val="00E94CD9"/>
    <w:rsid w:val="00EA1A76"/>
    <w:rsid w:val="00EA290B"/>
    <w:rsid w:val="00EB19D3"/>
    <w:rsid w:val="00EB2820"/>
    <w:rsid w:val="00EC6BCC"/>
    <w:rsid w:val="00EE0E90"/>
    <w:rsid w:val="00EE1314"/>
    <w:rsid w:val="00EF3BCA"/>
    <w:rsid w:val="00EF729B"/>
    <w:rsid w:val="00F01B0D"/>
    <w:rsid w:val="00F1238F"/>
    <w:rsid w:val="00F16485"/>
    <w:rsid w:val="00F228ED"/>
    <w:rsid w:val="00F26E31"/>
    <w:rsid w:val="00F27C6C"/>
    <w:rsid w:val="00F30883"/>
    <w:rsid w:val="00F349AB"/>
    <w:rsid w:val="00F34A8D"/>
    <w:rsid w:val="00F35012"/>
    <w:rsid w:val="00F5023C"/>
    <w:rsid w:val="00F50D25"/>
    <w:rsid w:val="00F535D8"/>
    <w:rsid w:val="00F60AFC"/>
    <w:rsid w:val="00F61155"/>
    <w:rsid w:val="00F708E3"/>
    <w:rsid w:val="00F76561"/>
    <w:rsid w:val="00F84736"/>
    <w:rsid w:val="00F90FE4"/>
    <w:rsid w:val="00F93569"/>
    <w:rsid w:val="00FC6C29"/>
    <w:rsid w:val="00FD58E0"/>
    <w:rsid w:val="00FD71AE"/>
    <w:rsid w:val="00FE0198"/>
    <w:rsid w:val="00FE3A7C"/>
    <w:rsid w:val="00FF105E"/>
    <w:rsid w:val="00FF1C0B"/>
    <w:rsid w:val="00FF232D"/>
    <w:rsid w:val="00FF4778"/>
    <w:rsid w:val="00FF7F9B"/>
    <w:rsid w:val="083AF924"/>
    <w:rsid w:val="0ABFB8EB"/>
    <w:rsid w:val="0B881CA5"/>
    <w:rsid w:val="1879104D"/>
    <w:rsid w:val="2349A7AF"/>
    <w:rsid w:val="2BD114CC"/>
    <w:rsid w:val="329E6251"/>
    <w:rsid w:val="54BD3FA8"/>
    <w:rsid w:val="57BBB7CD"/>
    <w:rsid w:val="627D01A7"/>
    <w:rsid w:val="65DE2843"/>
    <w:rsid w:val="68B40A2B"/>
    <w:rsid w:val="69255FD0"/>
    <w:rsid w:val="78BC1C86"/>
    <w:rsid w:val="7996CE43"/>
    <w:rsid w:val="7BFB723E"/>
    <w:rsid w:val="7D965013"/>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0B85ABC3"/>
  <w15:docId w15:val="{CB674E86-AF9B-49BC-8081-D59A3B7AFE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4F0F1F"/>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4F0F1F"/>
    <w:rPr>
      <w:color w:val="0000FF"/>
      <w:u w:val="single"/>
    </w:rPr>
  </w:style>
  <w:style w:type="character" w:styleId="FollowedHyperlink">
    <w:name w:val="FollowedHyperlink"/>
    <w:rsid w:val="004F0F1F"/>
    <w:rPr>
      <w:color w:val="800080"/>
      <w:u w:val="single"/>
    </w:rPr>
  </w:style>
  <w:style w:type="character" w:customStyle="1" w:styleId="articlehead1">
    <w:name w:val="articlehead1"/>
    <w:rsid w:val="0002500C"/>
    <w:rPr>
      <w:b/>
      <w:bCs/>
      <w:color w:val="336699"/>
      <w:sz w:val="24"/>
      <w:szCs w:val="24"/>
    </w:rPr>
  </w:style>
  <w:style w:type="character" w:customStyle="1" w:styleId="byline1">
    <w:name w:val="byline1"/>
    <w:rsid w:val="0002500C"/>
    <w:rPr>
      <w:rFonts w:ascii="Verdana" w:hAnsi="Verdana" w:hint="default"/>
      <w:color w:val="999999"/>
      <w:sz w:val="15"/>
      <w:szCs w:val="15"/>
    </w:rPr>
  </w:style>
  <w:style w:type="paragraph" w:styleId="NormalWeb">
    <w:name w:val="Normal (Web)"/>
    <w:basedOn w:val="Normal"/>
    <w:rsid w:val="00AA5C35"/>
  </w:style>
  <w:style w:type="paragraph" w:styleId="Caption">
    <w:name w:val="caption"/>
    <w:basedOn w:val="Normal"/>
    <w:next w:val="Normal"/>
    <w:unhideWhenUsed/>
    <w:qFormat/>
    <w:rsid w:val="00575A00"/>
    <w:rPr>
      <w:b/>
      <w:bCs/>
      <w:sz w:val="20"/>
      <w:szCs w:val="20"/>
    </w:rPr>
  </w:style>
  <w:style w:type="character" w:styleId="UnresolvedMention">
    <w:name w:val="Unresolved Mention"/>
    <w:basedOn w:val="DefaultParagraphFont"/>
    <w:uiPriority w:val="99"/>
    <w:semiHidden/>
    <w:unhideWhenUsed/>
    <w:rsid w:val="00285C36"/>
    <w:rPr>
      <w:color w:val="808080"/>
      <w:shd w:val="clear" w:color="auto" w:fill="E6E6E6"/>
    </w:rPr>
  </w:style>
  <w:style w:type="paragraph" w:styleId="BalloonText">
    <w:name w:val="Balloon Text"/>
    <w:basedOn w:val="Normal"/>
    <w:link w:val="BalloonTextChar"/>
    <w:semiHidden/>
    <w:unhideWhenUsed/>
    <w:rsid w:val="006D16EF"/>
    <w:rPr>
      <w:rFonts w:ascii="Segoe UI" w:hAnsi="Segoe UI" w:cs="Segoe UI"/>
      <w:sz w:val="18"/>
      <w:szCs w:val="18"/>
    </w:rPr>
  </w:style>
  <w:style w:type="character" w:customStyle="1" w:styleId="BalloonTextChar">
    <w:name w:val="Balloon Text Char"/>
    <w:basedOn w:val="DefaultParagraphFont"/>
    <w:link w:val="BalloonText"/>
    <w:semiHidden/>
    <w:rsid w:val="006D16EF"/>
    <w:rPr>
      <w:rFonts w:ascii="Segoe UI" w:hAnsi="Segoe UI" w:cs="Segoe UI"/>
      <w:sz w:val="18"/>
      <w:szCs w:val="18"/>
    </w:rPr>
  </w:style>
  <w:style w:type="paragraph" w:styleId="CommentText">
    <w:name w:val="annotation text"/>
    <w:basedOn w:val="Normal"/>
    <w:link w:val="CommentTextChar"/>
    <w:unhideWhenUsed/>
    <w:rPr>
      <w:sz w:val="20"/>
      <w:szCs w:val="20"/>
    </w:rPr>
  </w:style>
  <w:style w:type="character" w:customStyle="1" w:styleId="CommentTextChar">
    <w:name w:val="Comment Text Char"/>
    <w:basedOn w:val="DefaultParagraphFont"/>
    <w:link w:val="CommentText"/>
  </w:style>
  <w:style w:type="character" w:styleId="CommentReference">
    <w:name w:val="annotation reference"/>
    <w:basedOn w:val="DefaultParagraphFont"/>
    <w:semiHidden/>
    <w:unhideWhenUsed/>
    <w:rPr>
      <w:sz w:val="16"/>
      <w:szCs w:val="16"/>
    </w:rPr>
  </w:style>
  <w:style w:type="paragraph" w:styleId="Revision">
    <w:name w:val="Revision"/>
    <w:hidden/>
    <w:uiPriority w:val="99"/>
    <w:semiHidden/>
    <w:rsid w:val="00F35012"/>
    <w:rPr>
      <w:sz w:val="24"/>
      <w:szCs w:val="24"/>
    </w:rPr>
  </w:style>
  <w:style w:type="paragraph" w:styleId="ListParagraph">
    <w:name w:val="List Paragraph"/>
    <w:basedOn w:val="Normal"/>
    <w:uiPriority w:val="34"/>
    <w:qFormat/>
    <w:rsid w:val="0026096D"/>
    <w:pPr>
      <w:ind w:left="720"/>
      <w:contextualSpacing/>
    </w:pPr>
  </w:style>
  <w:style w:type="paragraph" w:styleId="CommentSubject">
    <w:name w:val="annotation subject"/>
    <w:basedOn w:val="CommentText"/>
    <w:next w:val="CommentText"/>
    <w:link w:val="CommentSubjectChar"/>
    <w:semiHidden/>
    <w:unhideWhenUsed/>
    <w:rsid w:val="009B02CD"/>
    <w:rPr>
      <w:b/>
      <w:bCs/>
    </w:rPr>
  </w:style>
  <w:style w:type="character" w:customStyle="1" w:styleId="CommentSubjectChar">
    <w:name w:val="Comment Subject Char"/>
    <w:basedOn w:val="CommentTextChar"/>
    <w:link w:val="CommentSubject"/>
    <w:semiHidden/>
    <w:rsid w:val="009B02C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image" Target="media/image1.png" /><Relationship Id="rId5" Type="http://schemas.openxmlformats.org/officeDocument/2006/relationships/hyperlink" Target="http://www.fcc.gov" TargetMode="External" /><Relationship Id="rId6" Type="http://schemas.openxmlformats.org/officeDocument/2006/relationships/theme" Target="theme/theme1.xml" /><Relationship Id="rId7" Type="http://schemas.openxmlformats.org/officeDocument/2006/relationships/numbering" Target="numbering.xml" /><Relationship Id="rId8"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