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BA3BA8" w:rsidRPr="00442A97" w14:paraId="5FED2BF7" w14:textId="77777777">
      <w:pPr>
        <w:jc w:val="right"/>
        <w:rPr>
          <w:szCs w:val="22"/>
        </w:rPr>
      </w:pPr>
    </w:p>
    <w:p w:rsidR="00632021" w:rsidRPr="00632021" w:rsidP="00632021" w14:paraId="28BC844A" w14:textId="77777777">
      <w:pPr>
        <w:snapToGrid w:val="0"/>
        <w:spacing w:before="60"/>
        <w:jc w:val="right"/>
        <w:rPr>
          <w:b/>
          <w:snapToGrid/>
          <w:szCs w:val="22"/>
        </w:rPr>
      </w:pPr>
      <w:bookmarkStart w:id="0" w:name="TOChere"/>
      <w:r>
        <w:rPr>
          <w:b/>
          <w:snapToGrid/>
          <w:szCs w:val="22"/>
        </w:rPr>
        <w:t xml:space="preserve">Released: </w:t>
      </w:r>
      <w:r w:rsidR="00346D99">
        <w:rPr>
          <w:b/>
          <w:snapToGrid/>
          <w:szCs w:val="22"/>
        </w:rPr>
        <w:t>August 11, 2026</w:t>
      </w:r>
    </w:p>
    <w:p w:rsidR="00632021" w:rsidRPr="00632021" w:rsidP="00632021" w14:paraId="632BD163" w14:textId="77777777">
      <w:pPr>
        <w:snapToGrid w:val="0"/>
        <w:jc w:val="right"/>
        <w:rPr>
          <w:snapToGrid/>
          <w:szCs w:val="22"/>
        </w:rPr>
      </w:pPr>
    </w:p>
    <w:p w:rsidR="00632021" w:rsidRPr="00632021" w:rsidP="00632021" w14:paraId="230CC03F" w14:textId="77777777">
      <w:pPr>
        <w:snapToGrid w:val="0"/>
        <w:spacing w:after="220"/>
        <w:jc w:val="center"/>
        <w:rPr>
          <w:b/>
          <w:snapToGrid/>
          <w:szCs w:val="22"/>
        </w:rPr>
      </w:pPr>
      <w:r w:rsidRPr="00632021">
        <w:rPr>
          <w:b/>
          <w:snapToGrid/>
          <w:szCs w:val="22"/>
        </w:rPr>
        <w:t>ERRATUM</w:t>
      </w:r>
    </w:p>
    <w:p w:rsidR="00346D99" w:rsidP="00346D99" w14:paraId="3B37FF56" w14:textId="77777777">
      <w:pPr>
        <w:snapToGrid w:val="0"/>
        <w:spacing w:after="220"/>
        <w:jc w:val="center"/>
        <w:rPr>
          <w:b/>
          <w:bCs/>
          <w:sz w:val="23"/>
          <w:szCs w:val="23"/>
        </w:rPr>
      </w:pPr>
      <w:r>
        <w:t xml:space="preserve"> </w:t>
      </w:r>
      <w:r>
        <w:rPr>
          <w:b/>
          <w:bCs/>
          <w:sz w:val="23"/>
          <w:szCs w:val="23"/>
        </w:rPr>
        <w:t>OFFICE OF INTERNATIONAL AFFAIRS SEEKS COMMENT ON RECOMMENDATIONS APPROVED BY THE WORLD RADIOCOMMUNICATION CONFERENCE ADVISORY COMMITTEE</w:t>
      </w:r>
    </w:p>
    <w:p w:rsidR="00346D99" w:rsidRPr="00500A08" w:rsidP="00346D99" w14:paraId="6E4B66E6" w14:textId="77777777">
      <w:pPr>
        <w:snapToGrid w:val="0"/>
        <w:spacing w:after="220"/>
        <w:jc w:val="center"/>
        <w:rPr>
          <w:rFonts w:ascii="Times New Roman Bold" w:hAnsi="Times New Roman Bold"/>
          <w:b/>
          <w:bCs/>
          <w:caps/>
          <w:snapToGrid/>
          <w:szCs w:val="22"/>
        </w:rPr>
      </w:pPr>
      <w:r w:rsidRPr="00500A08">
        <w:rPr>
          <w:b/>
          <w:bCs/>
          <w:sz w:val="23"/>
          <w:szCs w:val="23"/>
        </w:rPr>
        <w:t xml:space="preserve">OIA Docket No. 24-30 </w:t>
      </w:r>
    </w:p>
    <w:p w:rsidR="00DC0125" w:rsidRPr="00346D99" w:rsidP="00346D99" w14:paraId="5DB76B88" w14:textId="77777777">
      <w:pPr>
        <w:pStyle w:val="ParaNum"/>
        <w:numPr>
          <w:ilvl w:val="0"/>
          <w:numId w:val="0"/>
        </w:numPr>
        <w:ind w:firstLine="720"/>
        <w:rPr>
          <w:sz w:val="24"/>
          <w:szCs w:val="24"/>
        </w:rPr>
      </w:pPr>
      <w:r w:rsidRPr="00346D99">
        <w:rPr>
          <w:sz w:val="24"/>
          <w:szCs w:val="24"/>
        </w:rPr>
        <w:t>On</w:t>
      </w:r>
      <w:r w:rsidRPr="00346D99" w:rsidR="00346D99">
        <w:rPr>
          <w:sz w:val="24"/>
          <w:szCs w:val="24"/>
        </w:rPr>
        <w:t xml:space="preserve"> August 10, 2026</w:t>
      </w:r>
      <w:r w:rsidRPr="00346D99">
        <w:rPr>
          <w:sz w:val="24"/>
          <w:szCs w:val="24"/>
        </w:rPr>
        <w:t xml:space="preserve">, the </w:t>
      </w:r>
      <w:r w:rsidRPr="00346D99" w:rsidR="00346D99">
        <w:rPr>
          <w:sz w:val="24"/>
          <w:szCs w:val="24"/>
        </w:rPr>
        <w:t>Office of International Affairs</w:t>
      </w:r>
      <w:r w:rsidRPr="00346D99">
        <w:rPr>
          <w:sz w:val="24"/>
          <w:szCs w:val="24"/>
        </w:rPr>
        <w:t xml:space="preserve"> released a </w:t>
      </w:r>
      <w:r w:rsidRPr="00346D99">
        <w:rPr>
          <w:iCs/>
          <w:sz w:val="24"/>
          <w:szCs w:val="24"/>
        </w:rPr>
        <w:t>Public Notice</w:t>
      </w:r>
      <w:r w:rsidRPr="00346D99" w:rsidR="00262686">
        <w:rPr>
          <w:sz w:val="24"/>
          <w:szCs w:val="24"/>
        </w:rPr>
        <w:t xml:space="preserve">, </w:t>
      </w:r>
      <w:r w:rsidRPr="00346D99" w:rsidR="00346D99">
        <w:rPr>
          <w:sz w:val="24"/>
          <w:szCs w:val="24"/>
        </w:rPr>
        <w:t>DA 26-835</w:t>
      </w:r>
      <w:r w:rsidRPr="00346D99" w:rsidR="00262686">
        <w:rPr>
          <w:sz w:val="24"/>
          <w:szCs w:val="24"/>
        </w:rPr>
        <w:t xml:space="preserve">, </w:t>
      </w:r>
      <w:r w:rsidRPr="00346D99">
        <w:rPr>
          <w:sz w:val="24"/>
          <w:szCs w:val="24"/>
        </w:rPr>
        <w:t xml:space="preserve">in the above captioned proceeding.  This Erratum </w:t>
      </w:r>
      <w:r w:rsidRPr="00346D99">
        <w:rPr>
          <w:sz w:val="24"/>
          <w:szCs w:val="24"/>
        </w:rPr>
        <w:t>amend</w:t>
      </w:r>
      <w:r w:rsidRPr="00346D99">
        <w:rPr>
          <w:sz w:val="24"/>
          <w:szCs w:val="24"/>
        </w:rPr>
        <w:t>s</w:t>
      </w:r>
      <w:r w:rsidRPr="00346D99">
        <w:rPr>
          <w:sz w:val="24"/>
          <w:szCs w:val="24"/>
        </w:rPr>
        <w:t xml:space="preserve"> the </w:t>
      </w:r>
      <w:r w:rsidRPr="00346D99" w:rsidR="0082128A">
        <w:rPr>
          <w:sz w:val="24"/>
          <w:szCs w:val="24"/>
        </w:rPr>
        <w:t xml:space="preserve">original </w:t>
      </w:r>
      <w:r w:rsidRPr="00346D99">
        <w:rPr>
          <w:sz w:val="24"/>
          <w:szCs w:val="24"/>
        </w:rPr>
        <w:t>released document as indicated below:</w:t>
      </w:r>
    </w:p>
    <w:p w:rsidR="00632021" w:rsidRPr="00632021" w:rsidP="00500A08" w14:paraId="60A5227C" w14:textId="77777777">
      <w:pPr>
        <w:suppressAutoHyphens/>
        <w:ind w:firstLine="720"/>
        <w:rPr>
          <w:snapToGrid/>
          <w:kern w:val="0"/>
          <w:sz w:val="24"/>
          <w:szCs w:val="24"/>
        </w:rPr>
      </w:pPr>
      <w:r w:rsidRPr="00346D99">
        <w:rPr>
          <w:sz w:val="24"/>
          <w:szCs w:val="24"/>
        </w:rPr>
        <w:t>This revised Public Notice contains tracked-changes to facilitate comments on the draft recommendations provided in Attachment A</w:t>
      </w:r>
      <w:r w:rsidR="003A179F">
        <w:rPr>
          <w:sz w:val="24"/>
          <w:szCs w:val="24"/>
        </w:rPr>
        <w:t xml:space="preserve"> and</w:t>
      </w:r>
      <w:r w:rsidRPr="00346D99">
        <w:rPr>
          <w:sz w:val="24"/>
          <w:szCs w:val="24"/>
        </w:rPr>
        <w:t xml:space="preserve"> comment</w:t>
      </w:r>
      <w:r w:rsidR="005F3C3B">
        <w:rPr>
          <w:sz w:val="24"/>
          <w:szCs w:val="24"/>
        </w:rPr>
        <w:t>s</w:t>
      </w:r>
      <w:r w:rsidRPr="00346D99">
        <w:rPr>
          <w:sz w:val="24"/>
          <w:szCs w:val="24"/>
        </w:rPr>
        <w:t xml:space="preserve"> on National Telecommunications and Information Administration (NTIA) draft proposals in Attachment B. The comments provided by interested parties will assist the FCC in its upcoming consultations with the U.S. Department of State and NTIA in the development of U.S. positions for WRC-27. The proposed recommendations that are attached to this Public Notice may evolve in the course of interagency discussions as we approach WRC-27 and, therefore, do not constitute any final U.S. Government positions on any issue.</w:t>
      </w:r>
    </w:p>
    <w:bookmarkEnd w:id="0"/>
    <w:p w:rsidR="00BA3BA8" w14:paraId="3A28E655" w14:textId="77777777"/>
    <w:p w:rsidR="0002719B" w:rsidP="0002719B" w14:paraId="4E192B50" w14:textId="77777777">
      <w:pPr>
        <w:jc w:val="center"/>
      </w:pPr>
      <w:r>
        <w:t xml:space="preserve">- </w:t>
      </w:r>
      <w:r w:rsidRPr="0002719B">
        <w:rPr>
          <w:b/>
          <w:bCs/>
        </w:rPr>
        <w:t>FCC</w:t>
      </w:r>
      <w:r>
        <w:t xml:space="preserve"> -</w:t>
      </w:r>
    </w:p>
    <w:sectPr>
      <w:headerReference w:type="default" r:id="rId6"/>
      <w:footerReference w:type="even" r:id="rId7"/>
      <w:footerReference w:type="default" r:id="rId8"/>
      <w:headerReference w:type="first" r:id="rId9"/>
      <w:footerReference w:type="first" r:id="rId10"/>
      <w:endnotePr>
        <w:numFmt w:val="decimal"/>
      </w:endnotePr>
      <w:pgSz w:w="12240" w:h="15840"/>
      <w:pgMar w:top="1440" w:right="1440" w:bottom="720" w:left="1440" w:header="63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B345AB" w14:paraId="69B5CBDC" w14:textId="77777777">
      <w:pPr>
        <w:spacing w:line="20" w:lineRule="exact"/>
      </w:pPr>
    </w:p>
  </w:endnote>
  <w:endnote w:type="continuationSeparator" w:id="1">
    <w:p w:rsidR="00B345AB" w14:paraId="7664587F" w14:textId="77777777">
      <w:r>
        <w:t xml:space="preserve"> </w:t>
      </w:r>
    </w:p>
  </w:endnote>
  <w:endnote w:type="continuationNotice" w:id="2">
    <w:p w:rsidR="00B345AB" w14:paraId="672CACAE"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307255CE" w14:textId="77777777">
    <w:pPr>
      <w:pStyle w:val="Footer"/>
      <w:framePr w:wrap="around" w:vAnchor="text" w:hAnchor="margin" w:xAlign="center" w:y="1"/>
    </w:pPr>
    <w:r>
      <w:fldChar w:fldCharType="begin"/>
    </w:r>
    <w:r>
      <w:instrText xml:space="preserve">PAGE  </w:instrText>
    </w:r>
    <w:r>
      <w:fldChar w:fldCharType="separate"/>
    </w:r>
    <w:r>
      <w:fldChar w:fldCharType="end"/>
    </w:r>
  </w:p>
  <w:p w:rsidR="00BA3BA8" w14:paraId="2D5296A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35366315"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2D63AAF7" w14:textId="77777777">
    <w:pPr>
      <w:pStyle w:val="Footer"/>
      <w:tabs>
        <w:tab w:val="clear"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345AB" w14:paraId="7F59C793" w14:textId="77777777">
      <w:r>
        <w:separator/>
      </w:r>
    </w:p>
  </w:footnote>
  <w:footnote w:type="continuationSeparator" w:id="1">
    <w:p w:rsidR="00B345AB" w14:paraId="65A0D4E3" w14:textId="77777777">
      <w:pPr>
        <w:rPr>
          <w:sz w:val="20"/>
        </w:rPr>
      </w:pPr>
      <w:r>
        <w:rPr>
          <w:sz w:val="20"/>
        </w:rPr>
        <w:t xml:space="preserve">(Continued from previous page)  </w:t>
      </w:r>
      <w:r>
        <w:rPr>
          <w:sz w:val="20"/>
        </w:rPr>
        <w:separator/>
      </w:r>
    </w:p>
  </w:footnote>
  <w:footnote w:type="continuationNotice" w:id="2">
    <w:p w:rsidR="00B345AB" w14:paraId="27AC102B" w14:textId="77777777">
      <w:pPr>
        <w:jc w:val="right"/>
        <w:rPr>
          <w:sz w:val="20"/>
        </w:rPr>
      </w:pPr>
      <w:r>
        <w:rPr>
          <w:sz w:val="20"/>
        </w:rPr>
        <w:t>(continued….)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3B1957A9" w14:textId="77777777">
    <w:pPr>
      <w:tabs>
        <w:tab w:val="center" w:pos="4680"/>
        <w:tab w:val="right" w:pos="9360"/>
      </w:tabs>
    </w:pPr>
    <w:r>
      <w:rPr>
        <w:b/>
      </w:rPr>
      <w:tab/>
      <w:t>Federal Communications Commission</w:t>
    </w:r>
    <w:r>
      <w:rPr>
        <w:b/>
      </w:rPr>
      <w:tab/>
    </w:r>
    <w:r>
      <w:rPr>
        <w:b/>
      </w:rPr>
      <w:fldChar w:fldCharType="begin"/>
    </w:r>
    <w:r>
      <w:rPr>
        <w:b/>
      </w:rPr>
      <w:instrText xml:space="preserve"> MACROBUTTON  AcceptAllChangesShown "FCC/DA  XX-XXX" </w:instrText>
    </w:r>
    <w:r>
      <w:rPr>
        <w:b/>
      </w:rPr>
      <w:fldChar w:fldCharType="end"/>
    </w:r>
  </w:p>
  <w:p w:rsidR="00BA3BA8" w14:paraId="5644CE87" w14:textId="77777777">
    <w:pPr>
      <w:tabs>
        <w:tab w:val="left" w:pos="-720"/>
      </w:tabs>
      <w:suppressAutoHyphens/>
      <w:spacing w:line="19" w:lineRule="exact"/>
      <w:rPr>
        <w:spacing w:val="-2"/>
      </w:rPr>
    </w:pPr>
    <w:r>
      <w:rPr>
        <w:noProof/>
      </w:rPr>
      <mc:AlternateContent>
        <mc:Choice Requires="wps">
          <w:drawing>
            <wp:anchor distT="0" distB="0" distL="114300" distR="114300" simplePos="0" relativeHeight="251658240" behindDoc="1" locked="0" layoutInCell="0" allowOverlap="1">
              <wp:simplePos x="0" y="0"/>
              <wp:positionH relativeFrom="margin">
                <wp:posOffset>0</wp:posOffset>
              </wp:positionH>
              <wp:positionV relativeFrom="paragraph">
                <wp:posOffset>0</wp:posOffset>
              </wp:positionV>
              <wp:extent cx="5943600" cy="12065"/>
              <wp:effectExtent l="0" t="0" r="0" b="0"/>
              <wp:wrapNone/>
              <wp:docPr id="15" name="Rectangl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 o:spid="_x0000_s2049" style="width:468pt;height:0.95pt;margin-top:0;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color="black" stroked="f" strokeweight="0.05pt">
              <w10:wrap anchorx="margin"/>
            </v:rect>
          </w:pict>
        </mc:Fallback>
      </mc:AlternateContent>
    </w:r>
  </w:p>
  <w:p w:rsidR="00BA3BA8" w14:paraId="28B3EC9B" w14:textId="77777777">
    <w:pPr>
      <w:spacing w:before="40"/>
      <w:rPr>
        <w:rFonts w:ascii="Arial" w:hAnsi="Arial" w:cs="Arial"/>
        <w:b/>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rsidRPr="00F03EA1" w:rsidP="00F03EA1" w14:paraId="1796B92E" w14:textId="77777777">
    <w:pPr>
      <w:pStyle w:val="Header"/>
    </w:pPr>
    <w:r>
      <w:rPr>
        <w:noProof/>
      </w:rPr>
      <w:drawing>
        <wp:inline distT="0" distB="0" distL="0" distR="0">
          <wp:extent cx="5953125" cy="1428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53125" cy="14287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4B453C"/>
    <w:multiLevelType w:val="singleLevel"/>
    <w:tmpl w:val="40A8E97A"/>
    <w:lvl w:ilvl="0">
      <w:start w:val="1"/>
      <w:numFmt w:val="decimal"/>
      <w:lvlText w:val="%1."/>
      <w:lvlJc w:val="left"/>
      <w:pPr>
        <w:tabs>
          <w:tab w:val="num" w:pos="1080"/>
        </w:tabs>
        <w:ind w:left="0" w:firstLine="720"/>
      </w:pPr>
    </w:lvl>
  </w:abstractNum>
  <w:abstractNum w:abstractNumId="1">
    <w:nsid w:val="23F40A0F"/>
    <w:multiLevelType w:val="singleLevel"/>
    <w:tmpl w:val="3244DD0A"/>
    <w:lvl w:ilvl="0">
      <w:start w:val="1"/>
      <w:numFmt w:val="bullet"/>
      <w:pStyle w:val="Bullet"/>
      <w:lvlText w:val=""/>
      <w:lvlJc w:val="left"/>
      <w:pPr>
        <w:tabs>
          <w:tab w:val="num" w:pos="360"/>
        </w:tabs>
        <w:ind w:left="360" w:hanging="360"/>
      </w:pPr>
      <w:rPr>
        <w:rFonts w:ascii="Symbol" w:hAnsi="Symbol" w:hint="default"/>
      </w:rPr>
    </w:lvl>
  </w:abstractNum>
  <w:abstractNum w:abstractNumId="2">
    <w:nsid w:val="248246F3"/>
    <w:multiLevelType w:val="singleLevel"/>
    <w:tmpl w:val="B1F45678"/>
    <w:lvl w:ilvl="0">
      <w:start w:val="1"/>
      <w:numFmt w:val="decimal"/>
      <w:lvlText w:val="%1."/>
      <w:lvlJc w:val="left"/>
      <w:pPr>
        <w:tabs>
          <w:tab w:val="num" w:pos="1080"/>
        </w:tabs>
        <w:ind w:left="0" w:firstLine="720"/>
      </w:pPr>
    </w:lvl>
  </w:abstractNum>
  <w:abstractNum w:abstractNumId="3">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nsid w:val="61182925"/>
    <w:multiLevelType w:val="singleLevel"/>
    <w:tmpl w:val="D180CED0"/>
    <w:lvl w:ilvl="0">
      <w:start w:val="1"/>
      <w:numFmt w:val="decimal"/>
      <w:pStyle w:val="ParaNum"/>
      <w:lvlText w:val="%1."/>
      <w:lvlJc w:val="left"/>
      <w:pPr>
        <w:tabs>
          <w:tab w:val="num" w:pos="1080"/>
        </w:tabs>
        <w:ind w:left="0" w:firstLine="720"/>
      </w:pPr>
    </w:lvl>
  </w:abstractNum>
  <w:num w:numId="1" w16cid:durableId="328095623">
    <w:abstractNumId w:val="1"/>
  </w:num>
  <w:num w:numId="2" w16cid:durableId="224028385">
    <w:abstractNumId w:val="5"/>
  </w:num>
  <w:num w:numId="3" w16cid:durableId="613441070">
    <w:abstractNumId w:val="3"/>
  </w:num>
  <w:num w:numId="4" w16cid:durableId="1365595050">
    <w:abstractNumId w:val="4"/>
  </w:num>
  <w:num w:numId="5" w16cid:durableId="1585147663">
    <w:abstractNumId w:val="2"/>
  </w:num>
  <w:num w:numId="6" w16cid:durableId="14579166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revisionView w:comments="1" w:formatting="0" w:inkAnnotations="1" w:insDel="0" w:markup="1"/>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 w:id="2"/>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35F"/>
    <w:rsid w:val="0002719B"/>
    <w:rsid w:val="00094774"/>
    <w:rsid w:val="00097BCA"/>
    <w:rsid w:val="00143BAD"/>
    <w:rsid w:val="00161418"/>
    <w:rsid w:val="001F435F"/>
    <w:rsid w:val="00262686"/>
    <w:rsid w:val="00346D99"/>
    <w:rsid w:val="003515E0"/>
    <w:rsid w:val="00391CD0"/>
    <w:rsid w:val="003A179F"/>
    <w:rsid w:val="003C1A01"/>
    <w:rsid w:val="00430183"/>
    <w:rsid w:val="00442A97"/>
    <w:rsid w:val="004462B1"/>
    <w:rsid w:val="00464703"/>
    <w:rsid w:val="00500A08"/>
    <w:rsid w:val="005F3C3B"/>
    <w:rsid w:val="00632021"/>
    <w:rsid w:val="00641B3D"/>
    <w:rsid w:val="007F2822"/>
    <w:rsid w:val="0082128A"/>
    <w:rsid w:val="00984741"/>
    <w:rsid w:val="00993BAF"/>
    <w:rsid w:val="009F2B92"/>
    <w:rsid w:val="00A20679"/>
    <w:rsid w:val="00B345AB"/>
    <w:rsid w:val="00BA1E2C"/>
    <w:rsid w:val="00BA3BA8"/>
    <w:rsid w:val="00C01B90"/>
    <w:rsid w:val="00C70BFC"/>
    <w:rsid w:val="00C75229"/>
    <w:rsid w:val="00CA3142"/>
    <w:rsid w:val="00DC0125"/>
    <w:rsid w:val="00E53D35"/>
    <w:rsid w:val="00ED44AA"/>
    <w:rsid w:val="00EF466B"/>
    <w:rsid w:val="00F03EA1"/>
    <w:rsid w:val="00F63A7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7F7E7E8"/>
  <w15:chartTrackingRefBased/>
  <w15:docId w15:val="{980A149B-9612-4BBE-A58D-E353881D2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rPr>
      <w:snapToGrid w:val="0"/>
      <w:kern w:val="28"/>
      <w:sz w:val="22"/>
    </w:rPr>
  </w:style>
  <w:style w:type="paragraph" w:styleId="Heading1">
    <w:name w:val="heading 1"/>
    <w:basedOn w:val="Normal"/>
    <w:next w:val="ParaNum"/>
    <w:qFormat/>
    <w:pPr>
      <w:keepNext/>
      <w:numPr>
        <w:numId w:val="3"/>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autoRedefine/>
    <w:qFormat/>
    <w:pPr>
      <w:keepNext/>
      <w:numPr>
        <w:ilvl w:val="1"/>
        <w:numId w:val="3"/>
      </w:numPr>
      <w:spacing w:after="120"/>
      <w:outlineLvl w:val="1"/>
    </w:pPr>
    <w:rPr>
      <w:b/>
    </w:rPr>
  </w:style>
  <w:style w:type="paragraph" w:styleId="Heading3">
    <w:name w:val="heading 3"/>
    <w:basedOn w:val="Normal"/>
    <w:next w:val="ParaNum"/>
    <w:qFormat/>
    <w:pPr>
      <w:keepNext/>
      <w:numPr>
        <w:ilvl w:val="2"/>
        <w:numId w:val="3"/>
      </w:numPr>
      <w:tabs>
        <w:tab w:val="left" w:pos="2160"/>
      </w:tabs>
      <w:spacing w:after="120"/>
      <w:outlineLvl w:val="2"/>
    </w:pPr>
    <w:rPr>
      <w:b/>
    </w:rPr>
  </w:style>
  <w:style w:type="paragraph" w:styleId="Heading4">
    <w:name w:val="heading 4"/>
    <w:basedOn w:val="Normal"/>
    <w:next w:val="ParaNum"/>
    <w:qFormat/>
    <w:pPr>
      <w:keepNext/>
      <w:numPr>
        <w:ilvl w:val="3"/>
        <w:numId w:val="3"/>
      </w:numPr>
      <w:tabs>
        <w:tab w:val="left" w:pos="2880"/>
      </w:tabs>
      <w:spacing w:after="120"/>
      <w:outlineLvl w:val="3"/>
    </w:pPr>
    <w:rPr>
      <w:b/>
    </w:rPr>
  </w:style>
  <w:style w:type="paragraph" w:styleId="Heading5">
    <w:name w:val="heading 5"/>
    <w:basedOn w:val="Normal"/>
    <w:next w:val="ParaNum"/>
    <w:qFormat/>
    <w:pPr>
      <w:keepNext/>
      <w:numPr>
        <w:ilvl w:val="4"/>
        <w:numId w:val="3"/>
      </w:numPr>
      <w:tabs>
        <w:tab w:val="left" w:pos="3600"/>
      </w:tabs>
      <w:suppressAutoHyphens/>
      <w:spacing w:after="120"/>
      <w:outlineLvl w:val="4"/>
    </w:pPr>
    <w:rPr>
      <w:b/>
    </w:rPr>
  </w:style>
  <w:style w:type="paragraph" w:styleId="Heading6">
    <w:name w:val="heading 6"/>
    <w:basedOn w:val="Normal"/>
    <w:next w:val="ParaNum"/>
    <w:qFormat/>
    <w:pPr>
      <w:numPr>
        <w:ilvl w:val="5"/>
        <w:numId w:val="3"/>
      </w:numPr>
      <w:tabs>
        <w:tab w:val="left" w:pos="4320"/>
      </w:tabs>
      <w:spacing w:after="120"/>
      <w:outlineLvl w:val="5"/>
    </w:pPr>
    <w:rPr>
      <w:b/>
    </w:rPr>
  </w:style>
  <w:style w:type="paragraph" w:styleId="Heading7">
    <w:name w:val="heading 7"/>
    <w:basedOn w:val="Normal"/>
    <w:next w:val="ParaNum"/>
    <w:qFormat/>
    <w:pPr>
      <w:numPr>
        <w:ilvl w:val="6"/>
        <w:numId w:val="3"/>
      </w:numPr>
      <w:tabs>
        <w:tab w:val="left" w:pos="5040"/>
      </w:tabs>
      <w:spacing w:after="120"/>
      <w:ind w:left="5040" w:hanging="720"/>
      <w:outlineLvl w:val="6"/>
    </w:pPr>
    <w:rPr>
      <w:b/>
    </w:rPr>
  </w:style>
  <w:style w:type="paragraph" w:styleId="Heading8">
    <w:name w:val="heading 8"/>
    <w:basedOn w:val="Normal"/>
    <w:next w:val="ParaNum"/>
    <w:qFormat/>
    <w:pPr>
      <w:numPr>
        <w:ilvl w:val="7"/>
        <w:numId w:val="3"/>
      </w:numPr>
      <w:tabs>
        <w:tab w:val="clear" w:pos="5400"/>
        <w:tab w:val="left" w:pos="5760"/>
      </w:tabs>
      <w:spacing w:after="120"/>
      <w:ind w:left="5760" w:hanging="720"/>
      <w:outlineLvl w:val="7"/>
    </w:pPr>
    <w:rPr>
      <w:b/>
    </w:rPr>
  </w:style>
  <w:style w:type="paragraph" w:styleId="Heading9">
    <w:name w:val="heading 9"/>
    <w:basedOn w:val="Normal"/>
    <w:next w:val="ParaNum"/>
    <w:qFormat/>
    <w:pPr>
      <w:numPr>
        <w:ilvl w:val="8"/>
        <w:numId w:val="3"/>
      </w:numPr>
      <w:tabs>
        <w:tab w:val="clear" w:pos="6120"/>
        <w:tab w:val="left" w:pos="6480"/>
      </w:tabs>
      <w:spacing w:after="120"/>
      <w:ind w:left="648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Num">
    <w:name w:val="ParaNum"/>
    <w:basedOn w:val="Normal"/>
    <w:pPr>
      <w:numPr>
        <w:numId w:val="2"/>
      </w:numPr>
      <w:tabs>
        <w:tab w:val="clear" w:pos="1080"/>
        <w:tab w:val="num" w:pos="1440"/>
      </w:tabs>
      <w:spacing w:after="120"/>
    </w:pPr>
  </w:style>
  <w:style w:type="paragraph" w:styleId="EndnoteText">
    <w:name w:val="endnote text"/>
    <w:basedOn w:val="Normal"/>
    <w:semiHidden/>
    <w:rPr>
      <w:sz w:val="20"/>
    </w:rPr>
  </w:style>
  <w:style w:type="character" w:styleId="EndnoteReference">
    <w:name w:val="endnote reference"/>
    <w:semiHidden/>
    <w:rPr>
      <w:vertAlign w:val="superscript"/>
    </w:rPr>
  </w:style>
  <w:style w:type="paragraph" w:styleId="FootnoteText">
    <w:name w:val="footnote text"/>
    <w:link w:val="FootnoteTextChar"/>
    <w:semiHidden/>
    <w:pPr>
      <w:spacing w:after="120"/>
    </w:pPr>
  </w:style>
  <w:style w:type="character" w:styleId="FootnoteReference">
    <w:name w:val="footnote reference"/>
    <w:semiHidden/>
    <w:rPr>
      <w:rFonts w:ascii="Times New Roman" w:hAnsi="Times New Roman"/>
      <w:dstrike w:val="0"/>
      <w:color w:val="auto"/>
      <w:sz w:val="22"/>
      <w:vertAlign w:val="superscript"/>
    </w:rPr>
  </w:style>
  <w:style w:type="paragraph" w:styleId="TOC1">
    <w:name w:val="toc 1"/>
    <w:basedOn w:val="Normal"/>
    <w:next w:val="Normal"/>
    <w:uiPriority w:val="39"/>
    <w:pPr>
      <w:tabs>
        <w:tab w:val="left" w:pos="360"/>
        <w:tab w:val="right" w:leader="dot" w:pos="9360"/>
      </w:tabs>
      <w:suppressAutoHyphens/>
      <w:ind w:left="360" w:right="720" w:hanging="360"/>
    </w:pPr>
    <w:rPr>
      <w:caps/>
      <w:noProof/>
    </w:rPr>
  </w:style>
  <w:style w:type="paragraph" w:styleId="TOC2">
    <w:name w:val="toc 2"/>
    <w:basedOn w:val="Normal"/>
    <w:next w:val="Normal"/>
    <w:semiHidden/>
    <w:pPr>
      <w:tabs>
        <w:tab w:val="left" w:pos="720"/>
        <w:tab w:val="right" w:leader="dot" w:pos="9360"/>
      </w:tabs>
      <w:suppressAutoHyphens/>
      <w:ind w:left="720" w:right="720" w:hanging="360"/>
    </w:pPr>
    <w:rPr>
      <w:noProof/>
    </w:rPr>
  </w:style>
  <w:style w:type="paragraph" w:styleId="TOC3">
    <w:name w:val="toc 3"/>
    <w:basedOn w:val="Normal"/>
    <w:next w:val="Normal"/>
    <w:semiHidden/>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pPr>
      <w:tabs>
        <w:tab w:val="left" w:pos="2160"/>
        <w:tab w:val="right" w:leader="dot" w:pos="9360"/>
      </w:tabs>
      <w:suppressAutoHyphens/>
      <w:ind w:left="2160" w:hanging="360"/>
    </w:pPr>
    <w:rPr>
      <w:noProof/>
    </w:rPr>
  </w:style>
  <w:style w:type="paragraph" w:styleId="TOC7">
    <w:name w:val="toc 7"/>
    <w:basedOn w:val="Normal"/>
    <w:next w:val="Normal"/>
    <w:autoRedefine/>
    <w:semiHidden/>
    <w:pPr>
      <w:tabs>
        <w:tab w:val="left" w:pos="2520"/>
        <w:tab w:val="right" w:leader="dot" w:pos="9360"/>
      </w:tabs>
      <w:suppressAutoHyphens/>
      <w:ind w:left="2520" w:hanging="360"/>
    </w:pPr>
    <w:rPr>
      <w:noProof/>
    </w:rPr>
  </w:style>
  <w:style w:type="paragraph" w:styleId="TOC8">
    <w:name w:val="toc 8"/>
    <w:basedOn w:val="Normal"/>
    <w:next w:val="Normal"/>
    <w:autoRedefine/>
    <w:semiHidden/>
    <w:pPr>
      <w:tabs>
        <w:tab w:val="left" w:pos="2880"/>
        <w:tab w:val="right" w:leader="dot" w:pos="9360"/>
      </w:tabs>
      <w:suppressAutoHyphens/>
      <w:ind w:left="2880" w:hanging="360"/>
    </w:pPr>
    <w:rPr>
      <w:noProof/>
    </w:rPr>
  </w:style>
  <w:style w:type="paragraph" w:styleId="TOC9">
    <w:name w:val="toc 9"/>
    <w:basedOn w:val="Normal"/>
    <w:next w:val="Normal"/>
    <w:autoRedefine/>
    <w:semiHidden/>
    <w:pPr>
      <w:tabs>
        <w:tab w:val="left" w:pos="3240"/>
        <w:tab w:val="right" w:leader="dot" w:pos="9360"/>
      </w:tabs>
      <w:suppressAutoHyphens/>
      <w:ind w:left="3240" w:hanging="360"/>
    </w:pPr>
    <w:rPr>
      <w:noProof/>
    </w:rPr>
  </w:style>
  <w:style w:type="paragraph" w:styleId="TOAHeading">
    <w:name w:val="toa heading"/>
    <w:basedOn w:val="Normal"/>
    <w:next w:val="Normal"/>
    <w:semiHidden/>
    <w:pPr>
      <w:tabs>
        <w:tab w:val="right" w:pos="9360"/>
      </w:tabs>
      <w:suppressAutoHyphens/>
    </w:pPr>
  </w:style>
  <w:style w:type="character" w:customStyle="1" w:styleId="EquationCaption">
    <w:name w:val="_Equation Caption"/>
  </w:style>
  <w:style w:type="paragraph" w:styleId="Header">
    <w:name w:val="header"/>
    <w:basedOn w:val="Normal"/>
    <w:autoRedefine/>
    <w:pPr>
      <w:tabs>
        <w:tab w:val="center" w:pos="4680"/>
        <w:tab w:val="right" w:pos="9360"/>
      </w:tabs>
    </w:pPr>
    <w:rPr>
      <w:rFonts w:ascii="Arial" w:hAnsi="Arial" w:cs="Arial"/>
      <w:b/>
      <w:sz w:val="96"/>
      <w:szCs w:val="96"/>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240"/>
      <w:ind w:left="1440" w:right="1440"/>
    </w:pPr>
  </w:style>
  <w:style w:type="paragraph" w:customStyle="1" w:styleId="Paratitle">
    <w:name w:val="Para title"/>
    <w:basedOn w:val="Normal"/>
    <w:pPr>
      <w:tabs>
        <w:tab w:val="center" w:pos="9270"/>
      </w:tabs>
      <w:spacing w:after="240"/>
    </w:pPr>
    <w:rPr>
      <w:spacing w:val="-2"/>
    </w:rPr>
  </w:style>
  <w:style w:type="paragraph" w:customStyle="1" w:styleId="Bullet">
    <w:name w:val="Bullet"/>
    <w:basedOn w:val="Normal"/>
    <w:pPr>
      <w:numPr>
        <w:numId w:val="1"/>
      </w:numPr>
      <w:tabs>
        <w:tab w:val="clear" w:pos="360"/>
        <w:tab w:val="left" w:pos="2160"/>
      </w:tabs>
      <w:spacing w:after="220"/>
      <w:ind w:left="2160" w:hanging="720"/>
    </w:pPr>
  </w:style>
  <w:style w:type="paragraph" w:customStyle="1" w:styleId="TableFormat">
    <w:name w:val="TableFormat"/>
    <w:basedOn w:val="Bullet"/>
    <w:pPr>
      <w:numPr>
        <w:numId w:val="0"/>
      </w:numPr>
      <w:tabs>
        <w:tab w:val="clear" w:pos="2160"/>
        <w:tab w:val="left" w:pos="5040"/>
      </w:tabs>
      <w:ind w:left="5040" w:hanging="3600"/>
    </w:pPr>
  </w:style>
  <w:style w:type="paragraph" w:customStyle="1" w:styleId="TOCTitle">
    <w:name w:val="TOC Title"/>
    <w:basedOn w:val="Normal"/>
    <w:pPr>
      <w:spacing w:before="240" w:after="240"/>
      <w:jc w:val="center"/>
    </w:pPr>
    <w:rPr>
      <w:rFonts w:ascii="Times New Roman Bold" w:hAnsi="Times New Roman Bold"/>
      <w:b/>
      <w:caps/>
      <w:spacing w:val="-2"/>
    </w:rPr>
  </w:style>
  <w:style w:type="paragraph" w:customStyle="1" w:styleId="StyleBoldCentered">
    <w:name w:val="Style Bold Centered"/>
    <w:basedOn w:val="Normal"/>
    <w:pPr>
      <w:jc w:val="center"/>
    </w:pPr>
    <w:rPr>
      <w:rFonts w:ascii="Times New Roman Bold" w:hAnsi="Times New Roman Bold"/>
      <w:b/>
      <w:bCs/>
      <w:caps/>
      <w:szCs w:val="22"/>
    </w:rPr>
  </w:style>
  <w:style w:type="character" w:styleId="Hyperlink">
    <w:name w:val="Hyperlink"/>
    <w:rPr>
      <w:color w:val="0000FF"/>
      <w:u w:val="single"/>
    </w:rPr>
  </w:style>
  <w:style w:type="character" w:customStyle="1" w:styleId="FooterChar">
    <w:name w:val="Footer Char"/>
    <w:link w:val="Footer"/>
    <w:uiPriority w:val="99"/>
    <w:rPr>
      <w:snapToGrid w:val="0"/>
      <w:kern w:val="28"/>
      <w:sz w:val="22"/>
    </w:rPr>
  </w:style>
  <w:style w:type="character" w:styleId="UnresolvedMention">
    <w:name w:val="Unresolved Mention"/>
    <w:uiPriority w:val="99"/>
    <w:semiHidden/>
    <w:unhideWhenUsed/>
    <w:rPr>
      <w:color w:val="605E5C"/>
      <w:shd w:val="clear" w:color="auto" w:fill="E1DFDD"/>
    </w:rPr>
  </w:style>
  <w:style w:type="character" w:customStyle="1" w:styleId="FootnoteTextChar">
    <w:name w:val="Footnote Text Char"/>
    <w:basedOn w:val="DefaultParagraphFont"/>
    <w:link w:val="FootnoteText"/>
    <w:semiHidden/>
    <w:rsid w:val="00632021"/>
  </w:style>
  <w:style w:type="paragraph" w:customStyle="1" w:styleId="Default">
    <w:name w:val="Default"/>
    <w:rsid w:val="00346D99"/>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2.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K:\Bureaus-Offices\OMD\Office%20of%20the%20Secretary\Agenda%20and%20Publications%20Group\ERRATA\4.%20%20RELEASED%20ERRATUM\Erratum%20for%20DA%2026-835.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Erratum for DA 26-835.dotx</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