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11.0 -->
  <w:body>
    <w:p w:rsidR="00DA546B" w:rsidRPr="00DA32B6" w14:paraId="045CAEC1" w14:textId="77777777">
      <w:pPr>
        <w:jc w:val="center"/>
        <w:rPr>
          <w:sz w:val="22"/>
          <w:szCs w:val="22"/>
        </w:rPr>
      </w:pPr>
      <w:r w:rsidRPr="00DA32B6">
        <w:rPr>
          <w:b/>
          <w:bCs/>
          <w:sz w:val="22"/>
          <w:szCs w:val="22"/>
        </w:rPr>
        <w:t>Before the</w:t>
      </w:r>
    </w:p>
    <w:p w:rsidR="00DA546B" w:rsidRPr="00DA32B6" w14:paraId="045CAEC2" w14:textId="77777777">
      <w:pPr>
        <w:jc w:val="center"/>
        <w:rPr>
          <w:sz w:val="22"/>
          <w:szCs w:val="22"/>
        </w:rPr>
      </w:pPr>
      <w:r w:rsidRPr="00DA32B6">
        <w:rPr>
          <w:b/>
          <w:bCs/>
          <w:sz w:val="22"/>
          <w:szCs w:val="22"/>
        </w:rPr>
        <w:t>Federal Communications Commission</w:t>
      </w:r>
    </w:p>
    <w:p w:rsidR="00DA546B" w:rsidRPr="00DA32B6" w14:paraId="045CAEC3" w14:textId="77777777">
      <w:pPr>
        <w:spacing w:after="240"/>
        <w:jc w:val="center"/>
        <w:rPr>
          <w:sz w:val="22"/>
          <w:szCs w:val="22"/>
        </w:rPr>
      </w:pPr>
      <w:r w:rsidRPr="00DA32B6">
        <w:rPr>
          <w:b/>
          <w:bCs/>
          <w:sz w:val="22"/>
          <w:szCs w:val="22"/>
        </w:rPr>
        <w:t>Washington, D.C. 20554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5200"/>
        <w:gridCol w:w="700"/>
        <w:gridCol w:w="3460"/>
      </w:tblGrid>
      <w:tr w14:paraId="045CAECC" w14:textId="77777777">
        <w:tblPrEx>
          <w:tblW w:w="9360" w:type="dxa"/>
          <w:tblLook w:val="0000"/>
        </w:tblPrEx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A546B" w:rsidRPr="00DA32B6" w14:paraId="045CAEC4" w14:textId="77777777">
            <w:pPr>
              <w:spacing w:after="120"/>
              <w:rPr>
                <w:sz w:val="22"/>
                <w:szCs w:val="22"/>
              </w:rPr>
            </w:pPr>
            <w:r w:rsidRPr="00DA32B6">
              <w:rPr>
                <w:sz w:val="22"/>
                <w:szCs w:val="22"/>
              </w:rPr>
              <w:t>In the Matter of</w:t>
            </w:r>
          </w:p>
          <w:p w:rsidR="00DA546B" w:rsidRPr="00DA32B6" w14:paraId="045CAEC5" w14:textId="77777777">
            <w:pPr>
              <w:rPr>
                <w:sz w:val="22"/>
                <w:szCs w:val="22"/>
              </w:rPr>
            </w:pPr>
            <w:r w:rsidRPr="00DA32B6">
              <w:rPr>
                <w:sz w:val="22"/>
                <w:szCs w:val="22"/>
              </w:rPr>
              <w:t>Protecting Against National Security Threats to the Communications Supply Chain through the Equipment Authorization Program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A546B" w:rsidRPr="00DA32B6" w14:paraId="045CAEC6" w14:textId="77777777">
            <w:pPr>
              <w:rPr>
                <w:sz w:val="22"/>
                <w:szCs w:val="22"/>
              </w:rPr>
            </w:pPr>
            <w:r w:rsidRPr="00DA32B6">
              <w:rPr>
                <w:b/>
                <w:bCs/>
                <w:sz w:val="22"/>
                <w:szCs w:val="22"/>
              </w:rPr>
              <w:t>)</w:t>
            </w:r>
          </w:p>
          <w:p w:rsidR="00DA546B" w:rsidRPr="00DA32B6" w14:paraId="045CAEC7" w14:textId="77777777">
            <w:pPr>
              <w:rPr>
                <w:sz w:val="22"/>
                <w:szCs w:val="22"/>
              </w:rPr>
            </w:pPr>
            <w:r w:rsidRPr="00DA32B6">
              <w:rPr>
                <w:b/>
                <w:bCs/>
                <w:sz w:val="22"/>
                <w:szCs w:val="22"/>
              </w:rPr>
              <w:t>)</w:t>
            </w:r>
          </w:p>
          <w:p w:rsidR="00DA546B" w:rsidRPr="00DA32B6" w14:paraId="045CAEC8" w14:textId="77777777">
            <w:pPr>
              <w:rPr>
                <w:sz w:val="22"/>
                <w:szCs w:val="22"/>
              </w:rPr>
            </w:pPr>
            <w:r w:rsidRPr="00DA32B6">
              <w:rPr>
                <w:b/>
                <w:bCs/>
                <w:sz w:val="22"/>
                <w:szCs w:val="22"/>
              </w:rPr>
              <w:t>)</w:t>
            </w:r>
          </w:p>
          <w:p w:rsidR="00DA546B" w:rsidRPr="00DA32B6" w14:paraId="045CAEC9" w14:textId="77777777">
            <w:pPr>
              <w:rPr>
                <w:sz w:val="22"/>
                <w:szCs w:val="22"/>
              </w:rPr>
            </w:pPr>
            <w:r w:rsidRPr="00DA32B6">
              <w:rPr>
                <w:b/>
                <w:bCs/>
                <w:sz w:val="22"/>
                <w:szCs w:val="22"/>
              </w:rPr>
              <w:t>)</w:t>
            </w:r>
          </w:p>
          <w:p w:rsidR="00DA546B" w:rsidRPr="00DA32B6" w14:paraId="045CAECA" w14:textId="77777777">
            <w:pPr>
              <w:rPr>
                <w:sz w:val="22"/>
                <w:szCs w:val="22"/>
              </w:rPr>
            </w:pPr>
            <w:r w:rsidRPr="00DA32B6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D56615" w:rsidRPr="00DA32B6" w14:paraId="54B2D058" w14:textId="77777777">
            <w:pPr>
              <w:rPr>
                <w:sz w:val="22"/>
                <w:szCs w:val="22"/>
              </w:rPr>
            </w:pPr>
          </w:p>
          <w:p w:rsidR="00D56615" w:rsidRPr="00DA32B6" w14:paraId="0373DCD1" w14:textId="77777777">
            <w:pPr>
              <w:rPr>
                <w:sz w:val="22"/>
                <w:szCs w:val="22"/>
              </w:rPr>
            </w:pPr>
          </w:p>
          <w:p w:rsidR="00DA546B" w:rsidRPr="00DA32B6" w14:paraId="045CAECB" w14:textId="6AEF8FFD">
            <w:pPr>
              <w:rPr>
                <w:sz w:val="22"/>
                <w:szCs w:val="22"/>
              </w:rPr>
            </w:pPr>
            <w:r w:rsidRPr="00DA32B6">
              <w:rPr>
                <w:sz w:val="22"/>
                <w:szCs w:val="22"/>
              </w:rPr>
              <w:t>ET Docket No. 21-232</w:t>
            </w:r>
          </w:p>
        </w:tc>
      </w:tr>
    </w:tbl>
    <w:p w:rsidR="00DA546B" w:rsidRPr="00DA32B6" w14:paraId="045CAECD" w14:textId="77777777">
      <w:pPr>
        <w:spacing w:before="360" w:after="120"/>
        <w:jc w:val="center"/>
        <w:rPr>
          <w:sz w:val="22"/>
          <w:szCs w:val="22"/>
        </w:rPr>
      </w:pPr>
      <w:r w:rsidRPr="00DA32B6">
        <w:rPr>
          <w:b/>
          <w:bCs/>
          <w:sz w:val="22"/>
          <w:szCs w:val="22"/>
        </w:rPr>
        <w:t>ERRATUM</w:t>
      </w:r>
    </w:p>
    <w:p w:rsidR="00DA546B" w:rsidRPr="00DA32B6" w14:paraId="045CAECE" w14:textId="03EEE005">
      <w:pPr>
        <w:spacing w:after="240"/>
        <w:jc w:val="right"/>
        <w:rPr>
          <w:sz w:val="22"/>
          <w:szCs w:val="22"/>
        </w:rPr>
      </w:pPr>
      <w:r w:rsidRPr="00DA32B6">
        <w:rPr>
          <w:b/>
          <w:bCs/>
          <w:sz w:val="22"/>
          <w:szCs w:val="22"/>
        </w:rPr>
        <w:t xml:space="preserve">Released:  August </w:t>
      </w:r>
      <w:r w:rsidR="00C7172B">
        <w:rPr>
          <w:b/>
          <w:bCs/>
          <w:sz w:val="22"/>
          <w:szCs w:val="22"/>
        </w:rPr>
        <w:t>13</w:t>
      </w:r>
      <w:r w:rsidRPr="00DA32B6">
        <w:rPr>
          <w:b/>
          <w:bCs/>
          <w:sz w:val="22"/>
          <w:szCs w:val="22"/>
        </w:rPr>
        <w:t>, 2026</w:t>
      </w:r>
    </w:p>
    <w:p w:rsidR="00DA546B" w:rsidRPr="00DA32B6" w:rsidP="00492CC5" w14:paraId="045CAECF" w14:textId="7D31200B">
      <w:pPr>
        <w:spacing w:after="240"/>
        <w:rPr>
          <w:sz w:val="22"/>
          <w:szCs w:val="22"/>
        </w:rPr>
      </w:pPr>
      <w:r w:rsidRPr="00DA32B6">
        <w:rPr>
          <w:sz w:val="22"/>
          <w:szCs w:val="22"/>
        </w:rPr>
        <w:t>By the Chief, Office of Engineering and Technology:</w:t>
      </w:r>
    </w:p>
    <w:p w:rsidR="00DA546B" w:rsidRPr="00DA32B6" w:rsidP="00492CC5" w14:paraId="045CAED0" w14:textId="06D846B6">
      <w:pPr>
        <w:spacing w:after="240"/>
        <w:ind w:firstLine="720"/>
        <w:rPr>
          <w:sz w:val="22"/>
          <w:szCs w:val="22"/>
        </w:rPr>
      </w:pPr>
      <w:r w:rsidRPr="00DA32B6">
        <w:rPr>
          <w:sz w:val="22"/>
          <w:szCs w:val="22"/>
        </w:rPr>
        <w:t xml:space="preserve">1.  On July 23, 2026, the Commission released the </w:t>
      </w:r>
      <w:r w:rsidRPr="00DA32B6">
        <w:rPr>
          <w:i/>
          <w:iCs/>
          <w:sz w:val="22"/>
          <w:szCs w:val="22"/>
        </w:rPr>
        <w:t>Third Report and Order and Third Further Notice of Proposed Rulemaking</w:t>
      </w:r>
      <w:r w:rsidRPr="00DA32B6">
        <w:rPr>
          <w:sz w:val="22"/>
          <w:szCs w:val="22"/>
        </w:rPr>
        <w:t>, FCC 26-50, in the above-captioned proceeding (</w:t>
      </w:r>
      <w:r w:rsidRPr="00DA32B6">
        <w:rPr>
          <w:i/>
          <w:iCs/>
          <w:sz w:val="22"/>
          <w:szCs w:val="22"/>
        </w:rPr>
        <w:t>Third Report and Order</w:t>
      </w:r>
      <w:r w:rsidRPr="00DA32B6">
        <w:rPr>
          <w:sz w:val="22"/>
          <w:szCs w:val="22"/>
        </w:rPr>
        <w:t>).  Pursuant to authority delegated under sections 0.31 and 0.241 of the Commission</w:t>
      </w:r>
      <w:r w:rsidRPr="00DA32B6" w:rsidR="007B5774">
        <w:rPr>
          <w:sz w:val="22"/>
          <w:szCs w:val="22"/>
        </w:rPr>
        <w:t>’</w:t>
      </w:r>
      <w:r w:rsidRPr="00DA32B6">
        <w:rPr>
          <w:sz w:val="22"/>
          <w:szCs w:val="22"/>
        </w:rPr>
        <w:t xml:space="preserve">s rules, 47 CFR §§ 0.31, 0.241, the Office of Engineering and Technology, by this Erratum, corrects the </w:t>
      </w:r>
      <w:r w:rsidRPr="00DA32B6">
        <w:rPr>
          <w:i/>
          <w:iCs/>
          <w:sz w:val="22"/>
          <w:szCs w:val="22"/>
        </w:rPr>
        <w:t>Third Report and Order</w:t>
      </w:r>
      <w:r w:rsidRPr="00DA32B6">
        <w:rPr>
          <w:sz w:val="22"/>
          <w:szCs w:val="22"/>
        </w:rPr>
        <w:t xml:space="preserve"> as set forth below.  These corrections conform the transition-date provisions of the </w:t>
      </w:r>
      <w:r w:rsidRPr="00DA32B6">
        <w:rPr>
          <w:i/>
          <w:iCs/>
          <w:sz w:val="22"/>
          <w:szCs w:val="22"/>
        </w:rPr>
        <w:t>Third Report and Order</w:t>
      </w:r>
      <w:r w:rsidRPr="00DA32B6">
        <w:rPr>
          <w:sz w:val="22"/>
          <w:szCs w:val="22"/>
        </w:rPr>
        <w:t xml:space="preserve">, correct typographical and paragraph-designation errors in Appendix A (Final Rules) and Appendix B (Proposed Rules) and replace Appendix C (Final Regulatory Flexibility Analysis).  </w:t>
      </w:r>
    </w:p>
    <w:p w:rsidR="00DA546B" w:rsidRPr="00DA32B6" w:rsidP="00492CC5" w14:paraId="045CAED1" w14:textId="5F3CD197">
      <w:pPr>
        <w:spacing w:after="240"/>
        <w:ind w:firstLine="720"/>
        <w:rPr>
          <w:sz w:val="22"/>
          <w:szCs w:val="22"/>
        </w:rPr>
      </w:pPr>
      <w:r w:rsidRPr="00DA32B6">
        <w:rPr>
          <w:sz w:val="22"/>
          <w:szCs w:val="22"/>
        </w:rPr>
        <w:t xml:space="preserve">2.  In paragraph 76, the phrase </w:t>
      </w:r>
      <w:r w:rsidRPr="00DA32B6" w:rsidR="007B5774">
        <w:rPr>
          <w:sz w:val="22"/>
          <w:szCs w:val="22"/>
        </w:rPr>
        <w:t>“</w:t>
      </w:r>
      <w:r w:rsidRPr="00DA32B6">
        <w:rPr>
          <w:sz w:val="22"/>
          <w:szCs w:val="22"/>
        </w:rPr>
        <w:t>an effective date for compliance with § 2.803(c)(1) of 180 days after the publication of this Order in the Federal Register</w:t>
      </w:r>
      <w:r w:rsidRPr="00DA32B6" w:rsidR="007B5774">
        <w:rPr>
          <w:sz w:val="22"/>
          <w:szCs w:val="22"/>
        </w:rPr>
        <w:t>”</w:t>
      </w:r>
      <w:r w:rsidRPr="00DA32B6">
        <w:rPr>
          <w:sz w:val="22"/>
          <w:szCs w:val="22"/>
        </w:rPr>
        <w:t xml:space="preserve"> is corrected to read </w:t>
      </w:r>
      <w:r w:rsidRPr="00DA32B6" w:rsidR="007B5774">
        <w:rPr>
          <w:sz w:val="22"/>
          <w:szCs w:val="22"/>
        </w:rPr>
        <w:t>“</w:t>
      </w:r>
      <w:r w:rsidRPr="00DA32B6">
        <w:rPr>
          <w:sz w:val="22"/>
          <w:szCs w:val="22"/>
        </w:rPr>
        <w:t>a compliance date for § 2.803(c)(1) of March 1, 2027,</w:t>
      </w:r>
      <w:r w:rsidRPr="00DA32B6" w:rsidR="007B5774">
        <w:rPr>
          <w:sz w:val="22"/>
          <w:szCs w:val="22"/>
        </w:rPr>
        <w:t>”</w:t>
      </w:r>
      <w:r w:rsidRPr="00DA32B6">
        <w:rPr>
          <w:sz w:val="22"/>
          <w:szCs w:val="22"/>
        </w:rPr>
        <w:t xml:space="preserve"> and the phrase </w:t>
      </w:r>
      <w:r w:rsidRPr="00DA32B6" w:rsidR="007B5774">
        <w:rPr>
          <w:sz w:val="22"/>
          <w:szCs w:val="22"/>
        </w:rPr>
        <w:t>“</w:t>
      </w:r>
      <w:r w:rsidRPr="00DA32B6">
        <w:rPr>
          <w:sz w:val="22"/>
          <w:szCs w:val="22"/>
        </w:rPr>
        <w:t>an effective date for § 2.803(c)(2) to be 270 days after the publication of this Order in the Federal Register</w:t>
      </w:r>
      <w:r w:rsidRPr="00DA32B6" w:rsidR="007B5774">
        <w:rPr>
          <w:sz w:val="22"/>
          <w:szCs w:val="22"/>
        </w:rPr>
        <w:t>”</w:t>
      </w:r>
      <w:r w:rsidRPr="00DA32B6">
        <w:rPr>
          <w:sz w:val="22"/>
          <w:szCs w:val="22"/>
        </w:rPr>
        <w:t xml:space="preserve"> is corrected to read </w:t>
      </w:r>
      <w:r w:rsidRPr="00DA32B6" w:rsidR="007B5774">
        <w:rPr>
          <w:sz w:val="22"/>
          <w:szCs w:val="22"/>
        </w:rPr>
        <w:t>“</w:t>
      </w:r>
      <w:r w:rsidRPr="00DA32B6">
        <w:rPr>
          <w:sz w:val="22"/>
          <w:szCs w:val="22"/>
        </w:rPr>
        <w:t>a compliance date for § 2.803(c)(2) of June 1, 2027.</w:t>
      </w:r>
      <w:r w:rsidRPr="00DA32B6" w:rsidR="007B5774">
        <w:rPr>
          <w:sz w:val="22"/>
          <w:szCs w:val="22"/>
        </w:rPr>
        <w:t>”</w:t>
      </w:r>
    </w:p>
    <w:p w:rsidR="00DA546B" w:rsidRPr="00DA32B6" w:rsidP="00492CC5" w14:paraId="045CAED2" w14:textId="77777777">
      <w:pPr>
        <w:spacing w:after="240"/>
        <w:ind w:firstLine="720"/>
        <w:rPr>
          <w:sz w:val="22"/>
          <w:szCs w:val="22"/>
        </w:rPr>
      </w:pPr>
      <w:r w:rsidRPr="00DA32B6">
        <w:rPr>
          <w:sz w:val="22"/>
          <w:szCs w:val="22"/>
        </w:rPr>
        <w:t>3.  In paragraph 245, the second ordering clause is corrected to read as follows:</w:t>
      </w:r>
    </w:p>
    <w:p w:rsidR="00DA546B" w:rsidRPr="00DA32B6" w:rsidP="00492CC5" w14:paraId="045CAED3" w14:textId="77777777">
      <w:pPr>
        <w:spacing w:after="240"/>
        <w:ind w:left="1440" w:right="720"/>
        <w:rPr>
          <w:sz w:val="22"/>
          <w:szCs w:val="22"/>
        </w:rPr>
      </w:pPr>
      <w:r w:rsidRPr="00DA32B6">
        <w:rPr>
          <w:sz w:val="22"/>
          <w:szCs w:val="22"/>
        </w:rPr>
        <w:t>IT IS FURTHER ORDERED that the rule amendments set forth in Appendix A of this Third Report and Order SHALL BE EFFECTIVE 30 days after publication in the Federal Register, except that compliance with the FCC ID display requirements in § 2.803(c)(1) shall not be required until March 1, 2027, and compliance with the FCC ID display requirements in § 2.803(c)(2) shall not be required until June 1, 2027.</w:t>
      </w:r>
    </w:p>
    <w:p w:rsidR="00DA546B" w:rsidRPr="00DA32B6" w:rsidP="00492CC5" w14:paraId="045CAED4" w14:textId="471F3101">
      <w:pPr>
        <w:spacing w:after="240"/>
        <w:ind w:firstLine="720"/>
        <w:rPr>
          <w:sz w:val="22"/>
          <w:szCs w:val="22"/>
        </w:rPr>
      </w:pPr>
      <w:r w:rsidRPr="00DA32B6">
        <w:rPr>
          <w:sz w:val="22"/>
          <w:szCs w:val="22"/>
        </w:rPr>
        <w:t xml:space="preserve">4.  In Appendix A (Final Rules), </w:t>
      </w:r>
      <w:r w:rsidRPr="00DA32B6" w:rsidR="00C533A8">
        <w:rPr>
          <w:sz w:val="22"/>
          <w:szCs w:val="22"/>
        </w:rPr>
        <w:t>paragraph</w:t>
      </w:r>
      <w:r w:rsidRPr="00DA32B6">
        <w:rPr>
          <w:sz w:val="22"/>
          <w:szCs w:val="22"/>
        </w:rPr>
        <w:t xml:space="preserve"> 2 (amending § 1.50001) is corrected to read as follows:</w:t>
      </w:r>
    </w:p>
    <w:p w:rsidR="00DA546B" w:rsidRPr="00DA32B6" w:rsidP="00492CC5" w14:paraId="045CAED5" w14:textId="77777777">
      <w:pPr>
        <w:spacing w:after="240"/>
        <w:ind w:left="1440" w:right="720"/>
        <w:rPr>
          <w:sz w:val="22"/>
          <w:szCs w:val="22"/>
        </w:rPr>
      </w:pPr>
      <w:r w:rsidRPr="00DA32B6">
        <w:rPr>
          <w:sz w:val="22"/>
          <w:szCs w:val="22"/>
        </w:rPr>
        <w:t>2.</w:t>
      </w:r>
      <w:r w:rsidRPr="00DA32B6">
        <w:rPr>
          <w:sz w:val="22"/>
          <w:szCs w:val="22"/>
        </w:rPr>
        <w:tab/>
        <w:t>Amend § 1.50001 by:</w:t>
      </w:r>
    </w:p>
    <w:p w:rsidR="00DA546B" w:rsidRPr="00DA32B6" w:rsidP="00492CC5" w14:paraId="045CAED6" w14:textId="77777777">
      <w:pPr>
        <w:spacing w:after="240"/>
        <w:ind w:left="1440" w:right="720"/>
        <w:rPr>
          <w:sz w:val="22"/>
          <w:szCs w:val="22"/>
        </w:rPr>
      </w:pPr>
      <w:r w:rsidRPr="00DA32B6">
        <w:rPr>
          <w:sz w:val="22"/>
          <w:szCs w:val="22"/>
        </w:rPr>
        <w:t>a.</w:t>
      </w:r>
      <w:r w:rsidRPr="00DA32B6">
        <w:rPr>
          <w:sz w:val="22"/>
          <w:szCs w:val="22"/>
        </w:rPr>
        <w:tab/>
        <w:t>Redesignating paragraphs (g) through (i) as paragraphs (h) through (j);</w:t>
      </w:r>
    </w:p>
    <w:p w:rsidR="00DA546B" w:rsidRPr="00DA32B6" w:rsidP="00492CC5" w14:paraId="045CAED7" w14:textId="77777777">
      <w:pPr>
        <w:spacing w:after="240"/>
        <w:ind w:left="1440" w:right="720"/>
        <w:rPr>
          <w:sz w:val="22"/>
          <w:szCs w:val="22"/>
        </w:rPr>
      </w:pPr>
      <w:r w:rsidRPr="00DA32B6">
        <w:rPr>
          <w:sz w:val="22"/>
          <w:szCs w:val="22"/>
        </w:rPr>
        <w:t>b.</w:t>
      </w:r>
      <w:r w:rsidRPr="00DA32B6">
        <w:rPr>
          <w:sz w:val="22"/>
          <w:szCs w:val="22"/>
        </w:rPr>
        <w:tab/>
        <w:t>Redesignating paragraph (e) as paragraph (g);</w:t>
      </w:r>
    </w:p>
    <w:p w:rsidR="00DA546B" w:rsidRPr="00DA32B6" w:rsidP="00492CC5" w14:paraId="045CAED8" w14:textId="77777777">
      <w:pPr>
        <w:spacing w:after="240"/>
        <w:ind w:left="1440" w:right="720"/>
        <w:rPr>
          <w:sz w:val="22"/>
          <w:szCs w:val="22"/>
        </w:rPr>
      </w:pPr>
      <w:r w:rsidRPr="00DA32B6">
        <w:rPr>
          <w:sz w:val="22"/>
          <w:szCs w:val="22"/>
        </w:rPr>
        <w:t>c.</w:t>
      </w:r>
      <w:r w:rsidRPr="00DA32B6">
        <w:rPr>
          <w:sz w:val="22"/>
          <w:szCs w:val="22"/>
        </w:rPr>
        <w:tab/>
        <w:t>Redesignating paragraph (f) as paragraph (e); and</w:t>
      </w:r>
    </w:p>
    <w:p w:rsidR="00DA546B" w:rsidRPr="00DA32B6" w:rsidP="00492CC5" w14:paraId="045CAED9" w14:textId="77777777">
      <w:pPr>
        <w:spacing w:after="240"/>
        <w:ind w:left="1440" w:right="720"/>
        <w:rPr>
          <w:sz w:val="22"/>
          <w:szCs w:val="22"/>
        </w:rPr>
      </w:pPr>
      <w:r w:rsidRPr="00DA32B6">
        <w:rPr>
          <w:sz w:val="22"/>
          <w:szCs w:val="22"/>
        </w:rPr>
        <w:t>d.</w:t>
      </w:r>
      <w:r w:rsidRPr="00DA32B6">
        <w:rPr>
          <w:sz w:val="22"/>
          <w:szCs w:val="22"/>
        </w:rPr>
        <w:tab/>
        <w:t>Adding new paragraph (f).</w:t>
      </w:r>
    </w:p>
    <w:p w:rsidR="00DA546B" w:rsidRPr="00DA32B6" w:rsidP="00492CC5" w14:paraId="045CAEDB" w14:textId="77777777">
      <w:pPr>
        <w:spacing w:after="240"/>
        <w:ind w:firstLine="720"/>
        <w:rPr>
          <w:sz w:val="22"/>
          <w:szCs w:val="22"/>
        </w:rPr>
      </w:pPr>
      <w:r w:rsidRPr="00DA32B6">
        <w:rPr>
          <w:sz w:val="22"/>
          <w:szCs w:val="22"/>
        </w:rPr>
        <w:t>5.  In Appendix A, in § 2.803(c)(3), subordinate paragraphs (a), (b), and (c) are redesignated as paragraphs (i), (ii), and (iii), respectively.</w:t>
      </w:r>
    </w:p>
    <w:p w:rsidR="00DA546B" w:rsidRPr="00DA32B6" w:rsidP="00492CC5" w14:paraId="045CAEDC" w14:textId="77777777">
      <w:pPr>
        <w:spacing w:after="240"/>
        <w:ind w:firstLine="720"/>
        <w:rPr>
          <w:sz w:val="22"/>
          <w:szCs w:val="22"/>
        </w:rPr>
      </w:pPr>
      <w:r w:rsidRPr="00DA32B6">
        <w:rPr>
          <w:sz w:val="22"/>
          <w:szCs w:val="22"/>
        </w:rPr>
        <w:t>6.  In Appendix A, in § 2.803(c), the following notes are added after redesignated paragraph (c)(3)(iii):</w:t>
      </w:r>
    </w:p>
    <w:p w:rsidR="00DA546B" w:rsidRPr="00DA32B6" w:rsidP="00492CC5" w14:paraId="045CAEDD" w14:textId="77777777">
      <w:pPr>
        <w:spacing w:after="240"/>
        <w:ind w:left="1440" w:right="720"/>
        <w:rPr>
          <w:sz w:val="22"/>
          <w:szCs w:val="22"/>
        </w:rPr>
      </w:pPr>
      <w:r w:rsidRPr="00DA32B6">
        <w:rPr>
          <w:sz w:val="22"/>
          <w:szCs w:val="22"/>
        </w:rPr>
        <w:t>Note to paragraph (c)(1):  Compliance with this paragraph is not required until March 1, 2027.</w:t>
      </w:r>
    </w:p>
    <w:p w:rsidR="00DA546B" w:rsidRPr="00DA32B6" w:rsidP="00492CC5" w14:paraId="045CAEDE" w14:textId="77777777">
      <w:pPr>
        <w:spacing w:after="240"/>
        <w:ind w:left="1440" w:right="720"/>
        <w:rPr>
          <w:sz w:val="22"/>
          <w:szCs w:val="22"/>
        </w:rPr>
      </w:pPr>
      <w:r w:rsidRPr="00DA32B6">
        <w:rPr>
          <w:sz w:val="22"/>
          <w:szCs w:val="22"/>
        </w:rPr>
        <w:t>Note to paragraph (c)(2):  Compliance with this paragraph is not required until June 1, 2027.</w:t>
      </w:r>
    </w:p>
    <w:p w:rsidR="00DA546B" w:rsidRPr="00DA32B6" w:rsidP="00492CC5" w14:paraId="045CAEDF" w14:textId="481D959E">
      <w:pPr>
        <w:spacing w:after="240"/>
        <w:ind w:firstLine="720"/>
        <w:rPr>
          <w:sz w:val="22"/>
          <w:szCs w:val="22"/>
        </w:rPr>
      </w:pPr>
      <w:r w:rsidRPr="00DA32B6">
        <w:rPr>
          <w:sz w:val="22"/>
          <w:szCs w:val="22"/>
        </w:rPr>
        <w:t xml:space="preserve">7.  In Appendix A, in § 2.903(d)(2), the phrase </w:t>
      </w:r>
      <w:r w:rsidRPr="00DA32B6" w:rsidR="007B5774">
        <w:rPr>
          <w:sz w:val="22"/>
          <w:szCs w:val="22"/>
        </w:rPr>
        <w:t>“</w:t>
      </w:r>
      <w:r w:rsidRPr="00DA32B6">
        <w:rPr>
          <w:sz w:val="22"/>
          <w:szCs w:val="22"/>
        </w:rPr>
        <w:t>the information described this section</w:t>
      </w:r>
      <w:r w:rsidRPr="00DA32B6" w:rsidR="007B5774">
        <w:rPr>
          <w:sz w:val="22"/>
          <w:szCs w:val="22"/>
        </w:rPr>
        <w:t>”</w:t>
      </w:r>
      <w:r w:rsidRPr="00DA32B6">
        <w:rPr>
          <w:sz w:val="22"/>
          <w:szCs w:val="22"/>
        </w:rPr>
        <w:t xml:space="preserve"> is corrected to read </w:t>
      </w:r>
      <w:r w:rsidRPr="00DA32B6" w:rsidR="007B5774">
        <w:rPr>
          <w:sz w:val="22"/>
          <w:szCs w:val="22"/>
        </w:rPr>
        <w:t>“</w:t>
      </w:r>
      <w:r w:rsidRPr="00DA32B6">
        <w:rPr>
          <w:sz w:val="22"/>
          <w:szCs w:val="22"/>
        </w:rPr>
        <w:t>the information described in this section.</w:t>
      </w:r>
      <w:r w:rsidRPr="00DA32B6" w:rsidR="007B5774">
        <w:rPr>
          <w:sz w:val="22"/>
          <w:szCs w:val="22"/>
        </w:rPr>
        <w:t>”</w:t>
      </w:r>
    </w:p>
    <w:p w:rsidR="00DA546B" w:rsidRPr="00DA32B6" w:rsidP="00492CC5" w14:paraId="045CAEE0" w14:textId="4DA0BECC">
      <w:pPr>
        <w:spacing w:after="240"/>
        <w:ind w:firstLine="720"/>
        <w:rPr>
          <w:sz w:val="22"/>
          <w:szCs w:val="22"/>
        </w:rPr>
      </w:pPr>
      <w:r w:rsidRPr="00DA32B6">
        <w:rPr>
          <w:sz w:val="22"/>
          <w:szCs w:val="22"/>
        </w:rPr>
        <w:t xml:space="preserve">8.  In Appendix A, </w:t>
      </w:r>
      <w:r w:rsidRPr="00DA32B6" w:rsidR="00F77D09">
        <w:rPr>
          <w:sz w:val="22"/>
          <w:szCs w:val="22"/>
        </w:rPr>
        <w:t>paragraph</w:t>
      </w:r>
      <w:r w:rsidRPr="00DA32B6">
        <w:rPr>
          <w:sz w:val="22"/>
          <w:szCs w:val="22"/>
        </w:rPr>
        <w:t xml:space="preserve"> 7 (amending § 2.932) is corrected by removing the extraneous period so that the </w:t>
      </w:r>
      <w:r w:rsidRPr="00DA32B6" w:rsidR="00F77A78">
        <w:rPr>
          <w:sz w:val="22"/>
          <w:szCs w:val="22"/>
        </w:rPr>
        <w:t>paragraph</w:t>
      </w:r>
      <w:r w:rsidRPr="00DA32B6">
        <w:rPr>
          <w:sz w:val="22"/>
          <w:szCs w:val="22"/>
        </w:rPr>
        <w:t xml:space="preserve"> reads: </w:t>
      </w:r>
      <w:r w:rsidRPr="00DA32B6" w:rsidR="007B5774">
        <w:rPr>
          <w:sz w:val="22"/>
          <w:szCs w:val="22"/>
        </w:rPr>
        <w:t>“</w:t>
      </w:r>
      <w:r w:rsidRPr="00DA32B6">
        <w:rPr>
          <w:sz w:val="22"/>
          <w:szCs w:val="22"/>
        </w:rPr>
        <w:t>Amend § 2.932 by adding a sentence to paragraph (a) and adding paragraph (f) to read as follows:</w:t>
      </w:r>
      <w:r w:rsidRPr="00DA32B6" w:rsidR="007B5774">
        <w:rPr>
          <w:sz w:val="22"/>
          <w:szCs w:val="22"/>
        </w:rPr>
        <w:t>”</w:t>
      </w:r>
    </w:p>
    <w:p w:rsidR="00DA546B" w:rsidRPr="00DA32B6" w:rsidP="00492CC5" w14:paraId="045CAEE1" w14:textId="21153253">
      <w:pPr>
        <w:spacing w:after="240"/>
        <w:ind w:firstLine="720"/>
        <w:rPr>
          <w:sz w:val="22"/>
          <w:szCs w:val="22"/>
        </w:rPr>
      </w:pPr>
      <w:r w:rsidRPr="00DA32B6">
        <w:rPr>
          <w:sz w:val="22"/>
          <w:szCs w:val="22"/>
        </w:rPr>
        <w:t xml:space="preserve">9.  In Appendix A, </w:t>
      </w:r>
      <w:r w:rsidRPr="00DA32B6" w:rsidR="00F77D09">
        <w:rPr>
          <w:sz w:val="22"/>
          <w:szCs w:val="22"/>
        </w:rPr>
        <w:t>paragraph</w:t>
      </w:r>
      <w:r w:rsidRPr="00DA32B6">
        <w:rPr>
          <w:sz w:val="22"/>
          <w:szCs w:val="22"/>
        </w:rPr>
        <w:t xml:space="preserve"> 9 (amending § 2.1204) is corrected to read: </w:t>
      </w:r>
      <w:r w:rsidRPr="00DA32B6" w:rsidR="007B5774">
        <w:rPr>
          <w:sz w:val="22"/>
          <w:szCs w:val="22"/>
        </w:rPr>
        <w:t>“</w:t>
      </w:r>
      <w:r w:rsidRPr="00DA32B6">
        <w:rPr>
          <w:sz w:val="22"/>
          <w:szCs w:val="22"/>
        </w:rPr>
        <w:t>Amend § 2.1204 by revising paragraph (a)(2) and removing paragraph (a)(4)(iv) to read as follows:</w:t>
      </w:r>
      <w:r w:rsidRPr="00DA32B6" w:rsidR="007B5774">
        <w:rPr>
          <w:sz w:val="22"/>
          <w:szCs w:val="22"/>
        </w:rPr>
        <w:t>”</w:t>
      </w:r>
      <w:r w:rsidRPr="00DA32B6">
        <w:rPr>
          <w:sz w:val="22"/>
          <w:szCs w:val="22"/>
        </w:rPr>
        <w:t xml:space="preserve">; and, in the text for § 2.1204, the entry </w:t>
      </w:r>
      <w:r w:rsidRPr="00DA32B6" w:rsidR="007B5774">
        <w:rPr>
          <w:sz w:val="22"/>
          <w:szCs w:val="22"/>
        </w:rPr>
        <w:t>“</w:t>
      </w:r>
      <w:r w:rsidRPr="00DA32B6">
        <w:rPr>
          <w:sz w:val="22"/>
          <w:szCs w:val="22"/>
        </w:rPr>
        <w:t>(4)(iv) [Removed and Reserved]</w:t>
      </w:r>
      <w:r w:rsidRPr="00DA32B6" w:rsidR="007B5774">
        <w:rPr>
          <w:sz w:val="22"/>
          <w:szCs w:val="22"/>
        </w:rPr>
        <w:t>”</w:t>
      </w:r>
      <w:r w:rsidRPr="00DA32B6">
        <w:rPr>
          <w:sz w:val="22"/>
          <w:szCs w:val="22"/>
        </w:rPr>
        <w:t xml:space="preserve"> is corrected to read </w:t>
      </w:r>
      <w:r w:rsidRPr="00DA32B6" w:rsidR="007B5774">
        <w:rPr>
          <w:sz w:val="22"/>
          <w:szCs w:val="22"/>
        </w:rPr>
        <w:t>“</w:t>
      </w:r>
      <w:r w:rsidRPr="00DA32B6">
        <w:rPr>
          <w:sz w:val="22"/>
          <w:szCs w:val="22"/>
        </w:rPr>
        <w:t>(4)(iv) [Removed].</w:t>
      </w:r>
      <w:r w:rsidRPr="00DA32B6" w:rsidR="007B5774">
        <w:rPr>
          <w:sz w:val="22"/>
          <w:szCs w:val="22"/>
        </w:rPr>
        <w:t>”</w:t>
      </w:r>
    </w:p>
    <w:p w:rsidR="00DA546B" w:rsidRPr="00DA32B6" w:rsidP="00492CC5" w14:paraId="045CAEE3" w14:textId="4CA17DAE">
      <w:pPr>
        <w:spacing w:after="240"/>
        <w:ind w:firstLine="720"/>
        <w:rPr>
          <w:sz w:val="22"/>
          <w:szCs w:val="22"/>
        </w:rPr>
      </w:pPr>
      <w:r w:rsidRPr="00C7172B">
        <w:rPr>
          <w:sz w:val="22"/>
          <w:szCs w:val="22"/>
        </w:rPr>
        <w:t xml:space="preserve">11.  In Appendix B, in </w:t>
      </w:r>
      <w:r w:rsidRPr="00C7172B" w:rsidR="00F77A78">
        <w:rPr>
          <w:sz w:val="22"/>
          <w:szCs w:val="22"/>
        </w:rPr>
        <w:t>paragraph</w:t>
      </w:r>
      <w:r w:rsidRPr="00C7172B">
        <w:rPr>
          <w:sz w:val="22"/>
          <w:szCs w:val="22"/>
        </w:rPr>
        <w:t xml:space="preserve"> 5 (amending § 2.803), </w:t>
      </w:r>
      <w:r w:rsidRPr="00DA32B6" w:rsidR="00690833">
        <w:rPr>
          <w:sz w:val="22"/>
          <w:szCs w:val="22"/>
        </w:rPr>
        <w:t>t</w:t>
      </w:r>
      <w:r w:rsidRPr="00DA32B6" w:rsidR="00623BBE">
        <w:rPr>
          <w:sz w:val="22"/>
          <w:szCs w:val="22"/>
        </w:rPr>
        <w:t xml:space="preserve">he phrase “reserving paragraph (c)” is added after “paragraphs (d) and (e),” and </w:t>
      </w:r>
      <w:r w:rsidRPr="00DA32B6">
        <w:rPr>
          <w:sz w:val="22"/>
          <w:szCs w:val="22"/>
        </w:rPr>
        <w:t xml:space="preserve">the phrase </w:t>
      </w:r>
      <w:r w:rsidRPr="00DA32B6" w:rsidR="007B5774">
        <w:rPr>
          <w:sz w:val="22"/>
          <w:szCs w:val="22"/>
        </w:rPr>
        <w:t>“</w:t>
      </w:r>
      <w:r w:rsidRPr="00DA32B6">
        <w:rPr>
          <w:sz w:val="22"/>
          <w:szCs w:val="22"/>
        </w:rPr>
        <w:t>adding section (d)(3)</w:t>
      </w:r>
      <w:r w:rsidRPr="00DA32B6" w:rsidR="007B5774">
        <w:rPr>
          <w:sz w:val="22"/>
          <w:szCs w:val="22"/>
        </w:rPr>
        <w:t>”</w:t>
      </w:r>
      <w:r w:rsidRPr="00DA32B6">
        <w:rPr>
          <w:sz w:val="22"/>
          <w:szCs w:val="22"/>
        </w:rPr>
        <w:t xml:space="preserve"> is corrected to read </w:t>
      </w:r>
      <w:r w:rsidRPr="00DA32B6" w:rsidR="007B5774">
        <w:rPr>
          <w:sz w:val="22"/>
          <w:szCs w:val="22"/>
        </w:rPr>
        <w:t>“</w:t>
      </w:r>
      <w:r w:rsidRPr="00DA32B6">
        <w:rPr>
          <w:sz w:val="22"/>
          <w:szCs w:val="22"/>
        </w:rPr>
        <w:t>adding paragraph (d)(3).</w:t>
      </w:r>
      <w:r w:rsidRPr="00DA32B6" w:rsidR="007B5774">
        <w:rPr>
          <w:sz w:val="22"/>
          <w:szCs w:val="22"/>
        </w:rPr>
        <w:t>”</w:t>
      </w:r>
    </w:p>
    <w:p w:rsidR="00DA546B" w:rsidRPr="00DA32B6" w:rsidP="00492CC5" w14:paraId="045CAEE4" w14:textId="63F353EB">
      <w:pPr>
        <w:spacing w:after="240"/>
        <w:ind w:firstLine="720"/>
        <w:rPr>
          <w:sz w:val="22"/>
          <w:szCs w:val="22"/>
        </w:rPr>
      </w:pPr>
      <w:r w:rsidRPr="00DA32B6">
        <w:rPr>
          <w:sz w:val="22"/>
          <w:szCs w:val="22"/>
        </w:rPr>
        <w:t xml:space="preserve">12.  In Appendix B, the section heading of § 2.804 is corrected to read: </w:t>
      </w:r>
      <w:r w:rsidRPr="00DA32B6" w:rsidR="007B5774">
        <w:rPr>
          <w:sz w:val="22"/>
          <w:szCs w:val="22"/>
        </w:rPr>
        <w:t>“</w:t>
      </w:r>
      <w:r w:rsidRPr="00DA32B6">
        <w:rPr>
          <w:sz w:val="22"/>
          <w:szCs w:val="22"/>
        </w:rPr>
        <w:t>§ 2.804 Online marketing of radiofrequency devices subject to an equipment authorization.</w:t>
      </w:r>
      <w:r w:rsidRPr="00DA32B6" w:rsidR="007B5774">
        <w:rPr>
          <w:sz w:val="22"/>
          <w:szCs w:val="22"/>
        </w:rPr>
        <w:t>”</w:t>
      </w:r>
    </w:p>
    <w:p w:rsidR="00DA546B" w:rsidRPr="00DA32B6" w:rsidP="00492CC5" w14:paraId="045CAEE6" w14:textId="4DAE86B4">
      <w:pPr>
        <w:spacing w:after="240"/>
        <w:ind w:firstLine="720"/>
        <w:rPr>
          <w:sz w:val="22"/>
          <w:szCs w:val="22"/>
        </w:rPr>
      </w:pPr>
      <w:r w:rsidRPr="00DA32B6">
        <w:rPr>
          <w:sz w:val="22"/>
          <w:szCs w:val="22"/>
        </w:rPr>
        <w:t>1</w:t>
      </w:r>
      <w:r>
        <w:rPr>
          <w:sz w:val="22"/>
          <w:szCs w:val="22"/>
        </w:rPr>
        <w:t>3</w:t>
      </w:r>
      <w:r w:rsidRPr="00DA32B6" w:rsidR="00656552">
        <w:rPr>
          <w:sz w:val="22"/>
          <w:szCs w:val="22"/>
        </w:rPr>
        <w:t xml:space="preserve">.  In Appendix B, in § 2.909(a)(1), the word </w:t>
      </w:r>
      <w:r w:rsidRPr="00DA32B6" w:rsidR="007B5774">
        <w:rPr>
          <w:sz w:val="22"/>
          <w:szCs w:val="22"/>
        </w:rPr>
        <w:t>“</w:t>
      </w:r>
      <w:r w:rsidRPr="00DA32B6" w:rsidR="00656552">
        <w:rPr>
          <w:sz w:val="22"/>
          <w:szCs w:val="22"/>
        </w:rPr>
        <w:t>appliable</w:t>
      </w:r>
      <w:r w:rsidRPr="00DA32B6" w:rsidR="007B5774">
        <w:rPr>
          <w:sz w:val="22"/>
          <w:szCs w:val="22"/>
        </w:rPr>
        <w:t>”</w:t>
      </w:r>
      <w:r w:rsidRPr="00DA32B6" w:rsidR="00656552">
        <w:rPr>
          <w:sz w:val="22"/>
          <w:szCs w:val="22"/>
        </w:rPr>
        <w:t xml:space="preserve"> is corrected to read </w:t>
      </w:r>
      <w:r w:rsidRPr="00DA32B6" w:rsidR="007B5774">
        <w:rPr>
          <w:sz w:val="22"/>
          <w:szCs w:val="22"/>
        </w:rPr>
        <w:t>“</w:t>
      </w:r>
      <w:r w:rsidRPr="00DA32B6" w:rsidR="00656552">
        <w:rPr>
          <w:sz w:val="22"/>
          <w:szCs w:val="22"/>
        </w:rPr>
        <w:t>applicable.</w:t>
      </w:r>
      <w:r w:rsidRPr="00DA32B6" w:rsidR="007B5774">
        <w:rPr>
          <w:sz w:val="22"/>
          <w:szCs w:val="22"/>
        </w:rPr>
        <w:t>”</w:t>
      </w:r>
    </w:p>
    <w:p w:rsidR="00DA546B" w:rsidRPr="00DA32B6" w:rsidP="00492CC5" w14:paraId="045CAEE7" w14:textId="3B7276E4">
      <w:pPr>
        <w:spacing w:after="240"/>
        <w:ind w:firstLine="720"/>
        <w:rPr>
          <w:sz w:val="22"/>
          <w:szCs w:val="22"/>
        </w:rPr>
      </w:pPr>
      <w:r w:rsidRPr="00DA32B6">
        <w:rPr>
          <w:sz w:val="22"/>
          <w:szCs w:val="22"/>
        </w:rPr>
        <w:t>1</w:t>
      </w:r>
      <w:r>
        <w:rPr>
          <w:sz w:val="22"/>
          <w:szCs w:val="22"/>
        </w:rPr>
        <w:t>4</w:t>
      </w:r>
      <w:r w:rsidRPr="00DA32B6" w:rsidR="00656552">
        <w:rPr>
          <w:sz w:val="22"/>
          <w:szCs w:val="22"/>
        </w:rPr>
        <w:t xml:space="preserve">.  In Appendix B, in § 2.909(a)(2), a comma is added after </w:t>
      </w:r>
      <w:r w:rsidRPr="00DA32B6" w:rsidR="007B5774">
        <w:rPr>
          <w:sz w:val="22"/>
          <w:szCs w:val="22"/>
        </w:rPr>
        <w:t>“</w:t>
      </w:r>
      <w:r w:rsidRPr="00DA32B6" w:rsidR="00656552">
        <w:rPr>
          <w:sz w:val="22"/>
          <w:szCs w:val="22"/>
        </w:rPr>
        <w:t>Supplier</w:t>
      </w:r>
      <w:r w:rsidRPr="00DA32B6" w:rsidR="007B5774">
        <w:rPr>
          <w:sz w:val="22"/>
          <w:szCs w:val="22"/>
        </w:rPr>
        <w:t>’</w:t>
      </w:r>
      <w:r w:rsidRPr="00DA32B6" w:rsidR="00656552">
        <w:rPr>
          <w:sz w:val="22"/>
          <w:szCs w:val="22"/>
        </w:rPr>
        <w:t>s Declaration of Conformity</w:t>
      </w:r>
      <w:r w:rsidRPr="00DA32B6" w:rsidR="007B5774">
        <w:rPr>
          <w:sz w:val="22"/>
          <w:szCs w:val="22"/>
        </w:rPr>
        <w:t>”</w:t>
      </w:r>
      <w:r w:rsidRPr="00DA32B6" w:rsidR="00656552">
        <w:rPr>
          <w:sz w:val="22"/>
          <w:szCs w:val="22"/>
        </w:rPr>
        <w:t xml:space="preserve">; and, in § 2.909(a)(2)(ii), the phrase </w:t>
      </w:r>
      <w:r w:rsidRPr="00DA32B6" w:rsidR="007B5774">
        <w:rPr>
          <w:sz w:val="22"/>
          <w:szCs w:val="22"/>
        </w:rPr>
        <w:t>“</w:t>
      </w:r>
      <w:r w:rsidRPr="00DA32B6" w:rsidR="00656552">
        <w:rPr>
          <w:sz w:val="22"/>
          <w:szCs w:val="22"/>
        </w:rPr>
        <w:t>If the equipment by itself, or, a system is assembled from individual parts</w:t>
      </w:r>
      <w:r w:rsidRPr="00DA32B6" w:rsidR="007B5774">
        <w:rPr>
          <w:sz w:val="22"/>
          <w:szCs w:val="22"/>
        </w:rPr>
        <w:t>”</w:t>
      </w:r>
      <w:r w:rsidRPr="00DA32B6" w:rsidR="00656552">
        <w:rPr>
          <w:sz w:val="22"/>
          <w:szCs w:val="22"/>
        </w:rPr>
        <w:t xml:space="preserve"> is corrected to read </w:t>
      </w:r>
      <w:r w:rsidRPr="00DA32B6" w:rsidR="007B5774">
        <w:rPr>
          <w:sz w:val="22"/>
          <w:szCs w:val="22"/>
        </w:rPr>
        <w:t>“</w:t>
      </w:r>
      <w:r w:rsidRPr="00DA32B6" w:rsidR="00656552">
        <w:rPr>
          <w:sz w:val="22"/>
          <w:szCs w:val="22"/>
        </w:rPr>
        <w:t>If the equipment by itself, or a system assembled from individual parts.</w:t>
      </w:r>
      <w:r w:rsidRPr="00DA32B6" w:rsidR="007B5774">
        <w:rPr>
          <w:sz w:val="22"/>
          <w:szCs w:val="22"/>
        </w:rPr>
        <w:t>”</w:t>
      </w:r>
    </w:p>
    <w:p w:rsidR="00DA546B" w:rsidRPr="00DA32B6" w:rsidP="00492CC5" w14:paraId="045CAEE8" w14:textId="3147D7F4">
      <w:pPr>
        <w:spacing w:after="240"/>
        <w:ind w:firstLine="720"/>
        <w:rPr>
          <w:sz w:val="22"/>
          <w:szCs w:val="22"/>
        </w:rPr>
      </w:pPr>
      <w:r w:rsidRPr="00DA32B6">
        <w:rPr>
          <w:sz w:val="22"/>
          <w:szCs w:val="22"/>
        </w:rPr>
        <w:t>1</w:t>
      </w:r>
      <w:r>
        <w:rPr>
          <w:sz w:val="22"/>
          <w:szCs w:val="22"/>
        </w:rPr>
        <w:t>5</w:t>
      </w:r>
      <w:r w:rsidRPr="00DA32B6" w:rsidR="00656552">
        <w:rPr>
          <w:sz w:val="22"/>
          <w:szCs w:val="22"/>
        </w:rPr>
        <w:t xml:space="preserve">.  In Appendix B, in § 2.909(a)(2)(iii), the phrase </w:t>
      </w:r>
      <w:r w:rsidRPr="00DA32B6" w:rsidR="007B5774">
        <w:rPr>
          <w:sz w:val="22"/>
          <w:szCs w:val="22"/>
        </w:rPr>
        <w:t>“</w:t>
      </w:r>
      <w:r w:rsidRPr="00DA32B6" w:rsidR="00656552">
        <w:rPr>
          <w:sz w:val="22"/>
          <w:szCs w:val="22"/>
        </w:rPr>
        <w:t>designated in paragraph (b)(1) or (b)(2) of this section</w:t>
      </w:r>
      <w:r w:rsidRPr="00DA32B6" w:rsidR="007B5774">
        <w:rPr>
          <w:sz w:val="22"/>
          <w:szCs w:val="22"/>
        </w:rPr>
        <w:t>”</w:t>
      </w:r>
      <w:r w:rsidRPr="00DA32B6" w:rsidR="00656552">
        <w:rPr>
          <w:sz w:val="22"/>
          <w:szCs w:val="22"/>
        </w:rPr>
        <w:t xml:space="preserve"> is corrected to read </w:t>
      </w:r>
      <w:r w:rsidRPr="00DA32B6" w:rsidR="007B5774">
        <w:rPr>
          <w:sz w:val="22"/>
          <w:szCs w:val="22"/>
        </w:rPr>
        <w:t>“</w:t>
      </w:r>
      <w:r w:rsidRPr="00DA32B6" w:rsidR="00656552">
        <w:rPr>
          <w:sz w:val="22"/>
          <w:szCs w:val="22"/>
        </w:rPr>
        <w:t>designated in paragraph (a)(1) or (a)(2) of this section.</w:t>
      </w:r>
      <w:r w:rsidRPr="00DA32B6" w:rsidR="007B5774">
        <w:rPr>
          <w:sz w:val="22"/>
          <w:szCs w:val="22"/>
        </w:rPr>
        <w:t>”</w:t>
      </w:r>
    </w:p>
    <w:p w:rsidR="00DA546B" w:rsidRPr="00DA32B6" w:rsidP="00492CC5" w14:paraId="045CAEE9" w14:textId="2C347E4A">
      <w:pPr>
        <w:spacing w:after="240"/>
        <w:ind w:firstLine="720"/>
        <w:rPr>
          <w:sz w:val="22"/>
          <w:szCs w:val="22"/>
        </w:rPr>
      </w:pPr>
      <w:r w:rsidRPr="00DA32B6">
        <w:rPr>
          <w:sz w:val="22"/>
          <w:szCs w:val="22"/>
        </w:rPr>
        <w:t>1</w:t>
      </w:r>
      <w:r>
        <w:rPr>
          <w:sz w:val="22"/>
          <w:szCs w:val="22"/>
        </w:rPr>
        <w:t>6</w:t>
      </w:r>
      <w:r w:rsidRPr="00DA32B6" w:rsidR="00656552">
        <w:rPr>
          <w:sz w:val="22"/>
          <w:szCs w:val="22"/>
        </w:rPr>
        <w:t xml:space="preserve">.  In Appendix B, in § 2.909(a)(4), a closing quotation mark is added after </w:t>
      </w:r>
      <w:r w:rsidRPr="00DA32B6" w:rsidR="007B5774">
        <w:rPr>
          <w:sz w:val="22"/>
          <w:szCs w:val="22"/>
        </w:rPr>
        <w:t>“</w:t>
      </w:r>
      <w:r w:rsidRPr="00DA32B6" w:rsidR="00656552">
        <w:rPr>
          <w:sz w:val="22"/>
          <w:szCs w:val="22"/>
        </w:rPr>
        <w:t>modifications].</w:t>
      </w:r>
      <w:r w:rsidRPr="00DA32B6" w:rsidR="007B5774">
        <w:rPr>
          <w:sz w:val="22"/>
          <w:szCs w:val="22"/>
        </w:rPr>
        <w:t>”</w:t>
      </w:r>
    </w:p>
    <w:p w:rsidR="00DA546B" w:rsidRPr="00DA32B6" w:rsidP="00492CC5" w14:paraId="045CAEEA" w14:textId="74DD9DC5">
      <w:pPr>
        <w:spacing w:after="240"/>
        <w:ind w:firstLine="720"/>
        <w:rPr>
          <w:sz w:val="22"/>
          <w:szCs w:val="22"/>
        </w:rPr>
      </w:pPr>
      <w:r w:rsidRPr="00DA32B6">
        <w:rPr>
          <w:sz w:val="22"/>
          <w:szCs w:val="22"/>
        </w:rPr>
        <w:t>1</w:t>
      </w:r>
      <w:r>
        <w:rPr>
          <w:sz w:val="22"/>
          <w:szCs w:val="22"/>
        </w:rPr>
        <w:t>7</w:t>
      </w:r>
      <w:r w:rsidRPr="00DA32B6" w:rsidR="00656552">
        <w:rPr>
          <w:sz w:val="22"/>
          <w:szCs w:val="22"/>
        </w:rPr>
        <w:t xml:space="preserve">.  In Appendix B, in § 2.909, paragraph (b) (Liable Party) is set off as a separate paragraph from paragraph (a)(5); the four undesignated subordinate paragraphs of paragraph (b) are designated as paragraphs (b)(1) through (b)(4), respectively; in paragraph (b)(2), the phrase </w:t>
      </w:r>
      <w:r w:rsidRPr="00DA32B6" w:rsidR="007B5774">
        <w:rPr>
          <w:sz w:val="22"/>
          <w:szCs w:val="22"/>
        </w:rPr>
        <w:t>“</w:t>
      </w:r>
      <w:r w:rsidRPr="00DA32B6" w:rsidR="00656552">
        <w:rPr>
          <w:sz w:val="22"/>
          <w:szCs w:val="22"/>
        </w:rPr>
        <w:t>or, a system is assembled from individual parts</w:t>
      </w:r>
      <w:r w:rsidRPr="00DA32B6" w:rsidR="007B5774">
        <w:rPr>
          <w:sz w:val="22"/>
          <w:szCs w:val="22"/>
        </w:rPr>
        <w:t>”</w:t>
      </w:r>
      <w:r w:rsidRPr="00DA32B6" w:rsidR="00656552">
        <w:rPr>
          <w:sz w:val="22"/>
          <w:szCs w:val="22"/>
        </w:rPr>
        <w:t xml:space="preserve"> is corrected to read </w:t>
      </w:r>
      <w:r w:rsidRPr="00DA32B6" w:rsidR="007B5774">
        <w:rPr>
          <w:sz w:val="22"/>
          <w:szCs w:val="22"/>
        </w:rPr>
        <w:t>“</w:t>
      </w:r>
      <w:r w:rsidRPr="00DA32B6" w:rsidR="00656552">
        <w:rPr>
          <w:sz w:val="22"/>
          <w:szCs w:val="22"/>
        </w:rPr>
        <w:t>or a system assembled from individual parts</w:t>
      </w:r>
      <w:r w:rsidRPr="00DA32B6" w:rsidR="007B5774">
        <w:rPr>
          <w:sz w:val="22"/>
          <w:szCs w:val="22"/>
        </w:rPr>
        <w:t>”</w:t>
      </w:r>
      <w:r w:rsidRPr="00DA32B6" w:rsidR="00656552">
        <w:rPr>
          <w:sz w:val="22"/>
          <w:szCs w:val="22"/>
        </w:rPr>
        <w:t xml:space="preserve">; and, in paragraph (b)(3), the phrase </w:t>
      </w:r>
      <w:r w:rsidRPr="00DA32B6" w:rsidR="007B5774">
        <w:rPr>
          <w:sz w:val="22"/>
          <w:szCs w:val="22"/>
        </w:rPr>
        <w:t>“</w:t>
      </w:r>
      <w:r w:rsidRPr="00DA32B6" w:rsidR="00656552">
        <w:rPr>
          <w:sz w:val="22"/>
          <w:szCs w:val="22"/>
        </w:rPr>
        <w:t>of this section become the new liable party</w:t>
      </w:r>
      <w:r w:rsidRPr="00DA32B6" w:rsidR="007B5774">
        <w:rPr>
          <w:sz w:val="22"/>
          <w:szCs w:val="22"/>
        </w:rPr>
        <w:t>”</w:t>
      </w:r>
      <w:r w:rsidRPr="00DA32B6" w:rsidR="00656552">
        <w:rPr>
          <w:sz w:val="22"/>
          <w:szCs w:val="22"/>
        </w:rPr>
        <w:t xml:space="preserve"> is corrected to read </w:t>
      </w:r>
      <w:r w:rsidRPr="00DA32B6" w:rsidR="007B5774">
        <w:rPr>
          <w:sz w:val="22"/>
          <w:szCs w:val="22"/>
        </w:rPr>
        <w:t>“</w:t>
      </w:r>
      <w:r w:rsidRPr="00DA32B6" w:rsidR="00656552">
        <w:rPr>
          <w:sz w:val="22"/>
          <w:szCs w:val="22"/>
        </w:rPr>
        <w:t>of this section to become the new liable party.</w:t>
      </w:r>
      <w:r w:rsidRPr="00DA32B6" w:rsidR="007B5774">
        <w:rPr>
          <w:sz w:val="22"/>
          <w:szCs w:val="22"/>
        </w:rPr>
        <w:t>”</w:t>
      </w:r>
    </w:p>
    <w:p w:rsidR="00DA546B" w:rsidRPr="00DA32B6" w:rsidP="00492CC5" w14:paraId="045CAEED" w14:textId="04A66C78">
      <w:pPr>
        <w:spacing w:after="240"/>
        <w:ind w:firstLine="720"/>
        <w:rPr>
          <w:sz w:val="22"/>
          <w:szCs w:val="22"/>
        </w:rPr>
      </w:pPr>
      <w:r>
        <w:rPr>
          <w:sz w:val="22"/>
          <w:szCs w:val="22"/>
        </w:rPr>
        <w:t>18</w:t>
      </w:r>
      <w:r w:rsidRPr="00DA32B6" w:rsidR="00656552">
        <w:rPr>
          <w:sz w:val="22"/>
          <w:szCs w:val="22"/>
        </w:rPr>
        <w:t xml:space="preserve">.  In Appendix B, </w:t>
      </w:r>
      <w:r w:rsidRPr="00DA32B6" w:rsidR="00F77A78">
        <w:rPr>
          <w:sz w:val="22"/>
          <w:szCs w:val="22"/>
        </w:rPr>
        <w:t>paragraph</w:t>
      </w:r>
      <w:r w:rsidRPr="00DA32B6" w:rsidR="00656552">
        <w:rPr>
          <w:sz w:val="22"/>
          <w:szCs w:val="22"/>
        </w:rPr>
        <w:t xml:space="preserve"> 14 (amending § 2.932) is corrected to read: </w:t>
      </w:r>
      <w:r w:rsidRPr="00DA32B6" w:rsidR="007B5774">
        <w:rPr>
          <w:sz w:val="22"/>
          <w:szCs w:val="22"/>
        </w:rPr>
        <w:t>“</w:t>
      </w:r>
      <w:r w:rsidRPr="00DA32B6" w:rsidR="00656552">
        <w:rPr>
          <w:sz w:val="22"/>
          <w:szCs w:val="22"/>
        </w:rPr>
        <w:t>Revise § 2.932 by adding a final sentence to paragraph (b) and paragraphs (b)(1) through (b)(5) to read as follows:</w:t>
      </w:r>
      <w:r w:rsidRPr="00DA32B6" w:rsidR="007B5774">
        <w:rPr>
          <w:sz w:val="22"/>
          <w:szCs w:val="22"/>
        </w:rPr>
        <w:t>”</w:t>
      </w:r>
      <w:r w:rsidRPr="00DA32B6" w:rsidR="00656552">
        <w:rPr>
          <w:sz w:val="22"/>
          <w:szCs w:val="22"/>
        </w:rPr>
        <w:t xml:space="preserve">; the duplicative, incomplete clause </w:t>
      </w:r>
      <w:r w:rsidRPr="00DA32B6" w:rsidR="007B5774">
        <w:rPr>
          <w:sz w:val="22"/>
          <w:szCs w:val="22"/>
        </w:rPr>
        <w:t>“</w:t>
      </w:r>
      <w:r w:rsidRPr="00DA32B6" w:rsidR="00656552">
        <w:rPr>
          <w:sz w:val="22"/>
          <w:szCs w:val="22"/>
        </w:rPr>
        <w:t>The modified device is marketed as an identical;</w:t>
      </w:r>
      <w:r w:rsidRPr="00DA32B6" w:rsidR="007B5774">
        <w:rPr>
          <w:sz w:val="22"/>
          <w:szCs w:val="22"/>
        </w:rPr>
        <w:t>”</w:t>
      </w:r>
      <w:r w:rsidRPr="00DA32B6" w:rsidR="00656552">
        <w:rPr>
          <w:sz w:val="22"/>
          <w:szCs w:val="22"/>
        </w:rPr>
        <w:t xml:space="preserve"> is removed; and the remaining subordinate clauses of paragraph (b) are designated as paragraphs (b)(1) through (b)(5), so that § 2.932(b) reads as follows:</w:t>
      </w:r>
    </w:p>
    <w:p w:rsidR="00DA546B" w:rsidRPr="00DA32B6" w:rsidP="00492CC5" w14:paraId="045CAEEE" w14:textId="77777777">
      <w:pPr>
        <w:spacing w:after="240"/>
        <w:ind w:left="1440" w:right="720"/>
        <w:rPr>
          <w:sz w:val="22"/>
          <w:szCs w:val="22"/>
        </w:rPr>
      </w:pPr>
      <w:r w:rsidRPr="00DA32B6">
        <w:rPr>
          <w:sz w:val="22"/>
          <w:szCs w:val="22"/>
        </w:rPr>
        <w:t>(b)</w:t>
      </w:r>
      <w:r w:rsidRPr="00DA32B6">
        <w:rPr>
          <w:sz w:val="22"/>
          <w:szCs w:val="22"/>
        </w:rPr>
        <w:tab/>
        <w:t>* * * Notwithstanding this section, software or firmware updates to already-authorized covered equipment shall not constitute a request for a new equipment authorization where:</w:t>
      </w:r>
    </w:p>
    <w:p w:rsidR="00DA546B" w:rsidRPr="00DA32B6" w:rsidP="00492CC5" w14:paraId="045CAEEF" w14:textId="77777777">
      <w:pPr>
        <w:spacing w:after="240"/>
        <w:ind w:left="1440" w:right="720"/>
        <w:rPr>
          <w:sz w:val="22"/>
          <w:szCs w:val="22"/>
        </w:rPr>
      </w:pPr>
      <w:r w:rsidRPr="00DA32B6">
        <w:rPr>
          <w:sz w:val="22"/>
          <w:szCs w:val="22"/>
        </w:rPr>
        <w:t>(1)</w:t>
      </w:r>
      <w:r w:rsidRPr="00DA32B6">
        <w:rPr>
          <w:sz w:val="22"/>
          <w:szCs w:val="22"/>
        </w:rPr>
        <w:tab/>
        <w:t>The modification mitigates harm to consumers;</w:t>
      </w:r>
    </w:p>
    <w:p w:rsidR="00DA546B" w:rsidRPr="00DA32B6" w:rsidP="00492CC5" w14:paraId="045CAEF0" w14:textId="295123FA">
      <w:pPr>
        <w:spacing w:after="240"/>
        <w:ind w:left="1440" w:right="720"/>
        <w:rPr>
          <w:sz w:val="22"/>
          <w:szCs w:val="22"/>
        </w:rPr>
      </w:pPr>
      <w:r w:rsidRPr="00DA32B6">
        <w:rPr>
          <w:sz w:val="22"/>
          <w:szCs w:val="22"/>
        </w:rPr>
        <w:t>(2)</w:t>
      </w:r>
      <w:r w:rsidRPr="00DA32B6">
        <w:rPr>
          <w:sz w:val="22"/>
          <w:szCs w:val="22"/>
        </w:rPr>
        <w:tab/>
        <w:t>The modification does not enhance the device</w:t>
      </w:r>
      <w:r w:rsidRPr="00DA32B6" w:rsidR="007B5774">
        <w:rPr>
          <w:sz w:val="22"/>
          <w:szCs w:val="22"/>
        </w:rPr>
        <w:t>’</w:t>
      </w:r>
      <w:r w:rsidRPr="00DA32B6">
        <w:rPr>
          <w:sz w:val="22"/>
          <w:szCs w:val="22"/>
        </w:rPr>
        <w:t>s capability or alter its intended use;</w:t>
      </w:r>
    </w:p>
    <w:p w:rsidR="00DA546B" w:rsidRPr="00DA32B6" w:rsidP="00492CC5" w14:paraId="045CAEF1" w14:textId="77777777">
      <w:pPr>
        <w:spacing w:after="240"/>
        <w:ind w:left="1440" w:right="720"/>
        <w:rPr>
          <w:sz w:val="22"/>
          <w:szCs w:val="22"/>
        </w:rPr>
      </w:pPr>
      <w:r w:rsidRPr="00DA32B6">
        <w:rPr>
          <w:sz w:val="22"/>
          <w:szCs w:val="22"/>
        </w:rPr>
        <w:t>(3)</w:t>
      </w:r>
      <w:r w:rsidRPr="00DA32B6">
        <w:rPr>
          <w:sz w:val="22"/>
          <w:szCs w:val="22"/>
        </w:rPr>
        <w:tab/>
        <w:t>The modified device is marketed as identical to the pre-modified device;</w:t>
      </w:r>
    </w:p>
    <w:p w:rsidR="00DA546B" w:rsidRPr="00DA32B6" w:rsidP="00492CC5" w14:paraId="045CAEF2" w14:textId="77777777">
      <w:pPr>
        <w:spacing w:after="240"/>
        <w:ind w:left="1440" w:right="720"/>
        <w:rPr>
          <w:sz w:val="22"/>
          <w:szCs w:val="22"/>
        </w:rPr>
      </w:pPr>
      <w:r w:rsidRPr="00DA32B6">
        <w:rPr>
          <w:sz w:val="22"/>
          <w:szCs w:val="22"/>
        </w:rPr>
        <w:t>(4)</w:t>
      </w:r>
      <w:r w:rsidRPr="00DA32B6">
        <w:rPr>
          <w:sz w:val="22"/>
          <w:szCs w:val="22"/>
        </w:rPr>
        <w:tab/>
        <w:t>The modified device is equipment in a producer/provider-based Covered List entry, rather than a production location-based Covered List entry; and</w:t>
      </w:r>
    </w:p>
    <w:p w:rsidR="00DA546B" w:rsidRPr="00DA32B6" w:rsidP="00492CC5" w14:paraId="045CAEF3" w14:textId="77777777">
      <w:pPr>
        <w:spacing w:after="240"/>
        <w:ind w:left="1440" w:right="720"/>
        <w:rPr>
          <w:sz w:val="22"/>
          <w:szCs w:val="22"/>
        </w:rPr>
      </w:pPr>
      <w:r w:rsidRPr="00DA32B6">
        <w:rPr>
          <w:sz w:val="22"/>
          <w:szCs w:val="22"/>
        </w:rPr>
        <w:t>(5)</w:t>
      </w:r>
      <w:r w:rsidRPr="00DA32B6">
        <w:rPr>
          <w:sz w:val="22"/>
          <w:szCs w:val="22"/>
        </w:rPr>
        <w:tab/>
        <w:t>The modification does not involve the replacement of a U.S.-produced component for a foreign-produced component.</w:t>
      </w:r>
    </w:p>
    <w:p w:rsidR="00DA546B" w:rsidRPr="00DA32B6" w:rsidP="00492CC5" w14:paraId="045CAEF4" w14:textId="7F9BDF27">
      <w:pPr>
        <w:spacing w:after="240"/>
        <w:ind w:firstLine="720"/>
        <w:rPr>
          <w:sz w:val="22"/>
          <w:szCs w:val="22"/>
        </w:rPr>
      </w:pPr>
      <w:r>
        <w:rPr>
          <w:sz w:val="22"/>
          <w:szCs w:val="22"/>
        </w:rPr>
        <w:t>19</w:t>
      </w:r>
      <w:r w:rsidRPr="00DA32B6" w:rsidR="00656552">
        <w:rPr>
          <w:sz w:val="22"/>
          <w:szCs w:val="22"/>
        </w:rPr>
        <w:t xml:space="preserve">.  In Appendix B, </w:t>
      </w:r>
      <w:r w:rsidRPr="00DA32B6" w:rsidR="00F77A78">
        <w:rPr>
          <w:sz w:val="22"/>
          <w:szCs w:val="22"/>
        </w:rPr>
        <w:t>paragraph</w:t>
      </w:r>
      <w:r w:rsidRPr="00DA32B6" w:rsidR="00656552">
        <w:rPr>
          <w:sz w:val="22"/>
          <w:szCs w:val="22"/>
        </w:rPr>
        <w:t xml:space="preserve"> 15 (amending § 2.939) is corrected to read: </w:t>
      </w:r>
      <w:r w:rsidRPr="00DA32B6" w:rsidR="007B5774">
        <w:rPr>
          <w:sz w:val="22"/>
          <w:szCs w:val="22"/>
        </w:rPr>
        <w:t>“</w:t>
      </w:r>
      <w:r w:rsidRPr="00DA32B6" w:rsidR="00656552">
        <w:rPr>
          <w:sz w:val="22"/>
          <w:szCs w:val="22"/>
        </w:rPr>
        <w:t>Amend § 2.939 by removing paragraph (b), redesignating paragraph (c) as paragraph (b), and amending paragraphs (c) and (d) to read as follows:</w:t>
      </w:r>
      <w:r w:rsidRPr="00DA32B6" w:rsidR="007B5774">
        <w:rPr>
          <w:sz w:val="22"/>
          <w:szCs w:val="22"/>
        </w:rPr>
        <w:t>”</w:t>
      </w:r>
      <w:r w:rsidRPr="00DA32B6" w:rsidR="00656552">
        <w:rPr>
          <w:sz w:val="22"/>
          <w:szCs w:val="22"/>
        </w:rPr>
        <w:t xml:space="preserve">; and the entry </w:t>
      </w:r>
      <w:r w:rsidRPr="00DA32B6" w:rsidR="007B5774">
        <w:rPr>
          <w:sz w:val="22"/>
          <w:szCs w:val="22"/>
        </w:rPr>
        <w:t>“</w:t>
      </w:r>
      <w:r w:rsidRPr="00DA32B6" w:rsidR="00656552">
        <w:rPr>
          <w:sz w:val="22"/>
          <w:szCs w:val="22"/>
        </w:rPr>
        <w:t>(b) [Remove and Redesignate (c)]</w:t>
      </w:r>
      <w:r w:rsidRPr="00DA32B6" w:rsidR="007B5774">
        <w:rPr>
          <w:sz w:val="22"/>
          <w:szCs w:val="22"/>
        </w:rPr>
        <w:t>”</w:t>
      </w:r>
      <w:r w:rsidRPr="00DA32B6" w:rsidR="00656552">
        <w:rPr>
          <w:sz w:val="22"/>
          <w:szCs w:val="22"/>
        </w:rPr>
        <w:t xml:space="preserve"> is corrected to read </w:t>
      </w:r>
      <w:r w:rsidRPr="00DA32B6" w:rsidR="007B5774">
        <w:rPr>
          <w:sz w:val="22"/>
          <w:szCs w:val="22"/>
        </w:rPr>
        <w:t>“</w:t>
      </w:r>
      <w:r w:rsidRPr="00DA32B6" w:rsidR="00656552">
        <w:rPr>
          <w:sz w:val="22"/>
          <w:szCs w:val="22"/>
        </w:rPr>
        <w:t>(b) [Removed and Redesignated as paragraph (c)].</w:t>
      </w:r>
      <w:r w:rsidRPr="00DA32B6" w:rsidR="007B5774">
        <w:rPr>
          <w:sz w:val="22"/>
          <w:szCs w:val="22"/>
        </w:rPr>
        <w:t>”</w:t>
      </w:r>
    </w:p>
    <w:p w:rsidR="00DA546B" w:rsidRPr="00DA32B6" w:rsidP="00492CC5" w14:paraId="045CAEF5" w14:textId="19CCD7C7">
      <w:pPr>
        <w:spacing w:after="240"/>
        <w:ind w:firstLine="720"/>
        <w:rPr>
          <w:sz w:val="22"/>
          <w:szCs w:val="22"/>
        </w:rPr>
      </w:pPr>
      <w:r w:rsidRPr="00DA32B6">
        <w:rPr>
          <w:sz w:val="22"/>
          <w:szCs w:val="22"/>
        </w:rPr>
        <w:t>2</w:t>
      </w:r>
      <w:r>
        <w:rPr>
          <w:sz w:val="22"/>
          <w:szCs w:val="22"/>
        </w:rPr>
        <w:t>0</w:t>
      </w:r>
      <w:r w:rsidRPr="00DA32B6" w:rsidR="00656552">
        <w:rPr>
          <w:sz w:val="22"/>
          <w:szCs w:val="22"/>
        </w:rPr>
        <w:t xml:space="preserve">.  In Appendix B, in </w:t>
      </w:r>
      <w:r w:rsidRPr="00DA32B6" w:rsidR="00F77A78">
        <w:rPr>
          <w:sz w:val="22"/>
          <w:szCs w:val="22"/>
        </w:rPr>
        <w:t>paragraph</w:t>
      </w:r>
      <w:r w:rsidRPr="00DA32B6" w:rsidR="00656552">
        <w:rPr>
          <w:sz w:val="22"/>
          <w:szCs w:val="22"/>
        </w:rPr>
        <w:t xml:space="preserve"> 16, § 2.1043(m) is corrected to read as follows:</w:t>
      </w:r>
    </w:p>
    <w:p w:rsidR="00DA546B" w:rsidRPr="00DA32B6" w:rsidP="00492CC5" w14:paraId="045CAEF6" w14:textId="77777777">
      <w:pPr>
        <w:spacing w:after="240"/>
        <w:ind w:left="1440" w:right="720"/>
        <w:rPr>
          <w:sz w:val="22"/>
          <w:szCs w:val="22"/>
        </w:rPr>
      </w:pPr>
      <w:r w:rsidRPr="00DA32B6">
        <w:rPr>
          <w:sz w:val="22"/>
          <w:szCs w:val="22"/>
        </w:rPr>
        <w:t>(m)</w:t>
      </w:r>
      <w:r w:rsidRPr="00DA32B6">
        <w:rPr>
          <w:sz w:val="22"/>
          <w:szCs w:val="22"/>
        </w:rPr>
        <w:tab/>
        <w:t>Software, firmware, or hardware updates to already-authorized covered equipment shall constitute Class I or Class II permissive changes, respectively, shall not constitute applications for equipment authorization, and are not prohibited, so long as:</w:t>
      </w:r>
    </w:p>
    <w:p w:rsidR="00DA546B" w:rsidRPr="00DA32B6" w:rsidP="00492CC5" w14:paraId="045CAEF7" w14:textId="77777777">
      <w:pPr>
        <w:spacing w:after="240"/>
        <w:ind w:left="1440" w:right="720"/>
        <w:rPr>
          <w:sz w:val="22"/>
          <w:szCs w:val="22"/>
        </w:rPr>
      </w:pPr>
      <w:r w:rsidRPr="00DA32B6">
        <w:rPr>
          <w:sz w:val="22"/>
          <w:szCs w:val="22"/>
        </w:rPr>
        <w:t>(1)</w:t>
      </w:r>
      <w:r w:rsidRPr="00DA32B6">
        <w:rPr>
          <w:sz w:val="22"/>
          <w:szCs w:val="22"/>
        </w:rPr>
        <w:tab/>
        <w:t>The modification mitigates harm to consumers;</w:t>
      </w:r>
    </w:p>
    <w:p w:rsidR="00DA546B" w:rsidRPr="00DA32B6" w:rsidP="00492CC5" w14:paraId="045CAEF8" w14:textId="64F61CD0">
      <w:pPr>
        <w:spacing w:after="240"/>
        <w:ind w:left="1440" w:right="720"/>
        <w:rPr>
          <w:sz w:val="22"/>
          <w:szCs w:val="22"/>
        </w:rPr>
      </w:pPr>
      <w:r w:rsidRPr="00DA32B6">
        <w:rPr>
          <w:sz w:val="22"/>
          <w:szCs w:val="22"/>
        </w:rPr>
        <w:t>(2)</w:t>
      </w:r>
      <w:r w:rsidRPr="00DA32B6">
        <w:rPr>
          <w:sz w:val="22"/>
          <w:szCs w:val="22"/>
        </w:rPr>
        <w:tab/>
        <w:t>The modification does not enhance the device</w:t>
      </w:r>
      <w:r w:rsidRPr="00DA32B6" w:rsidR="007B5774">
        <w:rPr>
          <w:sz w:val="22"/>
          <w:szCs w:val="22"/>
        </w:rPr>
        <w:t>’</w:t>
      </w:r>
      <w:r w:rsidRPr="00DA32B6">
        <w:rPr>
          <w:sz w:val="22"/>
          <w:szCs w:val="22"/>
        </w:rPr>
        <w:t>s capability or alter its intended use;</w:t>
      </w:r>
    </w:p>
    <w:p w:rsidR="00DA546B" w:rsidRPr="00DA32B6" w:rsidP="00492CC5" w14:paraId="045CAEF9" w14:textId="77777777">
      <w:pPr>
        <w:spacing w:after="240"/>
        <w:ind w:left="1440" w:right="720"/>
        <w:rPr>
          <w:sz w:val="22"/>
          <w:szCs w:val="22"/>
        </w:rPr>
      </w:pPr>
      <w:r w:rsidRPr="00DA32B6">
        <w:rPr>
          <w:sz w:val="22"/>
          <w:szCs w:val="22"/>
        </w:rPr>
        <w:t>(3)</w:t>
      </w:r>
      <w:r w:rsidRPr="00DA32B6">
        <w:rPr>
          <w:sz w:val="22"/>
          <w:szCs w:val="22"/>
        </w:rPr>
        <w:tab/>
        <w:t>The modified device is marketed as an identical product to the pre-modified device; and</w:t>
      </w:r>
    </w:p>
    <w:p w:rsidR="00DA546B" w:rsidRPr="00DA32B6" w:rsidP="00492CC5" w14:paraId="045CAEFA" w14:textId="77777777">
      <w:pPr>
        <w:spacing w:after="240"/>
        <w:ind w:left="1440" w:right="720"/>
        <w:rPr>
          <w:sz w:val="22"/>
          <w:szCs w:val="22"/>
        </w:rPr>
      </w:pPr>
      <w:r w:rsidRPr="00DA32B6">
        <w:rPr>
          <w:sz w:val="22"/>
          <w:szCs w:val="22"/>
        </w:rPr>
        <w:t>(4)</w:t>
      </w:r>
      <w:r w:rsidRPr="00DA32B6">
        <w:rPr>
          <w:sz w:val="22"/>
          <w:szCs w:val="22"/>
        </w:rPr>
        <w:tab/>
        <w:t>The modification does not involve swapping a U.S.-made component for a non-U.S.-made component.</w:t>
      </w:r>
    </w:p>
    <w:p w:rsidR="00DA546B" w:rsidRPr="00DA32B6" w:rsidP="00492CC5" w14:paraId="045CAEFB" w14:textId="627EA377">
      <w:pPr>
        <w:spacing w:after="240"/>
        <w:ind w:firstLine="720"/>
        <w:rPr>
          <w:sz w:val="22"/>
          <w:szCs w:val="22"/>
        </w:rPr>
      </w:pPr>
      <w:r w:rsidRPr="00DA32B6">
        <w:rPr>
          <w:sz w:val="22"/>
          <w:szCs w:val="22"/>
        </w:rPr>
        <w:t>2</w:t>
      </w:r>
      <w:r>
        <w:rPr>
          <w:sz w:val="22"/>
          <w:szCs w:val="22"/>
        </w:rPr>
        <w:t>1</w:t>
      </w:r>
      <w:r w:rsidRPr="00DA32B6" w:rsidR="00656552">
        <w:rPr>
          <w:sz w:val="22"/>
          <w:szCs w:val="22"/>
        </w:rPr>
        <w:t xml:space="preserve">.  In Appendix B, </w:t>
      </w:r>
      <w:r w:rsidRPr="00DA32B6" w:rsidR="00F77A78">
        <w:rPr>
          <w:sz w:val="22"/>
          <w:szCs w:val="22"/>
        </w:rPr>
        <w:t>paragraph</w:t>
      </w:r>
      <w:r w:rsidRPr="00DA32B6" w:rsidR="00656552">
        <w:rPr>
          <w:sz w:val="22"/>
          <w:szCs w:val="22"/>
        </w:rPr>
        <w:t xml:space="preserve"> 18 (amending § 2.1204) is corrected to read: </w:t>
      </w:r>
      <w:r w:rsidRPr="00DA32B6" w:rsidR="007B5774">
        <w:rPr>
          <w:sz w:val="22"/>
          <w:szCs w:val="22"/>
        </w:rPr>
        <w:t>“</w:t>
      </w:r>
      <w:r w:rsidRPr="00DA32B6" w:rsidR="00656552">
        <w:rPr>
          <w:sz w:val="22"/>
          <w:szCs w:val="22"/>
        </w:rPr>
        <w:t>Amend § 2.1204 by revising paragraph (a)(5) and adding paragraph (c) to read as follows:</w:t>
      </w:r>
      <w:r w:rsidRPr="00DA32B6" w:rsidR="007B5774">
        <w:rPr>
          <w:sz w:val="22"/>
          <w:szCs w:val="22"/>
        </w:rPr>
        <w:t>”</w:t>
      </w:r>
      <w:r w:rsidRPr="00DA32B6" w:rsidR="00656552">
        <w:rPr>
          <w:sz w:val="22"/>
          <w:szCs w:val="22"/>
        </w:rPr>
        <w:t xml:space="preserve">; the line </w:t>
      </w:r>
      <w:r w:rsidRPr="00DA32B6" w:rsidR="007B5774">
        <w:rPr>
          <w:sz w:val="22"/>
          <w:szCs w:val="22"/>
        </w:rPr>
        <w:t>“</w:t>
      </w:r>
      <w:r w:rsidRPr="00DA32B6" w:rsidR="00656552">
        <w:rPr>
          <w:sz w:val="22"/>
          <w:szCs w:val="22"/>
        </w:rPr>
        <w:t>(1) * * *</w:t>
      </w:r>
      <w:r w:rsidRPr="00DA32B6" w:rsidR="007B5774">
        <w:rPr>
          <w:sz w:val="22"/>
          <w:szCs w:val="22"/>
        </w:rPr>
        <w:t>”</w:t>
      </w:r>
      <w:r w:rsidRPr="00DA32B6" w:rsidR="00656552">
        <w:rPr>
          <w:sz w:val="22"/>
          <w:szCs w:val="22"/>
        </w:rPr>
        <w:t xml:space="preserve"> is removed; and the undesignated paragraph beginning </w:t>
      </w:r>
      <w:r w:rsidRPr="00DA32B6" w:rsidR="007B5774">
        <w:rPr>
          <w:sz w:val="22"/>
          <w:szCs w:val="22"/>
        </w:rPr>
        <w:t>“</w:t>
      </w:r>
      <w:r w:rsidRPr="00DA32B6" w:rsidR="00656552">
        <w:rPr>
          <w:sz w:val="22"/>
          <w:szCs w:val="22"/>
        </w:rPr>
        <w:t>The radio frequency device is being imported solely for export</w:t>
      </w:r>
      <w:r w:rsidRPr="00DA32B6" w:rsidR="007B5774">
        <w:rPr>
          <w:sz w:val="22"/>
          <w:szCs w:val="22"/>
        </w:rPr>
        <w:t>”</w:t>
      </w:r>
      <w:r w:rsidRPr="00DA32B6" w:rsidR="00656552">
        <w:rPr>
          <w:sz w:val="22"/>
          <w:szCs w:val="22"/>
        </w:rPr>
        <w:t xml:space="preserve"> is designated as paragraph (a)(5).</w:t>
      </w:r>
    </w:p>
    <w:p w:rsidR="00DA546B" w:rsidRPr="00DA32B6" w:rsidP="00492CC5" w14:paraId="045CAEFD" w14:textId="75D41C9C">
      <w:pPr>
        <w:spacing w:after="240"/>
        <w:ind w:firstLine="720"/>
        <w:rPr>
          <w:sz w:val="22"/>
          <w:szCs w:val="22"/>
        </w:rPr>
      </w:pPr>
      <w:r w:rsidRPr="00DA32B6">
        <w:rPr>
          <w:sz w:val="22"/>
          <w:szCs w:val="22"/>
        </w:rPr>
        <w:t>2</w:t>
      </w:r>
      <w:r>
        <w:rPr>
          <w:sz w:val="22"/>
          <w:szCs w:val="22"/>
        </w:rPr>
        <w:t>2</w:t>
      </w:r>
      <w:r w:rsidRPr="00DA32B6" w:rsidR="00656552">
        <w:rPr>
          <w:sz w:val="22"/>
          <w:szCs w:val="22"/>
        </w:rPr>
        <w:t>.  Appendix C (Final Regulatory Flexibility Analysis) is replaced in its entirety by the Final Regulatory Flexibility Analysis set forth in the Attachment to this Erratum.  Footnote numbering and internal cross-references are conformed accordingly.</w:t>
      </w:r>
    </w:p>
    <w:p w:rsidR="00DA546B" w:rsidRPr="00DA32B6" w:rsidP="00492CC5" w14:paraId="045CAEFE" w14:textId="77777777">
      <w:pPr>
        <w:spacing w:before="480" w:after="240"/>
        <w:ind w:left="4320"/>
        <w:rPr>
          <w:sz w:val="22"/>
          <w:szCs w:val="22"/>
        </w:rPr>
      </w:pPr>
      <w:r w:rsidRPr="00DA32B6">
        <w:rPr>
          <w:sz w:val="22"/>
          <w:szCs w:val="22"/>
        </w:rPr>
        <w:t>FEDERAL COMMUNICATIONS COMMISSION</w:t>
      </w:r>
    </w:p>
    <w:p w:rsidR="00492CC5" w:rsidRPr="00DA32B6" w:rsidP="00492CC5" w14:paraId="6A46DC4F" w14:textId="77777777">
      <w:pPr>
        <w:spacing w:after="240"/>
        <w:ind w:left="4320"/>
        <w:rPr>
          <w:sz w:val="22"/>
          <w:szCs w:val="22"/>
        </w:rPr>
      </w:pPr>
    </w:p>
    <w:p w:rsidR="00DA546B" w:rsidRPr="00DA32B6" w:rsidP="00492CC5" w14:paraId="045CAF00" w14:textId="1FE689F2">
      <w:pPr>
        <w:ind w:left="4320"/>
        <w:rPr>
          <w:sz w:val="22"/>
          <w:szCs w:val="22"/>
        </w:rPr>
      </w:pPr>
      <w:r w:rsidRPr="00DA32B6">
        <w:rPr>
          <w:sz w:val="22"/>
          <w:szCs w:val="22"/>
        </w:rPr>
        <w:t>Andrew C. Hendrickson</w:t>
      </w:r>
    </w:p>
    <w:p w:rsidR="00DA546B" w:rsidRPr="00DA32B6" w:rsidP="00492CC5" w14:paraId="045CAF01" w14:textId="77777777">
      <w:pPr>
        <w:ind w:left="4320"/>
        <w:rPr>
          <w:sz w:val="22"/>
          <w:szCs w:val="22"/>
        </w:rPr>
      </w:pPr>
      <w:r w:rsidRPr="00DA32B6">
        <w:rPr>
          <w:sz w:val="22"/>
          <w:szCs w:val="22"/>
        </w:rPr>
        <w:t>Chief, Office of Engineering and Technology</w:t>
      </w:r>
    </w:p>
    <w:sectPr>
      <w:headerReference w:type="default" r:id="rId4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6615" w:rsidRPr="00963530" w:rsidP="00D56615" w14:paraId="5ED7099C" w14:textId="77777777">
    <w:pPr>
      <w:tabs>
        <w:tab w:val="center" w:pos="4680"/>
        <w:tab w:val="right" w:pos="9360"/>
      </w:tabs>
    </w:pPr>
    <w:r w:rsidRPr="00963530">
      <w:rPr>
        <w:b/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margin">
                <wp:posOffset>7620</wp:posOffset>
              </wp:positionH>
              <wp:positionV relativeFrom="paragraph">
                <wp:posOffset>160655</wp:posOffset>
              </wp:positionV>
              <wp:extent cx="5943600" cy="1206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206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2049" style="width:468pt;height:0.95pt;margin-top:12.65pt;margin-left:0.6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-251657216" o:allowincell="f" fillcolor="black" stroked="f">
              <w10:wrap anchorx="margin"/>
            </v:rect>
          </w:pict>
        </mc:Fallback>
      </mc:AlternateContent>
    </w:r>
    <w:r w:rsidRPr="00963530">
      <w:rPr>
        <w:b/>
      </w:rPr>
      <w:tab/>
      <w:t>Federal Communications Commission</w:t>
    </w:r>
    <w:r w:rsidRPr="00963530">
      <w:rPr>
        <w:b/>
      </w:rPr>
      <w:tab/>
    </w:r>
  </w:p>
  <w:p w:rsidR="00D56615" w:rsidRPr="00D56615" w:rsidP="00D56615" w14:paraId="451A96B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2A74DE6"/>
    <w:multiLevelType w:val="hybridMultilevel"/>
    <w:tmpl w:val="484A973A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360"/>
      </w:pPr>
    </w:lvl>
  </w:abstractNum>
  <w:num w:numId="1" w16cid:durableId="6423888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46B"/>
    <w:rsid w:val="0001723D"/>
    <w:rsid w:val="00064675"/>
    <w:rsid w:val="00072123"/>
    <w:rsid w:val="000946A8"/>
    <w:rsid w:val="0010526D"/>
    <w:rsid w:val="001060A7"/>
    <w:rsid w:val="00131789"/>
    <w:rsid w:val="00147840"/>
    <w:rsid w:val="0015105B"/>
    <w:rsid w:val="00165E20"/>
    <w:rsid w:val="00191A0B"/>
    <w:rsid w:val="001B38CB"/>
    <w:rsid w:val="001B7964"/>
    <w:rsid w:val="001D1C1A"/>
    <w:rsid w:val="001D4D23"/>
    <w:rsid w:val="001E06EB"/>
    <w:rsid w:val="002044BF"/>
    <w:rsid w:val="00213D77"/>
    <w:rsid w:val="00226801"/>
    <w:rsid w:val="00247D98"/>
    <w:rsid w:val="002778DD"/>
    <w:rsid w:val="002B5E62"/>
    <w:rsid w:val="002B65C3"/>
    <w:rsid w:val="002C38FA"/>
    <w:rsid w:val="002D6196"/>
    <w:rsid w:val="00335594"/>
    <w:rsid w:val="00376081"/>
    <w:rsid w:val="003C72C8"/>
    <w:rsid w:val="003F4AA8"/>
    <w:rsid w:val="004148D5"/>
    <w:rsid w:val="004274A9"/>
    <w:rsid w:val="00435FF3"/>
    <w:rsid w:val="004461E7"/>
    <w:rsid w:val="00492CC5"/>
    <w:rsid w:val="004A0042"/>
    <w:rsid w:val="004D7D05"/>
    <w:rsid w:val="004E02E2"/>
    <w:rsid w:val="00501696"/>
    <w:rsid w:val="00517CF4"/>
    <w:rsid w:val="005511AB"/>
    <w:rsid w:val="00553701"/>
    <w:rsid w:val="00585900"/>
    <w:rsid w:val="005A3C1E"/>
    <w:rsid w:val="005C4DDE"/>
    <w:rsid w:val="005C6B2B"/>
    <w:rsid w:val="005E546C"/>
    <w:rsid w:val="006128E8"/>
    <w:rsid w:val="00623BBE"/>
    <w:rsid w:val="006378CB"/>
    <w:rsid w:val="006508BB"/>
    <w:rsid w:val="00656552"/>
    <w:rsid w:val="00690833"/>
    <w:rsid w:val="006A6E22"/>
    <w:rsid w:val="00700FDF"/>
    <w:rsid w:val="007257BC"/>
    <w:rsid w:val="00730C41"/>
    <w:rsid w:val="007627EE"/>
    <w:rsid w:val="007846D3"/>
    <w:rsid w:val="007A16E6"/>
    <w:rsid w:val="007B5774"/>
    <w:rsid w:val="007C1709"/>
    <w:rsid w:val="0082074C"/>
    <w:rsid w:val="00835870"/>
    <w:rsid w:val="00842559"/>
    <w:rsid w:val="008668A1"/>
    <w:rsid w:val="008901A8"/>
    <w:rsid w:val="008A5EAC"/>
    <w:rsid w:val="008C5A82"/>
    <w:rsid w:val="008E59D0"/>
    <w:rsid w:val="00924466"/>
    <w:rsid w:val="00940E4B"/>
    <w:rsid w:val="00963530"/>
    <w:rsid w:val="009C012A"/>
    <w:rsid w:val="009F12F1"/>
    <w:rsid w:val="00A04774"/>
    <w:rsid w:val="00A47A6F"/>
    <w:rsid w:val="00A91E2D"/>
    <w:rsid w:val="00AE78BB"/>
    <w:rsid w:val="00B056C4"/>
    <w:rsid w:val="00B235E4"/>
    <w:rsid w:val="00B86505"/>
    <w:rsid w:val="00BA008C"/>
    <w:rsid w:val="00BB301B"/>
    <w:rsid w:val="00BE22F7"/>
    <w:rsid w:val="00C533A8"/>
    <w:rsid w:val="00C7172B"/>
    <w:rsid w:val="00C80477"/>
    <w:rsid w:val="00C81329"/>
    <w:rsid w:val="00C84411"/>
    <w:rsid w:val="00C86D58"/>
    <w:rsid w:val="00C926D7"/>
    <w:rsid w:val="00C93F25"/>
    <w:rsid w:val="00CD0F6D"/>
    <w:rsid w:val="00CE2E6E"/>
    <w:rsid w:val="00CF6C05"/>
    <w:rsid w:val="00D51504"/>
    <w:rsid w:val="00D56615"/>
    <w:rsid w:val="00D86EB9"/>
    <w:rsid w:val="00D97FD0"/>
    <w:rsid w:val="00DA32B6"/>
    <w:rsid w:val="00DA546B"/>
    <w:rsid w:val="00DB08BD"/>
    <w:rsid w:val="00DB2CED"/>
    <w:rsid w:val="00DF1570"/>
    <w:rsid w:val="00E32A25"/>
    <w:rsid w:val="00E91B25"/>
    <w:rsid w:val="00ED624E"/>
    <w:rsid w:val="00F77A78"/>
    <w:rsid w:val="00F77D09"/>
    <w:rsid w:val="00FC612C"/>
    <w:rsid w:val="00FF57E2"/>
    <w:rsid w:val="0991B362"/>
    <w:rsid w:val="0E446229"/>
    <w:rsid w:val="196A3F93"/>
    <w:rsid w:val="19DA49F5"/>
    <w:rsid w:val="1DE736AE"/>
  </w:rsids>
  <m:mathPr>
    <m:mathFont m:val="Cambria Math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5CAEC0"/>
  <w15:docId w15:val="{575E2FD6-43B3-4284-9297-3B418623A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D4D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D23"/>
  </w:style>
  <w:style w:type="paragraph" w:styleId="Footer">
    <w:name w:val="footer"/>
    <w:basedOn w:val="Normal"/>
    <w:link w:val="FooterChar"/>
    <w:uiPriority w:val="99"/>
    <w:unhideWhenUsed/>
    <w:rsid w:val="001D4D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4D23"/>
  </w:style>
  <w:style w:type="character" w:styleId="CommentReference">
    <w:name w:val="annotation reference"/>
    <w:basedOn w:val="DefaultParagraphFont"/>
    <w:uiPriority w:val="99"/>
    <w:semiHidden/>
    <w:unhideWhenUsed/>
    <w:rsid w:val="001317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17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17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7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78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80477"/>
  </w:style>
  <w:style w:type="character" w:styleId="UnresolvedMention">
    <w:name w:val="Unresolved Mention"/>
    <w:basedOn w:val="DefaultParagraphFont"/>
    <w:uiPriority w:val="99"/>
    <w:unhideWhenUsed/>
    <w:rsid w:val="004274A9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4274A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