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72" w:type="dxa"/>
        <w:tblLook w:val="0000"/>
      </w:tblPr>
      <w:tblGrid>
        <w:gridCol w:w="9172"/>
      </w:tblGrid>
      <w:tr w14:paraId="2E8A1D26" w14:textId="77777777" w:rsidTr="00D45E2D">
        <w:tblPrEx>
          <w:tblW w:w="9172" w:type="dxa"/>
          <w:tblLook w:val="0000"/>
        </w:tblPrEx>
        <w:trPr>
          <w:trHeight w:val="2181"/>
        </w:trPr>
        <w:tc>
          <w:tcPr>
            <w:tcW w:w="9172" w:type="dxa"/>
          </w:tcPr>
          <w:p w:rsidR="008B74C3" w:rsidP="68B40A2B" w14:paraId="07210416" w14:textId="77777777">
            <w:pPr>
              <w:jc w:val="center"/>
              <w:rPr>
                <w:b/>
                <w:bCs/>
              </w:rPr>
            </w:pPr>
            <w:r>
              <w:rPr>
                <w:noProof/>
              </w:rPr>
              <w:drawing>
                <wp:inline distT="0" distB="0" distL="0" distR="0">
                  <wp:extent cx="5687291" cy="83603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87291" cy="836032"/>
                          </a:xfrm>
                          <a:prstGeom prst="rect">
                            <a:avLst/>
                          </a:prstGeom>
                        </pic:spPr>
                      </pic:pic>
                    </a:graphicData>
                  </a:graphic>
                </wp:inline>
              </w:drawing>
            </w:r>
          </w:p>
          <w:p w:rsidR="00401F89" w:rsidP="68B40A2B" w14:paraId="18A6677B" w14:textId="415212E8">
            <w:pPr>
              <w:jc w:val="center"/>
              <w:rPr>
                <w:b/>
                <w:bCs/>
                <w:sz w:val="28"/>
                <w:szCs w:val="28"/>
              </w:rPr>
            </w:pPr>
          </w:p>
          <w:p w:rsidR="008B74C3" w:rsidP="00C65A3C" w14:paraId="42DCA8F5" w14:textId="112B3796">
            <w:pPr>
              <w:spacing w:after="120"/>
              <w:jc w:val="center"/>
              <w:rPr>
                <w:b/>
                <w:bCs/>
                <w:sz w:val="28"/>
                <w:szCs w:val="28"/>
              </w:rPr>
            </w:pPr>
            <w:r>
              <w:rPr>
                <w:b/>
                <w:bCs/>
                <w:sz w:val="28"/>
                <w:szCs w:val="28"/>
              </w:rPr>
              <w:t>FCC</w:t>
            </w:r>
            <w:r w:rsidR="0016439F">
              <w:rPr>
                <w:b/>
                <w:bCs/>
                <w:sz w:val="28"/>
                <w:szCs w:val="28"/>
              </w:rPr>
              <w:t xml:space="preserve"> </w:t>
            </w:r>
            <w:r w:rsidR="00C12F18">
              <w:rPr>
                <w:b/>
                <w:bCs/>
                <w:sz w:val="28"/>
                <w:szCs w:val="28"/>
              </w:rPr>
              <w:t>Permitting Reforms to Cut Billions of Dollars</w:t>
            </w:r>
            <w:r w:rsidR="00B926D5">
              <w:rPr>
                <w:b/>
                <w:bCs/>
                <w:sz w:val="28"/>
                <w:szCs w:val="28"/>
              </w:rPr>
              <w:t>’</w:t>
            </w:r>
            <w:r w:rsidR="00C12F18">
              <w:rPr>
                <w:b/>
                <w:bCs/>
                <w:sz w:val="28"/>
                <w:szCs w:val="28"/>
              </w:rPr>
              <w:t xml:space="preserve"> Worth of Red Tape</w:t>
            </w:r>
            <w:r w:rsidR="0016439F">
              <w:rPr>
                <w:b/>
                <w:bCs/>
                <w:sz w:val="28"/>
                <w:szCs w:val="28"/>
              </w:rPr>
              <w:t xml:space="preserve"> </w:t>
            </w:r>
          </w:p>
          <w:p w:rsidR="008B74C3" w:rsidRPr="00FF105E" w:rsidP="68B40A2B" w14:paraId="264A9F97" w14:textId="15EAEB07">
            <w:pPr>
              <w:jc w:val="center"/>
              <w:rPr>
                <w:i/>
                <w:iCs/>
              </w:rPr>
            </w:pPr>
            <w:r>
              <w:rPr>
                <w:i/>
                <w:iCs/>
              </w:rPr>
              <w:t>By Updating FCC’s Approach to NEPA Environmental Regulations, Agency’s Reforms Will A</w:t>
            </w:r>
            <w:r w:rsidR="0016439F">
              <w:rPr>
                <w:i/>
                <w:iCs/>
              </w:rPr>
              <w:t>ccelerate High-Speed Infrastructure Builds</w:t>
            </w:r>
          </w:p>
          <w:p w:rsidR="008B74C3" w:rsidP="008B74C3" w14:paraId="17D91C81"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6D748C" w:rsidRPr="004818EA" w:rsidP="004818EA" w14:paraId="7F2740A0" w14:textId="1F883AA8">
            <w:pPr>
              <w:rPr>
                <w:rFonts w:eastAsia="Cambria"/>
                <w:sz w:val="22"/>
                <w:szCs w:val="22"/>
              </w:rPr>
            </w:pPr>
            <w:r w:rsidRPr="004818EA">
              <w:rPr>
                <w:sz w:val="22"/>
                <w:szCs w:val="22"/>
              </w:rPr>
              <w:t>WASHINGTON,</w:t>
            </w:r>
            <w:r w:rsidRPr="004818EA" w:rsidR="65DE2843">
              <w:rPr>
                <w:sz w:val="22"/>
                <w:szCs w:val="22"/>
              </w:rPr>
              <w:t xml:space="preserve"> </w:t>
            </w:r>
            <w:r w:rsidRPr="004818EA" w:rsidR="0016439F">
              <w:rPr>
                <w:sz w:val="22"/>
                <w:szCs w:val="22"/>
              </w:rPr>
              <w:t>September 8</w:t>
            </w:r>
            <w:r w:rsidRPr="004818EA">
              <w:rPr>
                <w:sz w:val="22"/>
                <w:szCs w:val="22"/>
              </w:rPr>
              <w:t>, 202</w:t>
            </w:r>
            <w:r w:rsidRPr="004818EA" w:rsidR="0089261F">
              <w:rPr>
                <w:sz w:val="22"/>
                <w:szCs w:val="22"/>
              </w:rPr>
              <w:t>6</w:t>
            </w:r>
            <w:r w:rsidRPr="004818EA">
              <w:rPr>
                <w:sz w:val="22"/>
                <w:szCs w:val="22"/>
              </w:rPr>
              <w:t>—</w:t>
            </w:r>
            <w:r w:rsidRPr="004818EA" w:rsidR="0089261F">
              <w:rPr>
                <w:sz w:val="22"/>
                <w:szCs w:val="22"/>
              </w:rPr>
              <w:t xml:space="preserve">Today, </w:t>
            </w:r>
            <w:r w:rsidRPr="004818EA" w:rsidR="00795AAB">
              <w:rPr>
                <w:sz w:val="22"/>
                <w:szCs w:val="22"/>
              </w:rPr>
              <w:t>FCC Chairman Brendan Carr announced</w:t>
            </w:r>
            <w:r w:rsidRPr="004818EA" w:rsidR="0016439F">
              <w:rPr>
                <w:sz w:val="22"/>
                <w:szCs w:val="22"/>
              </w:rPr>
              <w:t xml:space="preserve"> that</w:t>
            </w:r>
            <w:r w:rsidRPr="004818EA" w:rsidR="005A6421">
              <w:rPr>
                <w:sz w:val="22"/>
                <w:szCs w:val="22"/>
              </w:rPr>
              <w:t xml:space="preserve"> th</w:t>
            </w:r>
            <w:r w:rsidR="00C12F18">
              <w:rPr>
                <w:sz w:val="22"/>
                <w:szCs w:val="22"/>
              </w:rPr>
              <w:t>e</w:t>
            </w:r>
            <w:r w:rsidRPr="004818EA" w:rsidR="005A6421">
              <w:rPr>
                <w:sz w:val="22"/>
                <w:szCs w:val="22"/>
              </w:rPr>
              <w:t xml:space="preserve"> </w:t>
            </w:r>
            <w:r w:rsidR="00C12F18">
              <w:rPr>
                <w:sz w:val="22"/>
                <w:szCs w:val="22"/>
              </w:rPr>
              <w:t xml:space="preserve">Commission will </w:t>
            </w:r>
            <w:r w:rsidRPr="004818EA" w:rsidR="0016439F">
              <w:rPr>
                <w:sz w:val="22"/>
                <w:szCs w:val="22"/>
              </w:rPr>
              <w:t xml:space="preserve">vote </w:t>
            </w:r>
            <w:r w:rsidR="00C12F18">
              <w:rPr>
                <w:sz w:val="22"/>
                <w:szCs w:val="22"/>
              </w:rPr>
              <w:t>this month on a series of permitting reforms that will modernize the agency’s approach to NEPA environmental regulations.  Specifically, the reforms will cut billions of dollars</w:t>
            </w:r>
            <w:r w:rsidR="00B926D5">
              <w:rPr>
                <w:sz w:val="22"/>
                <w:szCs w:val="22"/>
              </w:rPr>
              <w:t>’</w:t>
            </w:r>
            <w:r w:rsidR="00C12F18">
              <w:rPr>
                <w:sz w:val="22"/>
                <w:szCs w:val="22"/>
              </w:rPr>
              <w:t xml:space="preserve"> worth of red tape while accelerating the build out of modern Internet infrastructure</w:t>
            </w:r>
            <w:r w:rsidRPr="004818EA" w:rsidR="0016439F">
              <w:rPr>
                <w:sz w:val="22"/>
                <w:szCs w:val="22"/>
              </w:rPr>
              <w:t xml:space="preserve">. </w:t>
            </w:r>
            <w:r w:rsidRPr="004818EA" w:rsidR="007D0350">
              <w:rPr>
                <w:sz w:val="22"/>
                <w:szCs w:val="22"/>
              </w:rPr>
              <w:t xml:space="preserve"> </w:t>
            </w:r>
            <w:r w:rsidR="00F94648">
              <w:rPr>
                <w:sz w:val="22"/>
                <w:szCs w:val="22"/>
              </w:rPr>
              <w:t>The FCC’s actions are</w:t>
            </w:r>
            <w:r w:rsidRPr="007B7D46" w:rsidR="00F94648">
              <w:rPr>
                <w:sz w:val="22"/>
                <w:szCs w:val="22"/>
              </w:rPr>
              <w:t xml:space="preserve"> </w:t>
            </w:r>
            <w:r w:rsidRPr="007B7D46" w:rsidR="0016439F">
              <w:rPr>
                <w:sz w:val="22"/>
                <w:szCs w:val="22"/>
              </w:rPr>
              <w:t xml:space="preserve">part of President Trump’s government-wide effort to expedite and simplify permitting processes that </w:t>
            </w:r>
            <w:r w:rsidR="00C12F18">
              <w:rPr>
                <w:sz w:val="22"/>
                <w:szCs w:val="22"/>
              </w:rPr>
              <w:t>are</w:t>
            </w:r>
            <w:r w:rsidRPr="007B7D46" w:rsidR="0016439F">
              <w:rPr>
                <w:sz w:val="22"/>
                <w:szCs w:val="22"/>
              </w:rPr>
              <w:t xml:space="preserve"> hinder</w:t>
            </w:r>
            <w:r w:rsidR="00C12F18">
              <w:rPr>
                <w:sz w:val="22"/>
                <w:szCs w:val="22"/>
              </w:rPr>
              <w:t>ing</w:t>
            </w:r>
            <w:r w:rsidRPr="007B7D46" w:rsidR="0016439F">
              <w:rPr>
                <w:sz w:val="22"/>
                <w:szCs w:val="22"/>
              </w:rPr>
              <w:t xml:space="preserve"> economic development, infrastructure investment, and job creation</w:t>
            </w:r>
            <w:r w:rsidR="0016439F">
              <w:rPr>
                <w:sz w:val="22"/>
                <w:szCs w:val="22"/>
              </w:rPr>
              <w:t>.</w:t>
            </w:r>
          </w:p>
          <w:p w:rsidR="009C7D13" w:rsidRPr="009C7D13" w:rsidP="009C7D13" w14:paraId="1FE72A12" w14:textId="77777777">
            <w:pPr>
              <w:ind w:right="-77"/>
              <w:rPr>
                <w:sz w:val="22"/>
                <w:szCs w:val="22"/>
              </w:rPr>
            </w:pPr>
          </w:p>
          <w:p w:rsidR="009C7D13" w:rsidRPr="009C7D13" w:rsidP="009C7D13" w14:paraId="0245B668" w14:textId="77777777">
            <w:pPr>
              <w:ind w:right="-77"/>
              <w:rPr>
                <w:b/>
                <w:bCs/>
                <w:sz w:val="22"/>
                <w:szCs w:val="22"/>
              </w:rPr>
            </w:pPr>
            <w:r w:rsidRPr="009C7D13">
              <w:rPr>
                <w:b/>
                <w:bCs/>
                <w:sz w:val="22"/>
                <w:szCs w:val="22"/>
              </w:rPr>
              <w:t>Chairman Carr issued the following statement:</w:t>
            </w:r>
          </w:p>
          <w:p w:rsidR="009C7D13" w:rsidRPr="009C7D13" w:rsidP="009C7D13" w14:paraId="47735A4B" w14:textId="77777777">
            <w:pPr>
              <w:ind w:right="-77"/>
              <w:rPr>
                <w:sz w:val="22"/>
                <w:szCs w:val="22"/>
              </w:rPr>
            </w:pPr>
          </w:p>
          <w:p w:rsidR="00EC2072" w:rsidRPr="005917F1" w:rsidP="00EC2072" w14:paraId="7FE40721" w14:textId="1024B090">
            <w:pPr>
              <w:rPr>
                <w:sz w:val="22"/>
                <w:szCs w:val="22"/>
              </w:rPr>
            </w:pPr>
            <w:r w:rsidRPr="007D0350">
              <w:rPr>
                <w:sz w:val="22"/>
                <w:szCs w:val="22"/>
              </w:rPr>
              <w:t>“</w:t>
            </w:r>
            <w:r w:rsidR="00BC2F08">
              <w:rPr>
                <w:sz w:val="22"/>
                <w:szCs w:val="22"/>
              </w:rPr>
              <w:t>President Trump’s policies are working.  Just l</w:t>
            </w:r>
            <w:r w:rsidR="00C12F18">
              <w:rPr>
                <w:sz w:val="22"/>
                <w:szCs w:val="22"/>
              </w:rPr>
              <w:t xml:space="preserve">ast year, the FCC launched our </w:t>
            </w:r>
            <w:r w:rsidRPr="007D0350">
              <w:rPr>
                <w:sz w:val="22"/>
                <w:szCs w:val="22"/>
              </w:rPr>
              <w:t>Build America Agenda</w:t>
            </w:r>
            <w:r w:rsidR="00C12F18">
              <w:rPr>
                <w:sz w:val="22"/>
                <w:szCs w:val="22"/>
              </w:rPr>
              <w:t>, which</w:t>
            </w:r>
            <w:r w:rsidRPr="007D0350">
              <w:rPr>
                <w:sz w:val="22"/>
                <w:szCs w:val="22"/>
              </w:rPr>
              <w:t xml:space="preserve"> aims to unleash new infrastructure projects in communities </w:t>
            </w:r>
            <w:r w:rsidRPr="007D0350">
              <w:rPr>
                <w:sz w:val="22"/>
                <w:szCs w:val="22"/>
              </w:rPr>
              <w:t>all</w:t>
            </w:r>
            <w:r w:rsidR="004A7D80">
              <w:rPr>
                <w:sz w:val="22"/>
                <w:szCs w:val="22"/>
              </w:rPr>
              <w:t xml:space="preserve"> </w:t>
            </w:r>
            <w:r w:rsidRPr="007D0350">
              <w:rPr>
                <w:sz w:val="22"/>
                <w:szCs w:val="22"/>
              </w:rPr>
              <w:t>across</w:t>
            </w:r>
            <w:r w:rsidRPr="007D0350">
              <w:rPr>
                <w:sz w:val="22"/>
                <w:szCs w:val="22"/>
              </w:rPr>
              <w:t xml:space="preserve"> the country. </w:t>
            </w:r>
            <w:r w:rsidR="000C528C">
              <w:rPr>
                <w:sz w:val="22"/>
                <w:szCs w:val="22"/>
              </w:rPr>
              <w:t xml:space="preserve">  </w:t>
            </w:r>
            <w:r w:rsidR="00C12F18">
              <w:rPr>
                <w:sz w:val="22"/>
                <w:szCs w:val="22"/>
              </w:rPr>
              <w:t>This month, the FCC will notch another big win in this effort.  By updating the FCC’s outdated approach to NEPA environmental laws, the Commission will cut billions of dollars</w:t>
            </w:r>
            <w:r w:rsidR="00B926D5">
              <w:rPr>
                <w:sz w:val="22"/>
                <w:szCs w:val="22"/>
              </w:rPr>
              <w:t>’</w:t>
            </w:r>
            <w:r w:rsidR="00C12F18">
              <w:rPr>
                <w:sz w:val="22"/>
                <w:szCs w:val="22"/>
              </w:rPr>
              <w:t xml:space="preserve"> worth of red tape while greatly accelerating the buildout of modern, high-speed Infrastructure.  </w:t>
            </w:r>
            <w:r w:rsidR="001F584C">
              <w:rPr>
                <w:sz w:val="22"/>
                <w:szCs w:val="22"/>
              </w:rPr>
              <w:t xml:space="preserve">This relief will not only make a difference here on Earth, but also in the skies above.  </w:t>
            </w:r>
            <w:r w:rsidR="00887FD4">
              <w:rPr>
                <w:sz w:val="22"/>
                <w:szCs w:val="22"/>
              </w:rPr>
              <w:t xml:space="preserve">Our decision will ensure that outdated environmental rules do not hold back America’s space economy and the novel </w:t>
            </w:r>
            <w:r>
              <w:rPr>
                <w:sz w:val="22"/>
                <w:szCs w:val="22"/>
              </w:rPr>
              <w:t>activities underway in orbit.</w:t>
            </w:r>
            <w:r w:rsidR="002B79D8">
              <w:rPr>
                <w:sz w:val="22"/>
                <w:szCs w:val="22"/>
              </w:rPr>
              <w:t xml:space="preserve"> It is time to build.</w:t>
            </w:r>
            <w:r>
              <w:rPr>
                <w:sz w:val="22"/>
                <w:szCs w:val="22"/>
              </w:rPr>
              <w:t>”</w:t>
            </w:r>
          </w:p>
          <w:p w:rsidR="009C7D13" w:rsidRPr="009C7D13" w:rsidP="009C7D13" w14:paraId="61169B53" w14:textId="77777777">
            <w:pPr>
              <w:ind w:right="-77"/>
              <w:rPr>
                <w:sz w:val="22"/>
                <w:szCs w:val="22"/>
              </w:rPr>
            </w:pPr>
          </w:p>
          <w:p w:rsidR="00795AAB" w:rsidRPr="009C7D13" w:rsidP="009C7D13" w14:paraId="3B51BC48" w14:textId="77777777">
            <w:pPr>
              <w:ind w:right="-77"/>
              <w:rPr>
                <w:b/>
                <w:bCs/>
                <w:sz w:val="22"/>
                <w:szCs w:val="22"/>
              </w:rPr>
            </w:pPr>
            <w:r w:rsidRPr="009C7D13">
              <w:rPr>
                <w:b/>
                <w:bCs/>
                <w:sz w:val="22"/>
                <w:szCs w:val="22"/>
              </w:rPr>
              <w:t>Additional Background Information:</w:t>
            </w:r>
          </w:p>
          <w:p w:rsidR="009C7D13" w:rsidP="009C7D13" w14:paraId="49B0FD08" w14:textId="77777777">
            <w:pPr>
              <w:ind w:right="-77"/>
              <w:rPr>
                <w:sz w:val="22"/>
                <w:szCs w:val="22"/>
              </w:rPr>
            </w:pPr>
          </w:p>
          <w:p w:rsidR="0016439F" w:rsidP="0089261F" w14:paraId="25E804CF" w14:textId="59BE3CA0">
            <w:pPr>
              <w:ind w:right="-77"/>
              <w:rPr>
                <w:rFonts w:eastAsia="Cambria"/>
                <w:kern w:val="2"/>
                <w:sz w:val="22"/>
                <w:szCs w:val="22"/>
              </w:rPr>
            </w:pPr>
            <w:r w:rsidRPr="00F9649D">
              <w:rPr>
                <w:sz w:val="22"/>
                <w:szCs w:val="22"/>
              </w:rPr>
              <w:t>Chairman Carr today shared a</w:t>
            </w:r>
            <w:r w:rsidR="002B79D8">
              <w:rPr>
                <w:sz w:val="22"/>
                <w:szCs w:val="22"/>
              </w:rPr>
              <w:t xml:space="preserve">n </w:t>
            </w:r>
            <w:r w:rsidRPr="00F9649D">
              <w:rPr>
                <w:sz w:val="22"/>
                <w:szCs w:val="22"/>
              </w:rPr>
              <w:t>Order and Further Notice of Proposed Rulemaking with his colleagues for consideration at the Commission</w:t>
            </w:r>
            <w:r w:rsidR="009C64E9">
              <w:rPr>
                <w:sz w:val="22"/>
                <w:szCs w:val="22"/>
              </w:rPr>
              <w:t>’</w:t>
            </w:r>
            <w:r w:rsidRPr="00F9649D">
              <w:rPr>
                <w:sz w:val="22"/>
                <w:szCs w:val="22"/>
              </w:rPr>
              <w:t xml:space="preserve">s September 30, </w:t>
            </w:r>
            <w:r w:rsidRPr="00F9649D" w:rsidR="00B926D5">
              <w:rPr>
                <w:sz w:val="22"/>
                <w:szCs w:val="22"/>
              </w:rPr>
              <w:t>2026</w:t>
            </w:r>
            <w:r w:rsidRPr="00F9649D">
              <w:rPr>
                <w:sz w:val="22"/>
                <w:szCs w:val="22"/>
              </w:rPr>
              <w:t xml:space="preserve"> Open Meeting. </w:t>
            </w:r>
            <w:r w:rsidRPr="00F9649D" w:rsidR="00DA0099">
              <w:rPr>
                <w:sz w:val="22"/>
                <w:szCs w:val="22"/>
              </w:rPr>
              <w:t xml:space="preserve"> </w:t>
            </w:r>
            <w:r w:rsidRPr="00F9649D">
              <w:rPr>
                <w:sz w:val="22"/>
                <w:szCs w:val="22"/>
              </w:rPr>
              <w:t xml:space="preserve">If adopted, the Order would </w:t>
            </w:r>
            <w:r w:rsidRPr="00FD75EC" w:rsidR="00D83D56">
              <w:rPr>
                <w:rFonts w:eastAsia="Cambria"/>
                <w:kern w:val="2"/>
                <w:sz w:val="22"/>
                <w:szCs w:val="22"/>
              </w:rPr>
              <w:t xml:space="preserve">revise the Commission’s </w:t>
            </w:r>
            <w:r w:rsidR="000C528C">
              <w:rPr>
                <w:rFonts w:eastAsia="Cambria"/>
                <w:kern w:val="2"/>
                <w:sz w:val="22"/>
                <w:szCs w:val="22"/>
              </w:rPr>
              <w:t xml:space="preserve">National Environmental Policy Act </w:t>
            </w:r>
            <w:r w:rsidR="000C528C">
              <w:rPr>
                <w:rFonts w:eastAsia="Cambria"/>
                <w:kern w:val="2"/>
                <w:sz w:val="22"/>
                <w:szCs w:val="22"/>
              </w:rPr>
              <w:t>(</w:t>
            </w:r>
            <w:r w:rsidR="00196AF2">
              <w:rPr>
                <w:rFonts w:eastAsia="Cambria"/>
                <w:kern w:val="2"/>
                <w:sz w:val="22"/>
                <w:szCs w:val="22"/>
              </w:rPr>
              <w:t>NEPA</w:t>
            </w:r>
            <w:r w:rsidR="000C528C">
              <w:rPr>
                <w:rFonts w:eastAsia="Cambria"/>
                <w:kern w:val="2"/>
                <w:sz w:val="22"/>
                <w:szCs w:val="22"/>
              </w:rPr>
              <w:t>)</w:t>
            </w:r>
            <w:r w:rsidRPr="00FD75EC" w:rsidR="00D83D56">
              <w:rPr>
                <w:rFonts w:eastAsia="Cambria"/>
                <w:kern w:val="2"/>
                <w:sz w:val="22"/>
                <w:szCs w:val="22"/>
              </w:rPr>
              <w:t xml:space="preserve"> rules to ensure they comport with the amended</w:t>
            </w:r>
            <w:r w:rsidR="000C528C">
              <w:rPr>
                <w:rFonts w:eastAsia="Cambria"/>
                <w:kern w:val="2"/>
                <w:sz w:val="22"/>
                <w:szCs w:val="22"/>
              </w:rPr>
              <w:t xml:space="preserve"> NEPA </w:t>
            </w:r>
            <w:r w:rsidR="00381D5B">
              <w:rPr>
                <w:rFonts w:eastAsia="Cambria"/>
                <w:kern w:val="2"/>
                <w:sz w:val="22"/>
                <w:szCs w:val="22"/>
              </w:rPr>
              <w:t>statute</w:t>
            </w:r>
            <w:r w:rsidR="001D56A5">
              <w:rPr>
                <w:rFonts w:eastAsia="Cambria"/>
                <w:kern w:val="2"/>
                <w:sz w:val="22"/>
                <w:szCs w:val="22"/>
              </w:rPr>
              <w:t xml:space="preserve"> and </w:t>
            </w:r>
            <w:r w:rsidRPr="00FD75EC" w:rsidR="00D83D56">
              <w:rPr>
                <w:rFonts w:eastAsia="Cambria"/>
                <w:kern w:val="2"/>
                <w:sz w:val="22"/>
                <w:szCs w:val="22"/>
              </w:rPr>
              <w:t>accelerate the federal permitting process</w:t>
            </w:r>
            <w:r w:rsidR="001D56A5">
              <w:rPr>
                <w:rFonts w:eastAsia="Cambria"/>
                <w:kern w:val="2"/>
                <w:sz w:val="22"/>
                <w:szCs w:val="22"/>
              </w:rPr>
              <w:t>.</w:t>
            </w:r>
          </w:p>
          <w:p w:rsidR="004818EA" w:rsidP="0089261F" w14:paraId="7DC723EA" w14:textId="77777777">
            <w:pPr>
              <w:ind w:right="-77"/>
              <w:rPr>
                <w:rFonts w:eastAsia="Cambria"/>
                <w:kern w:val="2"/>
                <w:sz w:val="22"/>
                <w:szCs w:val="22"/>
              </w:rPr>
            </w:pPr>
          </w:p>
          <w:p w:rsidR="004818EA" w:rsidP="0089261F" w14:paraId="1E2AEBB3" w14:textId="40E96594">
            <w:pPr>
              <w:ind w:right="-77"/>
              <w:rPr>
                <w:rFonts w:eastAsia="Cambria"/>
                <w:kern w:val="2"/>
                <w:sz w:val="22"/>
                <w:szCs w:val="22"/>
              </w:rPr>
            </w:pPr>
            <w:r>
              <w:rPr>
                <w:rFonts w:eastAsia="Cambria"/>
                <w:kern w:val="2"/>
                <w:sz w:val="22"/>
                <w:szCs w:val="22"/>
              </w:rPr>
              <w:t>Analysts find that modernizing the NEPA review process means faster construction, more jobs, and increased investment—unlocking billions of dollars in economic activity that was previously stuck in red tape.  Clearer, more consistent rules mean greater certainty for businesses, catalyzing private-sector investment.  Meanwhile, streamlined reviews will boost American infrastructure, dramatically reducing unnecessary paperwork costs.</w:t>
            </w:r>
          </w:p>
          <w:p w:rsidR="00C11CD9" w:rsidP="0089261F" w14:paraId="68F6AD3C" w14:textId="77777777">
            <w:pPr>
              <w:ind w:right="-77"/>
              <w:rPr>
                <w:rFonts w:eastAsia="Cambria"/>
                <w:kern w:val="2"/>
                <w:sz w:val="22"/>
                <w:szCs w:val="22"/>
              </w:rPr>
            </w:pPr>
          </w:p>
          <w:p w:rsidR="00C11CD9" w:rsidRPr="00C11CD9" w:rsidP="00C11CD9" w14:paraId="4C145B7D" w14:textId="17402B95">
            <w:pPr>
              <w:rPr>
                <w:rFonts w:eastAsia="Cambria"/>
                <w:sz w:val="22"/>
                <w:szCs w:val="22"/>
              </w:rPr>
            </w:pPr>
            <w:r w:rsidRPr="00413903">
              <w:rPr>
                <w:rFonts w:eastAsia="Cambria"/>
                <w:sz w:val="22"/>
                <w:szCs w:val="22"/>
              </w:rPr>
              <w:t xml:space="preserve">The January 2026 </w:t>
            </w:r>
            <w:hyperlink r:id="rId5">
              <w:r w:rsidRPr="00413903">
                <w:rPr>
                  <w:rStyle w:val="Hyperlink"/>
                  <w:rFonts w:eastAsia="Cambria"/>
                  <w:sz w:val="22"/>
                  <w:szCs w:val="22"/>
                </w:rPr>
                <w:t>NERA Report</w:t>
              </w:r>
            </w:hyperlink>
            <w:r w:rsidRPr="00413903">
              <w:rPr>
                <w:rFonts w:eastAsia="Cambria"/>
                <w:sz w:val="22"/>
                <w:szCs w:val="22"/>
              </w:rPr>
              <w:t xml:space="preserve"> produced for CTIA estimated that the Commission’s legacy NEPA and NHPA rules would result in over $2.2 billion in direct regulatory compliance costs between 2025-2035, and a total of at least $7.5 billion in welfare and economic activity loss over that same period. </w:t>
            </w:r>
          </w:p>
          <w:p w:rsidR="00597D82" w:rsidRPr="00F9649D" w:rsidP="0089261F" w14:paraId="510D3810" w14:textId="77777777">
            <w:pPr>
              <w:ind w:right="-77"/>
              <w:rPr>
                <w:sz w:val="22"/>
                <w:szCs w:val="22"/>
              </w:rPr>
            </w:pPr>
          </w:p>
          <w:p w:rsidR="00FD75EC" w:rsidP="00777206" w14:paraId="5B188C71" w14:textId="6A861495">
            <w:pPr>
              <w:pStyle w:val="ParaNum"/>
              <w:numPr>
                <w:ilvl w:val="0"/>
                <w:numId w:val="0"/>
              </w:numPr>
              <w:spacing w:after="0"/>
              <w:rPr>
                <w:rFonts w:eastAsia="Cambria"/>
                <w:kern w:val="2"/>
                <w:szCs w:val="22"/>
              </w:rPr>
            </w:pPr>
            <w:r w:rsidRPr="00FD75EC">
              <w:rPr>
                <w:rFonts w:eastAsia="Cambria"/>
                <w:kern w:val="2"/>
                <w:szCs w:val="22"/>
              </w:rPr>
              <w:t xml:space="preserve">The Order </w:t>
            </w:r>
            <w:r w:rsidR="007278A7">
              <w:rPr>
                <w:rFonts w:eastAsia="Cambria"/>
                <w:kern w:val="2"/>
                <w:szCs w:val="22"/>
              </w:rPr>
              <w:t>would codify</w:t>
            </w:r>
            <w:r w:rsidRPr="00FD75EC">
              <w:rPr>
                <w:rFonts w:eastAsia="Cambria"/>
                <w:kern w:val="2"/>
                <w:szCs w:val="22"/>
              </w:rPr>
              <w:t xml:space="preserve"> the statutory definition of major Federal action (MFA), the prerequisite to trigger federal agencies’ NEPA obligations in the Commission’s </w:t>
            </w:r>
            <w:r w:rsidRPr="00FD75EC" w:rsidR="00B926D5">
              <w:rPr>
                <w:rFonts w:eastAsia="Cambria"/>
                <w:kern w:val="2"/>
                <w:szCs w:val="22"/>
              </w:rPr>
              <w:t>rules and</w:t>
            </w:r>
            <w:r w:rsidRPr="00FD75EC">
              <w:rPr>
                <w:rFonts w:eastAsia="Cambria"/>
                <w:kern w:val="2"/>
                <w:szCs w:val="22"/>
              </w:rPr>
              <w:t xml:space="preserve"> clarif</w:t>
            </w:r>
            <w:r w:rsidR="007278A7">
              <w:rPr>
                <w:rFonts w:eastAsia="Cambria"/>
                <w:kern w:val="2"/>
                <w:szCs w:val="22"/>
              </w:rPr>
              <w:t>y</w:t>
            </w:r>
            <w:r w:rsidRPr="00FD75EC">
              <w:rPr>
                <w:rFonts w:eastAsia="Cambria"/>
                <w:kern w:val="2"/>
                <w:szCs w:val="22"/>
              </w:rPr>
              <w:t xml:space="preserve"> which Commission actions are MFAs.  </w:t>
            </w:r>
            <w:r w:rsidR="00777206">
              <w:rPr>
                <w:rFonts w:eastAsia="Cambria"/>
                <w:szCs w:val="22"/>
              </w:rPr>
              <w:t xml:space="preserve">These final rules would eliminate evaluations under the Commission’s current </w:t>
            </w:r>
            <w:r w:rsidR="00777206">
              <w:rPr>
                <w:rFonts w:eastAsia="Cambria"/>
                <w:szCs w:val="22"/>
              </w:rPr>
              <w:t>NEPA checklist for more than 14,800 wireless deployments, further accelerating builds across the country.  Additionally, i</w:t>
            </w:r>
            <w:r w:rsidR="0086263B">
              <w:rPr>
                <w:rFonts w:eastAsia="Cambria"/>
                <w:kern w:val="2"/>
                <w:szCs w:val="22"/>
              </w:rPr>
              <w:t xml:space="preserve">t would </w:t>
            </w:r>
            <w:r w:rsidRPr="00FD75EC">
              <w:rPr>
                <w:rFonts w:eastAsia="Cambria"/>
                <w:kern w:val="2"/>
                <w:szCs w:val="22"/>
              </w:rPr>
              <w:t>find that deployments of facilities in connection with geographic area spectrum licenses, site-based spectrum licenses, unlicensed or licensed-by-rule wireless services, and satellite earth stations do not qualify as MFAs to the extent the deployments do not require antenna structure registration.  The</w:t>
            </w:r>
            <w:r w:rsidR="0086263B">
              <w:rPr>
                <w:rFonts w:eastAsia="Cambria"/>
                <w:kern w:val="2"/>
                <w:szCs w:val="22"/>
              </w:rPr>
              <w:t xml:space="preserve"> </w:t>
            </w:r>
            <w:r w:rsidRPr="00FD75EC">
              <w:rPr>
                <w:rFonts w:eastAsia="Cambria"/>
                <w:kern w:val="2"/>
                <w:szCs w:val="22"/>
              </w:rPr>
              <w:t xml:space="preserve">Order </w:t>
            </w:r>
            <w:r w:rsidR="00490303">
              <w:rPr>
                <w:rFonts w:eastAsia="Cambria"/>
                <w:kern w:val="2"/>
                <w:szCs w:val="22"/>
              </w:rPr>
              <w:t xml:space="preserve">also </w:t>
            </w:r>
            <w:r w:rsidR="0086263B">
              <w:rPr>
                <w:rFonts w:eastAsia="Cambria"/>
                <w:kern w:val="2"/>
                <w:szCs w:val="22"/>
              </w:rPr>
              <w:t xml:space="preserve">would </w:t>
            </w:r>
            <w:r w:rsidRPr="00FD75EC">
              <w:rPr>
                <w:rFonts w:eastAsia="Cambria"/>
                <w:kern w:val="2"/>
                <w:szCs w:val="22"/>
              </w:rPr>
              <w:t xml:space="preserve">find that actions associated with space-based operations, including the launch, deployment, and operation of space stations, are not MFAs.  </w:t>
            </w:r>
          </w:p>
          <w:p w:rsidR="00F9649D" w:rsidRPr="00F9649D" w:rsidP="0089261F" w14:paraId="630A3916" w14:textId="77777777">
            <w:pPr>
              <w:ind w:right="-77"/>
              <w:rPr>
                <w:rFonts w:eastAsia="Cambria"/>
                <w:kern w:val="2"/>
                <w:szCs w:val="22"/>
              </w:rPr>
            </w:pPr>
          </w:p>
          <w:p w:rsidR="007F48CD" w:rsidP="006E32BE" w14:paraId="232CFA4D" w14:textId="78BEE008">
            <w:pPr>
              <w:pStyle w:val="ParaNum"/>
              <w:numPr>
                <w:ilvl w:val="0"/>
                <w:numId w:val="0"/>
              </w:numPr>
              <w:spacing w:after="0"/>
              <w:rPr>
                <w:rFonts w:eastAsia="Cambria"/>
                <w:snapToGrid/>
                <w:kern w:val="2"/>
                <w:szCs w:val="22"/>
              </w:rPr>
            </w:pPr>
            <w:r>
              <w:rPr>
                <w:rFonts w:eastAsia="Cambria"/>
                <w:snapToGrid/>
                <w:kern w:val="2"/>
                <w:szCs w:val="22"/>
              </w:rPr>
              <w:t>This action</w:t>
            </w:r>
            <w:r w:rsidR="00196AF2">
              <w:rPr>
                <w:rFonts w:eastAsia="Cambria"/>
                <w:snapToGrid/>
                <w:kern w:val="2"/>
                <w:szCs w:val="22"/>
              </w:rPr>
              <w:t xml:space="preserve"> would also a</w:t>
            </w:r>
            <w:r w:rsidRPr="007F48CD">
              <w:rPr>
                <w:rFonts w:eastAsia="Cambria"/>
                <w:snapToGrid/>
                <w:kern w:val="2"/>
                <w:szCs w:val="22"/>
              </w:rPr>
              <w:t xml:space="preserve">dopt reforms to streamline other aspects of the Commission’s </w:t>
            </w:r>
            <w:r w:rsidRPr="006E32BE">
              <w:rPr>
                <w:rFonts w:eastAsia="Cambria"/>
                <w:snapToGrid/>
                <w:kern w:val="2"/>
                <w:szCs w:val="22"/>
              </w:rPr>
              <w:t xml:space="preserve">NEPA rules, including the Commission’s requirements for categorical exclusions, environmental assessments, environmental impact statements, joint agency actions, and emergency situations.  </w:t>
            </w:r>
          </w:p>
          <w:p w:rsidR="006E32BE" w:rsidRPr="006E32BE" w:rsidP="006E32BE" w14:paraId="10193FEA" w14:textId="77777777">
            <w:pPr>
              <w:pStyle w:val="ParaNum"/>
              <w:numPr>
                <w:ilvl w:val="0"/>
                <w:numId w:val="0"/>
              </w:numPr>
              <w:spacing w:after="0"/>
              <w:rPr>
                <w:rFonts w:eastAsia="Cambria"/>
                <w:snapToGrid/>
                <w:kern w:val="2"/>
                <w:szCs w:val="22"/>
              </w:rPr>
            </w:pPr>
          </w:p>
          <w:p w:rsidR="00DA0099" w:rsidP="006E32BE" w14:paraId="1A3CE1CE" w14:textId="72B4908F">
            <w:pPr>
              <w:pStyle w:val="ParaNum"/>
              <w:numPr>
                <w:ilvl w:val="0"/>
                <w:numId w:val="0"/>
              </w:numPr>
              <w:spacing w:after="0"/>
              <w:rPr>
                <w:rFonts w:eastAsia="Cambria"/>
                <w:snapToGrid/>
                <w:kern w:val="2"/>
                <w:szCs w:val="22"/>
              </w:rPr>
            </w:pPr>
            <w:r>
              <w:rPr>
                <w:rFonts w:eastAsia="Cambria"/>
                <w:snapToGrid/>
                <w:kern w:val="2"/>
                <w:szCs w:val="22"/>
              </w:rPr>
              <w:t>In an accompanying</w:t>
            </w:r>
            <w:r w:rsidRPr="006E32BE">
              <w:rPr>
                <w:rFonts w:eastAsia="Cambria"/>
                <w:snapToGrid/>
                <w:kern w:val="2"/>
                <w:szCs w:val="22"/>
              </w:rPr>
              <w:t xml:space="preserve"> Further Notice of Proposed Rulemaking</w:t>
            </w:r>
            <w:r>
              <w:rPr>
                <w:rFonts w:eastAsia="Cambria"/>
                <w:snapToGrid/>
                <w:kern w:val="2"/>
                <w:szCs w:val="22"/>
              </w:rPr>
              <w:t>, the Commission</w:t>
            </w:r>
            <w:r w:rsidRPr="006E32BE" w:rsidR="00D702B8">
              <w:rPr>
                <w:rFonts w:eastAsia="Cambria"/>
                <w:snapToGrid/>
                <w:kern w:val="2"/>
                <w:szCs w:val="22"/>
              </w:rPr>
              <w:t xml:space="preserve"> would seek additional comment on the </w:t>
            </w:r>
            <w:r>
              <w:rPr>
                <w:rFonts w:eastAsia="Cambria"/>
                <w:snapToGrid/>
                <w:kern w:val="2"/>
                <w:szCs w:val="22"/>
              </w:rPr>
              <w:t>agency’s</w:t>
            </w:r>
            <w:r w:rsidRPr="006E32BE" w:rsidR="00D702B8">
              <w:rPr>
                <w:rFonts w:eastAsia="Cambria"/>
                <w:snapToGrid/>
                <w:kern w:val="2"/>
                <w:szCs w:val="22"/>
              </w:rPr>
              <w:t xml:space="preserve"> National Historic Preservation Act </w:t>
            </w:r>
            <w:r w:rsidRPr="006E32BE" w:rsidR="00EC0274">
              <w:rPr>
                <w:rFonts w:eastAsia="Cambria"/>
                <w:snapToGrid/>
                <w:kern w:val="2"/>
                <w:szCs w:val="22"/>
              </w:rPr>
              <w:t xml:space="preserve">(NHPA) </w:t>
            </w:r>
            <w:r w:rsidRPr="006E32BE" w:rsidR="00D702B8">
              <w:rPr>
                <w:rFonts w:eastAsia="Cambria"/>
                <w:snapToGrid/>
                <w:kern w:val="2"/>
                <w:szCs w:val="22"/>
              </w:rPr>
              <w:t>framework, including how the Commission’s licensing of spectrum relates to the definition of an “undertaking</w:t>
            </w:r>
            <w:r w:rsidRPr="006E32BE" w:rsidR="00E144CB">
              <w:rPr>
                <w:rFonts w:eastAsia="Cambria"/>
                <w:snapToGrid/>
                <w:kern w:val="2"/>
                <w:szCs w:val="22"/>
              </w:rPr>
              <w:t>,</w:t>
            </w:r>
            <w:r w:rsidRPr="006E32BE" w:rsidR="00D702B8">
              <w:rPr>
                <w:rFonts w:eastAsia="Cambria"/>
                <w:snapToGrid/>
                <w:kern w:val="2"/>
                <w:szCs w:val="22"/>
              </w:rPr>
              <w:t xml:space="preserve">” </w:t>
            </w:r>
            <w:r w:rsidRPr="006E32BE" w:rsidR="004A5037">
              <w:rPr>
                <w:rFonts w:eastAsia="Cambria"/>
                <w:snapToGrid/>
                <w:kern w:val="2"/>
                <w:szCs w:val="22"/>
              </w:rPr>
              <w:t xml:space="preserve">which is </w:t>
            </w:r>
            <w:r w:rsidRPr="006E32BE" w:rsidR="00E144CB">
              <w:rPr>
                <w:rFonts w:eastAsia="Cambria"/>
                <w:snapToGrid/>
                <w:kern w:val="2"/>
                <w:szCs w:val="22"/>
              </w:rPr>
              <w:t xml:space="preserve">the trigger for NHPA review, </w:t>
            </w:r>
            <w:r w:rsidRPr="006E32BE" w:rsidR="00D702B8">
              <w:rPr>
                <w:rFonts w:eastAsia="Cambria"/>
                <w:snapToGrid/>
                <w:kern w:val="2"/>
                <w:szCs w:val="22"/>
              </w:rPr>
              <w:t>as well as whether to adopt efficiencies</w:t>
            </w:r>
            <w:r w:rsidRPr="006E32BE" w:rsidR="003F6754">
              <w:rPr>
                <w:rFonts w:eastAsia="Cambria"/>
                <w:snapToGrid/>
                <w:kern w:val="2"/>
                <w:szCs w:val="22"/>
              </w:rPr>
              <w:t xml:space="preserve"> </w:t>
            </w:r>
            <w:r w:rsidRPr="006E32BE" w:rsidR="009632D6">
              <w:rPr>
                <w:rFonts w:eastAsia="Cambria"/>
                <w:snapToGrid/>
                <w:kern w:val="2"/>
                <w:szCs w:val="22"/>
              </w:rPr>
              <w:t xml:space="preserve">in </w:t>
            </w:r>
            <w:r w:rsidRPr="006E32BE" w:rsidR="0092709D">
              <w:rPr>
                <w:rFonts w:eastAsia="Cambria"/>
                <w:snapToGrid/>
                <w:kern w:val="2"/>
                <w:szCs w:val="22"/>
              </w:rPr>
              <w:t>the NHPA process</w:t>
            </w:r>
            <w:r w:rsidRPr="006E32BE" w:rsidR="00D702B8">
              <w:rPr>
                <w:rFonts w:eastAsia="Cambria"/>
                <w:snapToGrid/>
                <w:kern w:val="2"/>
                <w:szCs w:val="22"/>
              </w:rPr>
              <w:t xml:space="preserve">. </w:t>
            </w:r>
          </w:p>
          <w:p w:rsidR="006E32BE" w:rsidRPr="006E32BE" w:rsidP="006E32BE" w14:paraId="7DA00654" w14:textId="77777777">
            <w:pPr>
              <w:pStyle w:val="ParaNum"/>
              <w:numPr>
                <w:ilvl w:val="0"/>
                <w:numId w:val="0"/>
              </w:numPr>
              <w:spacing w:after="0"/>
              <w:rPr>
                <w:rFonts w:eastAsia="Cambria"/>
                <w:snapToGrid/>
                <w:kern w:val="2"/>
                <w:szCs w:val="22"/>
              </w:rPr>
            </w:pPr>
          </w:p>
          <w:p w:rsidR="00FA4E44" w:rsidRPr="006E32BE" w:rsidP="006E32BE" w14:paraId="3F828162" w14:textId="2517B152">
            <w:pPr>
              <w:rPr>
                <w:sz w:val="22"/>
                <w:szCs w:val="22"/>
              </w:rPr>
            </w:pPr>
            <w:r w:rsidRPr="006E32BE">
              <w:rPr>
                <w:sz w:val="22"/>
                <w:szCs w:val="22"/>
              </w:rPr>
              <w:t xml:space="preserve">The public draft of </w:t>
            </w:r>
            <w:r w:rsidRPr="006E32BE" w:rsidR="00CB54BE">
              <w:rPr>
                <w:sz w:val="22"/>
                <w:szCs w:val="22"/>
              </w:rPr>
              <w:t>this item</w:t>
            </w:r>
            <w:r w:rsidRPr="006E32BE">
              <w:rPr>
                <w:sz w:val="22"/>
                <w:szCs w:val="22"/>
              </w:rPr>
              <w:t xml:space="preserve"> will be available on FCC.gov tomorrow on the Open Meeting webpage: </w:t>
            </w:r>
            <w:hyperlink r:id="rId6" w:history="1">
              <w:r w:rsidRPr="006E32BE">
                <w:rPr>
                  <w:rStyle w:val="Hyperlink"/>
                  <w:sz w:val="22"/>
                  <w:szCs w:val="22"/>
                </w:rPr>
                <w:t>https://www.fcc.gov/September2026</w:t>
              </w:r>
            </w:hyperlink>
            <w:r w:rsidRPr="006E32BE">
              <w:rPr>
                <w:sz w:val="22"/>
                <w:szCs w:val="22"/>
              </w:rPr>
              <w:t xml:space="preserve">. </w:t>
            </w:r>
          </w:p>
          <w:p w:rsidR="0016439F" w:rsidRPr="002E165B" w:rsidP="006D748C" w14:paraId="2F0D090D" w14:textId="77777777">
            <w:pPr>
              <w:rPr>
                <w:sz w:val="22"/>
                <w:szCs w:val="22"/>
              </w:rPr>
            </w:pPr>
          </w:p>
          <w:p w:rsidR="004F0F1F" w:rsidRPr="007475A1" w:rsidP="00850E26" w14:paraId="22211529" w14:textId="77777777">
            <w:pPr>
              <w:ind w:right="72"/>
              <w:jc w:val="center"/>
              <w:rPr>
                <w:sz w:val="22"/>
                <w:szCs w:val="22"/>
              </w:rPr>
            </w:pPr>
            <w:r w:rsidRPr="007475A1">
              <w:rPr>
                <w:sz w:val="22"/>
                <w:szCs w:val="22"/>
              </w:rPr>
              <w:t>###</w:t>
            </w:r>
          </w:p>
          <w:p w:rsidR="00104B0D" w:rsidRPr="00104B0D" w:rsidP="00104B0D" w14:paraId="6A358CC6" w14:textId="77777777">
            <w:pPr>
              <w:ind w:right="72"/>
              <w:jc w:val="center"/>
              <w:rPr>
                <w:b/>
                <w:bCs/>
                <w:sz w:val="22"/>
                <w:szCs w:val="22"/>
              </w:rPr>
            </w:pPr>
            <w:r w:rsidRPr="00104B0D">
              <w:rPr>
                <w:b/>
                <w:bCs/>
                <w:sz w:val="22"/>
                <w:szCs w:val="22"/>
              </w:rPr>
              <w:br/>
              <w:t>Media Contact: MediaRelations@fcc.gov / (202) 418-0500</w:t>
            </w:r>
          </w:p>
          <w:p w:rsidR="00FF105E" w:rsidRPr="00104B0D" w:rsidP="00D45E2D" w14:paraId="236681B1"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r w14:paraId="46027A87" w14:textId="77777777" w:rsidTr="00D45E2D">
        <w:tblPrEx>
          <w:tblW w:w="9172" w:type="dxa"/>
          <w:tblLook w:val="0000"/>
        </w:tblPrEx>
        <w:trPr>
          <w:trHeight w:val="2181"/>
        </w:trPr>
        <w:tc>
          <w:tcPr>
            <w:tcW w:w="9172" w:type="dxa"/>
          </w:tcPr>
          <w:p w:rsidR="007D0350" w:rsidP="68B40A2B" w14:paraId="038CF6FA" w14:textId="77777777">
            <w:pPr>
              <w:jc w:val="center"/>
              <w:rPr>
                <w:noProof/>
              </w:rPr>
            </w:pPr>
          </w:p>
          <w:p w:rsidR="007D0350" w:rsidP="68B40A2B" w14:paraId="51EB82D3" w14:textId="77777777">
            <w:pPr>
              <w:jc w:val="center"/>
              <w:rPr>
                <w:noProof/>
              </w:rPr>
            </w:pPr>
          </w:p>
          <w:p w:rsidR="007D0350" w:rsidP="68B40A2B" w14:paraId="5306C6B9" w14:textId="77777777">
            <w:pPr>
              <w:jc w:val="center"/>
              <w:rPr>
                <w:noProof/>
              </w:rPr>
            </w:pPr>
          </w:p>
        </w:tc>
      </w:tr>
    </w:tbl>
    <w:p w:rsidR="00D24C3D" w:rsidRPr="007528A5" w14:paraId="68236648" w14:textId="77777777">
      <w:pPr>
        <w:rPr>
          <w:b/>
          <w:bCs/>
          <w:sz w:val="2"/>
          <w:szCs w:val="2"/>
        </w:rPr>
      </w:pPr>
    </w:p>
    <w:sectPr w:rsidSect="00A50722">
      <w:pgSz w:w="12240" w:h="15840"/>
      <w:pgMar w:top="135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21B77"/>
    <w:multiLevelType w:val="hybridMultilevel"/>
    <w:tmpl w:val="906C03DA"/>
    <w:lvl w:ilvl="0">
      <w:start w:val="1"/>
      <w:numFmt w:val="bullet"/>
      <w:lvlText w:val=""/>
      <w:lvlJc w:val="left"/>
      <w:pPr>
        <w:ind w:left="72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
    <w:nsid w:val="605741B8"/>
    <w:multiLevelType w:val="hybridMultilevel"/>
    <w:tmpl w:val="F3D86EB2"/>
    <w:lvl w:ilvl="0">
      <w:start w:val="1"/>
      <w:numFmt w:val="bullet"/>
      <w:lvlText w:val=""/>
      <w:lvlJc w:val="left"/>
      <w:pPr>
        <w:ind w:left="72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4">
    <w:nsid w:val="6C825E7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07119027">
    <w:abstractNumId w:val="1"/>
  </w:num>
  <w:num w:numId="2" w16cid:durableId="299313423">
    <w:abstractNumId w:val="3"/>
  </w:num>
  <w:num w:numId="3" w16cid:durableId="264115371">
    <w:abstractNumId w:val="2"/>
  </w:num>
  <w:num w:numId="4" w16cid:durableId="756830335">
    <w:abstractNumId w:val="4"/>
  </w:num>
  <w:num w:numId="5" w16cid:durableId="15686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44"/>
    <w:rsid w:val="00012186"/>
    <w:rsid w:val="00012B6A"/>
    <w:rsid w:val="00013E6B"/>
    <w:rsid w:val="00014F48"/>
    <w:rsid w:val="0002500C"/>
    <w:rsid w:val="000311FC"/>
    <w:rsid w:val="00040127"/>
    <w:rsid w:val="00046988"/>
    <w:rsid w:val="000579D3"/>
    <w:rsid w:val="00065E2D"/>
    <w:rsid w:val="00066FB2"/>
    <w:rsid w:val="0007243F"/>
    <w:rsid w:val="0007366E"/>
    <w:rsid w:val="00077F7B"/>
    <w:rsid w:val="00081232"/>
    <w:rsid w:val="000861E7"/>
    <w:rsid w:val="00091E65"/>
    <w:rsid w:val="00096D4A"/>
    <w:rsid w:val="000A3783"/>
    <w:rsid w:val="000A38EA"/>
    <w:rsid w:val="000C1E47"/>
    <w:rsid w:val="000C26F3"/>
    <w:rsid w:val="000C5056"/>
    <w:rsid w:val="000C528C"/>
    <w:rsid w:val="000D4846"/>
    <w:rsid w:val="000E049E"/>
    <w:rsid w:val="000E0B1A"/>
    <w:rsid w:val="000E1C6B"/>
    <w:rsid w:val="000E26E4"/>
    <w:rsid w:val="00104B0D"/>
    <w:rsid w:val="00106707"/>
    <w:rsid w:val="0010799B"/>
    <w:rsid w:val="00117DB2"/>
    <w:rsid w:val="00123ED2"/>
    <w:rsid w:val="00125BE0"/>
    <w:rsid w:val="00134A4A"/>
    <w:rsid w:val="00134BC7"/>
    <w:rsid w:val="00142C13"/>
    <w:rsid w:val="00150380"/>
    <w:rsid w:val="00152776"/>
    <w:rsid w:val="00153222"/>
    <w:rsid w:val="001577D3"/>
    <w:rsid w:val="00160F30"/>
    <w:rsid w:val="0016439F"/>
    <w:rsid w:val="001733A6"/>
    <w:rsid w:val="001816F1"/>
    <w:rsid w:val="001865A9"/>
    <w:rsid w:val="00187DB2"/>
    <w:rsid w:val="00196AF2"/>
    <w:rsid w:val="001A167A"/>
    <w:rsid w:val="001B030B"/>
    <w:rsid w:val="001B20BB"/>
    <w:rsid w:val="001C4370"/>
    <w:rsid w:val="001D3779"/>
    <w:rsid w:val="001D56A5"/>
    <w:rsid w:val="001F0469"/>
    <w:rsid w:val="001F209C"/>
    <w:rsid w:val="001F218A"/>
    <w:rsid w:val="001F584C"/>
    <w:rsid w:val="00202EF3"/>
    <w:rsid w:val="00203A98"/>
    <w:rsid w:val="00206EDD"/>
    <w:rsid w:val="0021247E"/>
    <w:rsid w:val="002146F6"/>
    <w:rsid w:val="00217446"/>
    <w:rsid w:val="00231C32"/>
    <w:rsid w:val="00240345"/>
    <w:rsid w:val="002421F0"/>
    <w:rsid w:val="00247274"/>
    <w:rsid w:val="00266966"/>
    <w:rsid w:val="00282685"/>
    <w:rsid w:val="00285C36"/>
    <w:rsid w:val="00286596"/>
    <w:rsid w:val="00290580"/>
    <w:rsid w:val="00293DD0"/>
    <w:rsid w:val="00294C0C"/>
    <w:rsid w:val="002A016A"/>
    <w:rsid w:val="002A0934"/>
    <w:rsid w:val="002B1013"/>
    <w:rsid w:val="002B2947"/>
    <w:rsid w:val="002B37F9"/>
    <w:rsid w:val="002B79D8"/>
    <w:rsid w:val="002C0B0D"/>
    <w:rsid w:val="002C4377"/>
    <w:rsid w:val="002D03E5"/>
    <w:rsid w:val="002D1E91"/>
    <w:rsid w:val="002D4180"/>
    <w:rsid w:val="002E165B"/>
    <w:rsid w:val="002E2155"/>
    <w:rsid w:val="002E3F1D"/>
    <w:rsid w:val="002F31D0"/>
    <w:rsid w:val="002F4CB1"/>
    <w:rsid w:val="00300359"/>
    <w:rsid w:val="0031131E"/>
    <w:rsid w:val="0031773E"/>
    <w:rsid w:val="003230CE"/>
    <w:rsid w:val="00333871"/>
    <w:rsid w:val="003427CE"/>
    <w:rsid w:val="00342F31"/>
    <w:rsid w:val="00345099"/>
    <w:rsid w:val="00347716"/>
    <w:rsid w:val="003506E1"/>
    <w:rsid w:val="00353B95"/>
    <w:rsid w:val="0036663F"/>
    <w:rsid w:val="003727E3"/>
    <w:rsid w:val="00374AE5"/>
    <w:rsid w:val="0037558A"/>
    <w:rsid w:val="00381D5B"/>
    <w:rsid w:val="00385A93"/>
    <w:rsid w:val="003910F1"/>
    <w:rsid w:val="003A4B01"/>
    <w:rsid w:val="003B338B"/>
    <w:rsid w:val="003B4268"/>
    <w:rsid w:val="003C70D7"/>
    <w:rsid w:val="003D5DCE"/>
    <w:rsid w:val="003D7499"/>
    <w:rsid w:val="003E42FC"/>
    <w:rsid w:val="003E5991"/>
    <w:rsid w:val="003F2135"/>
    <w:rsid w:val="003F344A"/>
    <w:rsid w:val="003F591F"/>
    <w:rsid w:val="003F6754"/>
    <w:rsid w:val="00401F89"/>
    <w:rsid w:val="00403FF0"/>
    <w:rsid w:val="0040746A"/>
    <w:rsid w:val="00413903"/>
    <w:rsid w:val="0041410D"/>
    <w:rsid w:val="0041464A"/>
    <w:rsid w:val="0042046D"/>
    <w:rsid w:val="0042116E"/>
    <w:rsid w:val="004231E0"/>
    <w:rsid w:val="00424B52"/>
    <w:rsid w:val="00425AEF"/>
    <w:rsid w:val="00426518"/>
    <w:rsid w:val="00427B06"/>
    <w:rsid w:val="004371FA"/>
    <w:rsid w:val="00441F59"/>
    <w:rsid w:val="00444E07"/>
    <w:rsid w:val="00444FA9"/>
    <w:rsid w:val="00473E9C"/>
    <w:rsid w:val="00474016"/>
    <w:rsid w:val="004745B2"/>
    <w:rsid w:val="00480099"/>
    <w:rsid w:val="004818EA"/>
    <w:rsid w:val="00490303"/>
    <w:rsid w:val="004941A2"/>
    <w:rsid w:val="00495E92"/>
    <w:rsid w:val="00497858"/>
    <w:rsid w:val="004A5037"/>
    <w:rsid w:val="004A729A"/>
    <w:rsid w:val="004A7D80"/>
    <w:rsid w:val="004B2FB3"/>
    <w:rsid w:val="004B4FEA"/>
    <w:rsid w:val="004C0ADA"/>
    <w:rsid w:val="004C3057"/>
    <w:rsid w:val="004C433E"/>
    <w:rsid w:val="004C4512"/>
    <w:rsid w:val="004C4F36"/>
    <w:rsid w:val="004C5F0D"/>
    <w:rsid w:val="004D3D85"/>
    <w:rsid w:val="004E2BD8"/>
    <w:rsid w:val="004F0F1F"/>
    <w:rsid w:val="004F2C0F"/>
    <w:rsid w:val="00500E42"/>
    <w:rsid w:val="005022AA"/>
    <w:rsid w:val="00504845"/>
    <w:rsid w:val="0050757F"/>
    <w:rsid w:val="005145EB"/>
    <w:rsid w:val="00516AD2"/>
    <w:rsid w:val="00523B8B"/>
    <w:rsid w:val="0053258D"/>
    <w:rsid w:val="005337D4"/>
    <w:rsid w:val="00545DAE"/>
    <w:rsid w:val="00564A49"/>
    <w:rsid w:val="00571B83"/>
    <w:rsid w:val="00574BE5"/>
    <w:rsid w:val="00575A00"/>
    <w:rsid w:val="00581412"/>
    <w:rsid w:val="00586417"/>
    <w:rsid w:val="0058673C"/>
    <w:rsid w:val="005917F1"/>
    <w:rsid w:val="00594504"/>
    <w:rsid w:val="00597D82"/>
    <w:rsid w:val="005A14C1"/>
    <w:rsid w:val="005A1BAE"/>
    <w:rsid w:val="005A6421"/>
    <w:rsid w:val="005A68F2"/>
    <w:rsid w:val="005A7972"/>
    <w:rsid w:val="005B0B66"/>
    <w:rsid w:val="005B17E7"/>
    <w:rsid w:val="005B2643"/>
    <w:rsid w:val="005D17FD"/>
    <w:rsid w:val="005E2CB0"/>
    <w:rsid w:val="005E770B"/>
    <w:rsid w:val="005F0D55"/>
    <w:rsid w:val="005F183E"/>
    <w:rsid w:val="00600DDA"/>
    <w:rsid w:val="00603A30"/>
    <w:rsid w:val="00604211"/>
    <w:rsid w:val="00610AAC"/>
    <w:rsid w:val="00613498"/>
    <w:rsid w:val="00615F7B"/>
    <w:rsid w:val="00617B94"/>
    <w:rsid w:val="00617C23"/>
    <w:rsid w:val="00620BED"/>
    <w:rsid w:val="00626FFF"/>
    <w:rsid w:val="00630EFB"/>
    <w:rsid w:val="00637DB7"/>
    <w:rsid w:val="006415B4"/>
    <w:rsid w:val="00644E3D"/>
    <w:rsid w:val="00651B9E"/>
    <w:rsid w:val="00652019"/>
    <w:rsid w:val="006550CC"/>
    <w:rsid w:val="00657EC9"/>
    <w:rsid w:val="00665633"/>
    <w:rsid w:val="00671813"/>
    <w:rsid w:val="00674C86"/>
    <w:rsid w:val="0068015E"/>
    <w:rsid w:val="006861AB"/>
    <w:rsid w:val="00686B89"/>
    <w:rsid w:val="0069420F"/>
    <w:rsid w:val="00696BED"/>
    <w:rsid w:val="006A2FC5"/>
    <w:rsid w:val="006A7D75"/>
    <w:rsid w:val="006B0A70"/>
    <w:rsid w:val="006B3188"/>
    <w:rsid w:val="006B606A"/>
    <w:rsid w:val="006C33AF"/>
    <w:rsid w:val="006D16EF"/>
    <w:rsid w:val="006D5D22"/>
    <w:rsid w:val="006D748C"/>
    <w:rsid w:val="006D7795"/>
    <w:rsid w:val="006D78E7"/>
    <w:rsid w:val="006E0324"/>
    <w:rsid w:val="006E32BE"/>
    <w:rsid w:val="006E43D0"/>
    <w:rsid w:val="006E4A76"/>
    <w:rsid w:val="006F1DBD"/>
    <w:rsid w:val="00700556"/>
    <w:rsid w:val="0070589A"/>
    <w:rsid w:val="007167DD"/>
    <w:rsid w:val="00716E58"/>
    <w:rsid w:val="0072478B"/>
    <w:rsid w:val="007278A7"/>
    <w:rsid w:val="0073414D"/>
    <w:rsid w:val="007475A1"/>
    <w:rsid w:val="00750A11"/>
    <w:rsid w:val="0075235E"/>
    <w:rsid w:val="007528A5"/>
    <w:rsid w:val="007634A3"/>
    <w:rsid w:val="007732CC"/>
    <w:rsid w:val="00774079"/>
    <w:rsid w:val="007741EF"/>
    <w:rsid w:val="00777206"/>
    <w:rsid w:val="0077752B"/>
    <w:rsid w:val="007835B8"/>
    <w:rsid w:val="0078773A"/>
    <w:rsid w:val="007926F8"/>
    <w:rsid w:val="00793D6F"/>
    <w:rsid w:val="00794090"/>
    <w:rsid w:val="00795AAB"/>
    <w:rsid w:val="00796C31"/>
    <w:rsid w:val="007A44F8"/>
    <w:rsid w:val="007B41C7"/>
    <w:rsid w:val="007B7D46"/>
    <w:rsid w:val="007C444E"/>
    <w:rsid w:val="007C7E60"/>
    <w:rsid w:val="007D0350"/>
    <w:rsid w:val="007D21BF"/>
    <w:rsid w:val="007D452D"/>
    <w:rsid w:val="007F1F21"/>
    <w:rsid w:val="007F3C12"/>
    <w:rsid w:val="007F418E"/>
    <w:rsid w:val="007F48CD"/>
    <w:rsid w:val="007F5205"/>
    <w:rsid w:val="007F5E6A"/>
    <w:rsid w:val="0080486B"/>
    <w:rsid w:val="00810068"/>
    <w:rsid w:val="00817F58"/>
    <w:rsid w:val="008215E7"/>
    <w:rsid w:val="00830FC6"/>
    <w:rsid w:val="008468D4"/>
    <w:rsid w:val="00850E26"/>
    <w:rsid w:val="00852BF6"/>
    <w:rsid w:val="0086263B"/>
    <w:rsid w:val="00865EAA"/>
    <w:rsid w:val="00866F06"/>
    <w:rsid w:val="008728F5"/>
    <w:rsid w:val="00875BEE"/>
    <w:rsid w:val="008824C2"/>
    <w:rsid w:val="00887FD4"/>
    <w:rsid w:val="0089261F"/>
    <w:rsid w:val="008936D4"/>
    <w:rsid w:val="008960E4"/>
    <w:rsid w:val="008A3940"/>
    <w:rsid w:val="008B13C9"/>
    <w:rsid w:val="008B74C3"/>
    <w:rsid w:val="008B7A46"/>
    <w:rsid w:val="008C248C"/>
    <w:rsid w:val="008C5432"/>
    <w:rsid w:val="008C7BF1"/>
    <w:rsid w:val="008D00D6"/>
    <w:rsid w:val="008D484B"/>
    <w:rsid w:val="008D4D00"/>
    <w:rsid w:val="008D4E5E"/>
    <w:rsid w:val="008D7ABD"/>
    <w:rsid w:val="008E55A2"/>
    <w:rsid w:val="008F1609"/>
    <w:rsid w:val="008F78D8"/>
    <w:rsid w:val="00906729"/>
    <w:rsid w:val="0092709D"/>
    <w:rsid w:val="0093373C"/>
    <w:rsid w:val="00933977"/>
    <w:rsid w:val="00940291"/>
    <w:rsid w:val="00941872"/>
    <w:rsid w:val="00945372"/>
    <w:rsid w:val="00953378"/>
    <w:rsid w:val="00954C62"/>
    <w:rsid w:val="00961620"/>
    <w:rsid w:val="009632D6"/>
    <w:rsid w:val="009644D0"/>
    <w:rsid w:val="00966815"/>
    <w:rsid w:val="00973097"/>
    <w:rsid w:val="009734B6"/>
    <w:rsid w:val="00977BB5"/>
    <w:rsid w:val="0098096F"/>
    <w:rsid w:val="0098437A"/>
    <w:rsid w:val="00986C92"/>
    <w:rsid w:val="00993C47"/>
    <w:rsid w:val="00994CA2"/>
    <w:rsid w:val="009972BC"/>
    <w:rsid w:val="009B07DE"/>
    <w:rsid w:val="009B4B16"/>
    <w:rsid w:val="009B7F2E"/>
    <w:rsid w:val="009C5D68"/>
    <w:rsid w:val="009C64E9"/>
    <w:rsid w:val="009C7007"/>
    <w:rsid w:val="009C7D13"/>
    <w:rsid w:val="009E3F17"/>
    <w:rsid w:val="009E54A1"/>
    <w:rsid w:val="009E5F77"/>
    <w:rsid w:val="009F0DAE"/>
    <w:rsid w:val="009F0F15"/>
    <w:rsid w:val="009F4E25"/>
    <w:rsid w:val="009F5B1F"/>
    <w:rsid w:val="00A17539"/>
    <w:rsid w:val="00A205EA"/>
    <w:rsid w:val="00A225A9"/>
    <w:rsid w:val="00A327FE"/>
    <w:rsid w:val="00A3308E"/>
    <w:rsid w:val="00A35757"/>
    <w:rsid w:val="00A35DFD"/>
    <w:rsid w:val="00A441E5"/>
    <w:rsid w:val="00A50722"/>
    <w:rsid w:val="00A6714A"/>
    <w:rsid w:val="00A702DF"/>
    <w:rsid w:val="00A775A3"/>
    <w:rsid w:val="00A81700"/>
    <w:rsid w:val="00A81B5B"/>
    <w:rsid w:val="00A82FAD"/>
    <w:rsid w:val="00A9673A"/>
    <w:rsid w:val="00A96EF2"/>
    <w:rsid w:val="00A973B8"/>
    <w:rsid w:val="00AA5C35"/>
    <w:rsid w:val="00AA5ED9"/>
    <w:rsid w:val="00AC0A38"/>
    <w:rsid w:val="00AC4274"/>
    <w:rsid w:val="00AC4E0E"/>
    <w:rsid w:val="00AC517B"/>
    <w:rsid w:val="00AD0D19"/>
    <w:rsid w:val="00AD4184"/>
    <w:rsid w:val="00AD452E"/>
    <w:rsid w:val="00AF051B"/>
    <w:rsid w:val="00B037A2"/>
    <w:rsid w:val="00B06D16"/>
    <w:rsid w:val="00B31870"/>
    <w:rsid w:val="00B320B8"/>
    <w:rsid w:val="00B35569"/>
    <w:rsid w:val="00B35EE2"/>
    <w:rsid w:val="00B36DEF"/>
    <w:rsid w:val="00B526FE"/>
    <w:rsid w:val="00B52ED8"/>
    <w:rsid w:val="00B57131"/>
    <w:rsid w:val="00B62EB9"/>
    <w:rsid w:val="00B62F2C"/>
    <w:rsid w:val="00B70283"/>
    <w:rsid w:val="00B71F1C"/>
    <w:rsid w:val="00B72307"/>
    <w:rsid w:val="00B727C9"/>
    <w:rsid w:val="00B735C8"/>
    <w:rsid w:val="00B76A63"/>
    <w:rsid w:val="00B818BB"/>
    <w:rsid w:val="00B926D5"/>
    <w:rsid w:val="00BA6350"/>
    <w:rsid w:val="00BB4E29"/>
    <w:rsid w:val="00BB60B0"/>
    <w:rsid w:val="00BB74C9"/>
    <w:rsid w:val="00BC1B3F"/>
    <w:rsid w:val="00BC2F08"/>
    <w:rsid w:val="00BC3AB6"/>
    <w:rsid w:val="00BD19E8"/>
    <w:rsid w:val="00BD4273"/>
    <w:rsid w:val="00BE5766"/>
    <w:rsid w:val="00BF2BDA"/>
    <w:rsid w:val="00C0698F"/>
    <w:rsid w:val="00C11CD9"/>
    <w:rsid w:val="00C12F18"/>
    <w:rsid w:val="00C20700"/>
    <w:rsid w:val="00C31ED8"/>
    <w:rsid w:val="00C321B1"/>
    <w:rsid w:val="00C432E4"/>
    <w:rsid w:val="00C513DA"/>
    <w:rsid w:val="00C65A3C"/>
    <w:rsid w:val="00C70C26"/>
    <w:rsid w:val="00C72001"/>
    <w:rsid w:val="00C7593B"/>
    <w:rsid w:val="00C772B7"/>
    <w:rsid w:val="00C80347"/>
    <w:rsid w:val="00C819F3"/>
    <w:rsid w:val="00C8445A"/>
    <w:rsid w:val="00C85B09"/>
    <w:rsid w:val="00C870AC"/>
    <w:rsid w:val="00CB24D2"/>
    <w:rsid w:val="00CB54BE"/>
    <w:rsid w:val="00CB7C1A"/>
    <w:rsid w:val="00CC0538"/>
    <w:rsid w:val="00CC5E08"/>
    <w:rsid w:val="00CC72B0"/>
    <w:rsid w:val="00CD2A62"/>
    <w:rsid w:val="00CE14FD"/>
    <w:rsid w:val="00CF1AB1"/>
    <w:rsid w:val="00CF6860"/>
    <w:rsid w:val="00D027CD"/>
    <w:rsid w:val="00D02AC6"/>
    <w:rsid w:val="00D03F0C"/>
    <w:rsid w:val="00D04312"/>
    <w:rsid w:val="00D161A5"/>
    <w:rsid w:val="00D16A7F"/>
    <w:rsid w:val="00D16AD2"/>
    <w:rsid w:val="00D22596"/>
    <w:rsid w:val="00D22691"/>
    <w:rsid w:val="00D24C3D"/>
    <w:rsid w:val="00D45E2D"/>
    <w:rsid w:val="00D46CB1"/>
    <w:rsid w:val="00D55744"/>
    <w:rsid w:val="00D702B8"/>
    <w:rsid w:val="00D723F0"/>
    <w:rsid w:val="00D80B18"/>
    <w:rsid w:val="00D8133F"/>
    <w:rsid w:val="00D83D56"/>
    <w:rsid w:val="00D861EE"/>
    <w:rsid w:val="00D91649"/>
    <w:rsid w:val="00D95B05"/>
    <w:rsid w:val="00D97E2D"/>
    <w:rsid w:val="00DA0099"/>
    <w:rsid w:val="00DA0D27"/>
    <w:rsid w:val="00DA103D"/>
    <w:rsid w:val="00DA45D3"/>
    <w:rsid w:val="00DA4772"/>
    <w:rsid w:val="00DA7B44"/>
    <w:rsid w:val="00DB2667"/>
    <w:rsid w:val="00DB67B7"/>
    <w:rsid w:val="00DC15A9"/>
    <w:rsid w:val="00DC2B03"/>
    <w:rsid w:val="00DC40AA"/>
    <w:rsid w:val="00DD1750"/>
    <w:rsid w:val="00DD6C13"/>
    <w:rsid w:val="00E020F1"/>
    <w:rsid w:val="00E0298D"/>
    <w:rsid w:val="00E06C4B"/>
    <w:rsid w:val="00E144CB"/>
    <w:rsid w:val="00E17C8C"/>
    <w:rsid w:val="00E349AA"/>
    <w:rsid w:val="00E41390"/>
    <w:rsid w:val="00E41CA0"/>
    <w:rsid w:val="00E4366B"/>
    <w:rsid w:val="00E50A4A"/>
    <w:rsid w:val="00E51A8B"/>
    <w:rsid w:val="00E606DE"/>
    <w:rsid w:val="00E644FE"/>
    <w:rsid w:val="00E70D4A"/>
    <w:rsid w:val="00E72733"/>
    <w:rsid w:val="00E742FA"/>
    <w:rsid w:val="00E76816"/>
    <w:rsid w:val="00E80E77"/>
    <w:rsid w:val="00E80FC6"/>
    <w:rsid w:val="00E83DBF"/>
    <w:rsid w:val="00E87C13"/>
    <w:rsid w:val="00E91E04"/>
    <w:rsid w:val="00E94CD9"/>
    <w:rsid w:val="00EA1A76"/>
    <w:rsid w:val="00EA290B"/>
    <w:rsid w:val="00EA6B13"/>
    <w:rsid w:val="00EB19D3"/>
    <w:rsid w:val="00EB2820"/>
    <w:rsid w:val="00EC0274"/>
    <w:rsid w:val="00EC2072"/>
    <w:rsid w:val="00ED39B0"/>
    <w:rsid w:val="00ED39C4"/>
    <w:rsid w:val="00EE0E90"/>
    <w:rsid w:val="00EF3BCA"/>
    <w:rsid w:val="00EF729B"/>
    <w:rsid w:val="00F01B0D"/>
    <w:rsid w:val="00F1238F"/>
    <w:rsid w:val="00F16485"/>
    <w:rsid w:val="00F228ED"/>
    <w:rsid w:val="00F26E31"/>
    <w:rsid w:val="00F27C6C"/>
    <w:rsid w:val="00F30883"/>
    <w:rsid w:val="00F349AB"/>
    <w:rsid w:val="00F34A8D"/>
    <w:rsid w:val="00F35012"/>
    <w:rsid w:val="00F5023C"/>
    <w:rsid w:val="00F50D25"/>
    <w:rsid w:val="00F535D8"/>
    <w:rsid w:val="00F61155"/>
    <w:rsid w:val="00F708E3"/>
    <w:rsid w:val="00F76561"/>
    <w:rsid w:val="00F84736"/>
    <w:rsid w:val="00F93569"/>
    <w:rsid w:val="00F94648"/>
    <w:rsid w:val="00F95E73"/>
    <w:rsid w:val="00F9649D"/>
    <w:rsid w:val="00FA4E44"/>
    <w:rsid w:val="00FB3E5C"/>
    <w:rsid w:val="00FB5B7E"/>
    <w:rsid w:val="00FC6C29"/>
    <w:rsid w:val="00FD58E0"/>
    <w:rsid w:val="00FD71AE"/>
    <w:rsid w:val="00FD75EC"/>
    <w:rsid w:val="00FE0198"/>
    <w:rsid w:val="00FE3A7C"/>
    <w:rsid w:val="00FE5B52"/>
    <w:rsid w:val="00FF105E"/>
    <w:rsid w:val="00FF1C0B"/>
    <w:rsid w:val="00FF232D"/>
    <w:rsid w:val="00FF7F9B"/>
    <w:rsid w:val="083AF924"/>
    <w:rsid w:val="0ABFB8EB"/>
    <w:rsid w:val="0B881CA5"/>
    <w:rsid w:val="1879104D"/>
    <w:rsid w:val="2349A7AF"/>
    <w:rsid w:val="2BD114CC"/>
    <w:rsid w:val="2D16B62D"/>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06F4CA2"/>
  <w15:docId w15:val="{1211A5A1-C646-4540-912B-8B6F17DD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 w:type="paragraph" w:customStyle="1" w:styleId="ParaNum">
    <w:name w:val="ParaNum"/>
    <w:basedOn w:val="Normal"/>
    <w:link w:val="ParaNumChar1"/>
    <w:rsid w:val="00DA0099"/>
    <w:pPr>
      <w:widowControl w:val="0"/>
      <w:numPr>
        <w:numId w:val="2"/>
      </w:numPr>
      <w:tabs>
        <w:tab w:val="clear" w:pos="1080"/>
        <w:tab w:val="num" w:pos="1440"/>
      </w:tabs>
      <w:spacing w:after="120"/>
    </w:pPr>
    <w:rPr>
      <w:snapToGrid w:val="0"/>
      <w:kern w:val="28"/>
      <w:sz w:val="22"/>
      <w:szCs w:val="20"/>
    </w:rPr>
  </w:style>
  <w:style w:type="character" w:customStyle="1" w:styleId="ParaNumChar1">
    <w:name w:val="ParaNum Char1"/>
    <w:link w:val="ParaNum"/>
    <w:locked/>
    <w:rsid w:val="00DA0099"/>
    <w:rPr>
      <w:snapToGrid w:val="0"/>
      <w:kern w:val="28"/>
      <w:sz w:val="22"/>
    </w:rPr>
  </w:style>
  <w:style w:type="paragraph" w:styleId="FootnoteText">
    <w:name w:val="footnote text"/>
    <w:aliases w:val="ALTS FOOTNOTE,FOOT,Footnote Text Char Char Char Char,Footnote Text Char2 Char Char2 Char2 Char Char,Footnote Text Char4 Char Char1 Char Char,Footnote Text Char5 Char,Footnote Text Char5 Char Char"/>
    <w:link w:val="FootnoteTextChar"/>
    <w:rsid w:val="00F9649D"/>
    <w:pPr>
      <w:spacing w:after="120"/>
    </w:pPr>
  </w:style>
  <w:style w:type="character" w:customStyle="1" w:styleId="FootnoteTextChar">
    <w:name w:val="Footnote Text Char"/>
    <w:aliases w:val="ALTS FOOTNOTE Char,FOOT Char,Footnote Text Char Char Char Char Char,Footnote Text Char2 Char Char2 Char2 Char Char Char,Footnote Text Char4 Char Char1 Char Char Char,Footnote Text Char5 Char Char1,Footnote Text Char5 Char Char Char"/>
    <w:basedOn w:val="DefaultParagraphFont"/>
    <w:link w:val="FootnoteText"/>
    <w:rsid w:val="00F9649D"/>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A,Ref,Style 1,R"/>
    <w:rsid w:val="00F9649D"/>
    <w:rPr>
      <w:rFonts w:ascii="Times New Roman" w:hAnsi="Times New Roman"/>
      <w:dstrike w:val="0"/>
      <w:color w:val="auto"/>
      <w:sz w:val="20"/>
      <w:vertAlign w:val="superscript"/>
    </w:rPr>
  </w:style>
  <w:style w:type="paragraph" w:styleId="CommentSubject">
    <w:name w:val="annotation subject"/>
    <w:basedOn w:val="CommentText"/>
    <w:next w:val="CommentText"/>
    <w:link w:val="CommentSubjectChar"/>
    <w:semiHidden/>
    <w:unhideWhenUsed/>
    <w:rsid w:val="00973097"/>
    <w:rPr>
      <w:b/>
      <w:bCs/>
    </w:rPr>
  </w:style>
  <w:style w:type="character" w:customStyle="1" w:styleId="CommentSubjectChar">
    <w:name w:val="Comment Subject Char"/>
    <w:basedOn w:val="CommentTextChar"/>
    <w:link w:val="CommentSubject"/>
    <w:semiHidden/>
    <w:rsid w:val="00973097"/>
    <w:rPr>
      <w:b/>
      <w:bCs/>
    </w:rPr>
  </w:style>
  <w:style w:type="paragraph" w:styleId="Header">
    <w:name w:val="header"/>
    <w:basedOn w:val="Normal"/>
    <w:link w:val="HeaderChar"/>
    <w:semiHidden/>
    <w:unhideWhenUsed/>
    <w:rsid w:val="002B2947"/>
    <w:pPr>
      <w:tabs>
        <w:tab w:val="center" w:pos="4680"/>
        <w:tab w:val="right" w:pos="9360"/>
      </w:tabs>
    </w:pPr>
  </w:style>
  <w:style w:type="character" w:customStyle="1" w:styleId="HeaderChar">
    <w:name w:val="Header Char"/>
    <w:basedOn w:val="DefaultParagraphFont"/>
    <w:link w:val="Header"/>
    <w:semiHidden/>
    <w:rsid w:val="002B2947"/>
    <w:rPr>
      <w:sz w:val="24"/>
      <w:szCs w:val="24"/>
    </w:rPr>
  </w:style>
  <w:style w:type="paragraph" w:styleId="Footer">
    <w:name w:val="footer"/>
    <w:basedOn w:val="Normal"/>
    <w:link w:val="FooterChar"/>
    <w:semiHidden/>
    <w:unhideWhenUsed/>
    <w:rsid w:val="002B2947"/>
    <w:pPr>
      <w:tabs>
        <w:tab w:val="center" w:pos="4680"/>
        <w:tab w:val="right" w:pos="9360"/>
      </w:tabs>
    </w:pPr>
  </w:style>
  <w:style w:type="character" w:customStyle="1" w:styleId="FooterChar">
    <w:name w:val="Footer Char"/>
    <w:basedOn w:val="DefaultParagraphFont"/>
    <w:link w:val="Footer"/>
    <w:semiHidden/>
    <w:rsid w:val="002B2947"/>
    <w:rPr>
      <w:sz w:val="24"/>
      <w:szCs w:val="24"/>
    </w:rPr>
  </w:style>
  <w:style w:type="paragraph" w:styleId="ListParagraph">
    <w:name w:val="List Paragraph"/>
    <w:basedOn w:val="Normal"/>
    <w:uiPriority w:val="34"/>
    <w:qFormat/>
    <w:rsid w:val="004818EA"/>
    <w:pPr>
      <w:spacing w:after="160" w:line="278"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api.ctia.org/wp-content/uploads/2026/01/Dippon_NEPA_NHPA_Reform_Final.pdf" TargetMode="External" /><Relationship Id="rId6" Type="http://schemas.openxmlformats.org/officeDocument/2006/relationships/hyperlink" Target="https://www.fcc.gov/September2026"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katie.gorscak\OneDrive%20-%20FCC\2026-09-08%20NEPA%20circ%20press%20releas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2026-09-08 NEPA circ press release</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