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8B4AE8" w:rsidRPr="00346121" w:rsidP="008B4AE8" w14:paraId="022877C8" w14:textId="77777777">
      <w:pPr>
        <w:pStyle w:val="Agency"/>
      </w:pPr>
      <w:r w:rsidRPr="00346121">
        <w:t>Before the</w:t>
      </w:r>
      <w:r w:rsidRPr="00346121">
        <w:br/>
        <w:t>Federal Communications Commission</w:t>
      </w:r>
      <w:r w:rsidRPr="00346121">
        <w:br/>
        <w:t>Washington, D.C. 20554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680"/>
        <w:gridCol w:w="4680"/>
      </w:tblGrid>
      <w:tr w14:paraId="2DFCD322" w14:textId="77777777" w:rsidTr="00892BC4">
        <w:tblPrEx>
          <w:tblW w:w="5000" w:type="pct"/>
          <w:tblLook w:val="04A0"/>
        </w:tblPrEx>
        <w:trPr>
          <w:cantSplit/>
        </w:trPr>
        <w:tc>
          <w:tcPr>
            <w:tcW w:w="2500" w:type="pct"/>
          </w:tcPr>
          <w:p w:rsidR="008B4AE8" w:rsidRPr="002C7942" w:rsidP="00892BC4" w14:paraId="6587E076" w14:textId="77777777">
            <w:pPr>
              <w:pStyle w:val="SubjectMatter-Left"/>
              <w:rPr>
                <w:szCs w:val="22"/>
              </w:rPr>
            </w:pPr>
            <w:r w:rsidRPr="002C7942">
              <w:rPr>
                <w:szCs w:val="22"/>
              </w:rPr>
              <w:t xml:space="preserve">In the Matter of </w:t>
            </w:r>
          </w:p>
          <w:p w:rsidR="008B4AE8" w:rsidRPr="002C7942" w:rsidP="00892BC4" w14:paraId="28BB008A" w14:textId="4DF9FACF">
            <w:pPr>
              <w:pStyle w:val="SubjectMatter-Left"/>
              <w:rPr>
                <w:szCs w:val="22"/>
              </w:rPr>
            </w:pPr>
            <w:r w:rsidRPr="000B76A7">
              <w:rPr>
                <w:szCs w:val="22"/>
              </w:rPr>
              <w:t>Space Modernization for the 21st Century</w:t>
            </w:r>
          </w:p>
        </w:tc>
        <w:tc>
          <w:tcPr>
            <w:tcW w:w="2500" w:type="pct"/>
          </w:tcPr>
          <w:p w:rsidR="008B4AE8" w:rsidRPr="002C7942" w:rsidP="00892BC4" w14:paraId="2910674E" w14:textId="77777777">
            <w:pPr>
              <w:pStyle w:val="SubjectMatter-Right"/>
              <w:rPr>
                <w:szCs w:val="22"/>
              </w:rPr>
            </w:pPr>
          </w:p>
          <w:p w:rsidR="008B4AE8" w:rsidP="00892BC4" w14:paraId="34B4316D" w14:textId="77777777">
            <w:pPr>
              <w:pStyle w:val="SubjectMatter-Right"/>
              <w:rPr>
                <w:bCs/>
                <w:szCs w:val="22"/>
              </w:rPr>
            </w:pPr>
            <w:r w:rsidRPr="00C878C6">
              <w:rPr>
                <w:bCs/>
                <w:szCs w:val="22"/>
              </w:rPr>
              <w:t>SB Docket No. 25-306</w:t>
            </w:r>
          </w:p>
          <w:p w:rsidR="009B095B" w:rsidRPr="002C7942" w:rsidP="00892BC4" w14:paraId="480CCC0C" w14:textId="09AE0877">
            <w:pPr>
              <w:pStyle w:val="SubjectMatter-Right"/>
              <w:rPr>
                <w:szCs w:val="22"/>
              </w:rPr>
            </w:pPr>
          </w:p>
        </w:tc>
      </w:tr>
    </w:tbl>
    <w:p w:rsidR="008B4AE8" w:rsidRPr="002C7942" w:rsidP="008B4AE8" w14:paraId="573C92F8" w14:textId="4A3FE5FF">
      <w:pPr>
        <w:pStyle w:val="Erratum"/>
        <w:spacing w:before="240" w:after="240"/>
      </w:pPr>
      <w:r w:rsidRPr="002C7942">
        <w:rPr>
          <w:rFonts w:ascii="Times New Roman Bold" w:hAnsi="Times New Roman Bold"/>
          <w:caps/>
        </w:rPr>
        <w:t>Erratum</w:t>
      </w:r>
    </w:p>
    <w:p w:rsidR="008B4AE8" w:rsidRPr="002C7942" w:rsidP="008B4AE8" w14:paraId="49DF2935" w14:textId="49FCE45B">
      <w:pPr>
        <w:pStyle w:val="Released"/>
      </w:pPr>
      <w:r w:rsidRPr="002C7942">
        <w:t xml:space="preserve">Released: </w:t>
      </w:r>
      <w:r w:rsidR="005F2D44">
        <w:t xml:space="preserve">September </w:t>
      </w:r>
      <w:r w:rsidR="00CF4617">
        <w:t>15</w:t>
      </w:r>
      <w:r w:rsidR="005F2D44">
        <w:t>, 2026</w:t>
      </w:r>
    </w:p>
    <w:p w:rsidR="00107205" w:rsidRPr="002C7942" w:rsidP="00953AF5" w14:paraId="113CAC6D" w14:textId="65A71580">
      <w:pPr>
        <w:pStyle w:val="BureauOffice"/>
        <w:spacing w:after="240"/>
        <w:rPr>
          <w:szCs w:val="22"/>
        </w:rPr>
      </w:pPr>
      <w:r w:rsidRPr="002C7942">
        <w:rPr>
          <w:szCs w:val="22"/>
        </w:rPr>
        <w:t xml:space="preserve">By the </w:t>
      </w:r>
      <w:r w:rsidRPr="005F4CAA" w:rsidR="005F4CAA">
        <w:rPr>
          <w:szCs w:val="22"/>
        </w:rPr>
        <w:t>Acting Chief, Space Bureau</w:t>
      </w:r>
      <w:r w:rsidRPr="002C7942">
        <w:rPr>
          <w:szCs w:val="22"/>
        </w:rPr>
        <w:t>:</w:t>
      </w:r>
    </w:p>
    <w:p w:rsidR="008F6938" w:rsidP="008F6938" w14:paraId="6F279452" w14:textId="79A09B2B">
      <w:pPr>
        <w:pStyle w:val="ParaNum"/>
        <w:numPr>
          <w:ilvl w:val="0"/>
          <w:numId w:val="0"/>
        </w:numPr>
        <w:ind w:firstLine="720"/>
      </w:pPr>
      <w:r w:rsidRPr="00CC1994">
        <w:t xml:space="preserve">On </w:t>
      </w:r>
      <w:r>
        <w:t>July 23, 2026</w:t>
      </w:r>
      <w:r w:rsidRPr="00CC1994">
        <w:t xml:space="preserve">, the Commission released a </w:t>
      </w:r>
      <w:r>
        <w:t xml:space="preserve">Report and Order and Further Notice of Proposed Rulemaking, </w:t>
      </w:r>
      <w:r w:rsidRPr="00CC1994">
        <w:t xml:space="preserve">FCC </w:t>
      </w:r>
      <w:r>
        <w:t>26-47,</w:t>
      </w:r>
      <w:r w:rsidRPr="00CC1994">
        <w:t xml:space="preserve"> in the above captioned proceeding.  </w:t>
      </w:r>
      <w:r>
        <w:t xml:space="preserve">This Erratum amends the </w:t>
      </w:r>
      <w:r w:rsidR="000F3880">
        <w:t>released document</w:t>
      </w:r>
      <w:r>
        <w:t xml:space="preserve"> as indicated below:</w:t>
      </w:r>
    </w:p>
    <w:p w:rsidR="008F6938" w:rsidP="008F6938" w14:paraId="5C71EFF2" w14:textId="1941A4C4">
      <w:pPr>
        <w:pStyle w:val="ParaNum"/>
      </w:pPr>
      <w:r>
        <w:t xml:space="preserve">In the </w:t>
      </w:r>
      <w:r w:rsidRPr="00BC65A5">
        <w:rPr>
          <w:b/>
          <w:bCs/>
        </w:rPr>
        <w:t>Table of Contents</w:t>
      </w:r>
      <w:r>
        <w:t xml:space="preserve">, </w:t>
      </w:r>
      <w:r w:rsidR="00AE1B19">
        <w:t xml:space="preserve">the paragraph number “124” listed </w:t>
      </w:r>
      <w:r w:rsidR="001E1821">
        <w:t xml:space="preserve">for </w:t>
      </w:r>
      <w:r>
        <w:t>“</w:t>
      </w:r>
      <w:r w:rsidR="001E1821">
        <w:t xml:space="preserve">6. </w:t>
      </w:r>
      <w:r>
        <w:t xml:space="preserve">Earth Stations” </w:t>
      </w:r>
      <w:r w:rsidR="001E1821">
        <w:t xml:space="preserve">is replaced with “299” </w:t>
      </w:r>
      <w:r>
        <w:t xml:space="preserve">and </w:t>
      </w:r>
      <w:r w:rsidR="00AE1B19">
        <w:t xml:space="preserve">the paragraph number “129” listed </w:t>
      </w:r>
      <w:r w:rsidR="001E1821">
        <w:t>for</w:t>
      </w:r>
      <w:r w:rsidR="0054033E">
        <w:t xml:space="preserve"> </w:t>
      </w:r>
      <w:r>
        <w:t>“</w:t>
      </w:r>
      <w:r w:rsidR="001E1821">
        <w:t xml:space="preserve">E. </w:t>
      </w:r>
      <w:r>
        <w:t>Benefits and Costs</w:t>
      </w:r>
      <w:r w:rsidR="0054033E">
        <w:t>,</w:t>
      </w:r>
      <w:r>
        <w:t xml:space="preserve">” </w:t>
      </w:r>
      <w:r w:rsidR="001E1821">
        <w:t>is replaced with</w:t>
      </w:r>
      <w:r>
        <w:t xml:space="preserve"> </w:t>
      </w:r>
      <w:r w:rsidR="001E1821">
        <w:t>“316</w:t>
      </w:r>
      <w:r>
        <w:t>.</w:t>
      </w:r>
      <w:r w:rsidR="001E1821">
        <w:t>”</w:t>
      </w:r>
    </w:p>
    <w:p w:rsidR="008F6938" w:rsidRPr="00B0596E" w:rsidP="008F6938" w14:paraId="1A0EEEF5" w14:textId="2684B5BA">
      <w:pPr>
        <w:pStyle w:val="ParaNum"/>
      </w:pPr>
      <w:r>
        <w:t xml:space="preserve">In paragraph 56, </w:t>
      </w:r>
      <w:r w:rsidR="00870983">
        <w:t>the end of t</w:t>
      </w:r>
      <w:r>
        <w:t xml:space="preserve">he first sentence </w:t>
      </w:r>
      <w:r w:rsidR="00870983">
        <w:rPr>
          <w:iCs/>
          <w:szCs w:val="22"/>
        </w:rPr>
        <w:t>is corrected to read as</w:t>
      </w:r>
      <w:r>
        <w:rPr>
          <w:iCs/>
          <w:szCs w:val="22"/>
        </w:rPr>
        <w:t xml:space="preserve"> “</w:t>
      </w:r>
      <w:r w:rsidRPr="00FD467E">
        <w:rPr>
          <w:iCs/>
          <w:szCs w:val="22"/>
        </w:rPr>
        <w:t>Variable Trajectory Space</w:t>
      </w:r>
      <w:r>
        <w:rPr>
          <w:iCs/>
          <w:szCs w:val="22"/>
        </w:rPr>
        <w:t xml:space="preserve"> Station</w:t>
      </w:r>
      <w:r w:rsidRPr="00FD467E">
        <w:rPr>
          <w:iCs/>
          <w:szCs w:val="22"/>
        </w:rPr>
        <w:t xml:space="preserve"> System</w:t>
      </w:r>
      <w:r w:rsidR="00870983">
        <w:rPr>
          <w:iCs/>
          <w:szCs w:val="22"/>
        </w:rPr>
        <w:t>.</w:t>
      </w:r>
      <w:r>
        <w:rPr>
          <w:iCs/>
          <w:szCs w:val="22"/>
        </w:rPr>
        <w:t>”</w:t>
      </w:r>
    </w:p>
    <w:p w:rsidR="008F6938" w:rsidRPr="001F340C" w:rsidP="00F5292C" w14:paraId="61B32408" w14:textId="3EF08660">
      <w:pPr>
        <w:pStyle w:val="ParaNum"/>
      </w:pPr>
      <w:r>
        <w:t>A</w:t>
      </w:r>
      <w:r w:rsidRPr="00A07674">
        <w:t xml:space="preserve">bove paragraph 59, </w:t>
      </w:r>
      <w:r w:rsidRPr="00A07674" w:rsidR="00A07674">
        <w:t xml:space="preserve">heading </w:t>
      </w:r>
      <w:r w:rsidR="00A07674">
        <w:t>“</w:t>
      </w:r>
      <w:r w:rsidRPr="00BC65A5">
        <w:rPr>
          <w:b/>
          <w:bCs/>
        </w:rPr>
        <w:t>e</w:t>
      </w:r>
      <w:r w:rsidRPr="00BC65A5" w:rsidR="00A07674">
        <w:rPr>
          <w:b/>
          <w:bCs/>
        </w:rPr>
        <w:t>.</w:t>
      </w:r>
      <w:r w:rsidRPr="00BC65A5">
        <w:rPr>
          <w:b/>
          <w:bCs/>
        </w:rPr>
        <w:t xml:space="preserve"> Variable Trajectory Spacecraft Systems</w:t>
      </w:r>
      <w:r>
        <w:t xml:space="preserve">” </w:t>
      </w:r>
      <w:r w:rsidR="00A07674">
        <w:t xml:space="preserve">is corrected </w:t>
      </w:r>
      <w:r>
        <w:t xml:space="preserve">to </w:t>
      </w:r>
      <w:r w:rsidR="00A07674">
        <w:t xml:space="preserve">read as </w:t>
      </w:r>
      <w:r>
        <w:t>“</w:t>
      </w:r>
      <w:r w:rsidRPr="00BC65A5" w:rsidR="00A07674">
        <w:rPr>
          <w:b/>
          <w:bCs/>
        </w:rPr>
        <w:t xml:space="preserve">e. </w:t>
      </w:r>
      <w:r w:rsidRPr="00BC65A5">
        <w:rPr>
          <w:b/>
          <w:bCs/>
        </w:rPr>
        <w:t>Variable Trajectory Space Station Systems</w:t>
      </w:r>
      <w:r>
        <w:t>.”</w:t>
      </w:r>
    </w:p>
    <w:p w:rsidR="008F6938" w:rsidRPr="00FA73C3" w:rsidP="00BC65A5" w14:paraId="5AF05268" w14:textId="57F0F730">
      <w:pPr>
        <w:pStyle w:val="ParaNum"/>
      </w:pPr>
      <w:r>
        <w:t xml:space="preserve">In </w:t>
      </w:r>
      <w:r>
        <w:t>paragraph 409</w:t>
      </w:r>
      <w:r w:rsidR="00E01A20">
        <w:t>,</w:t>
      </w:r>
      <w:r>
        <w:t xml:space="preserve"> the last sentence </w:t>
      </w:r>
      <w:r w:rsidR="00E01A20">
        <w:t>is corrected</w:t>
      </w:r>
      <w:r>
        <w:t xml:space="preserve"> to read as </w:t>
      </w:r>
      <w:r w:rsidRPr="00802F61">
        <w:rPr>
          <w:szCs w:val="22"/>
        </w:rPr>
        <w:t>“The FRFA is set forth in Appendix C.”</w:t>
      </w:r>
    </w:p>
    <w:p w:rsidR="008F6938" w:rsidP="00BC65A5" w14:paraId="31385763" w14:textId="543803AB">
      <w:pPr>
        <w:pStyle w:val="ParaNum"/>
      </w:pPr>
      <w:r>
        <w:t xml:space="preserve">In </w:t>
      </w:r>
      <w:r>
        <w:t>paragraph 410</w:t>
      </w:r>
      <w:r>
        <w:t>,</w:t>
      </w:r>
      <w:r>
        <w:t xml:space="preserve"> the second sentence </w:t>
      </w:r>
      <w:r w:rsidR="00DD2A6B">
        <w:t>is corrected</w:t>
      </w:r>
      <w:r>
        <w:t xml:space="preserve"> to read as </w:t>
      </w:r>
      <w:r w:rsidRPr="00DD2A6B">
        <w:rPr>
          <w:szCs w:val="22"/>
        </w:rPr>
        <w:t>“The IRFA is set forth in Appendix D.”</w:t>
      </w:r>
    </w:p>
    <w:p w:rsidR="008F6938" w:rsidP="008F6938" w14:paraId="597D4615" w14:textId="130F2D1D">
      <w:pPr>
        <w:pStyle w:val="ParaNum"/>
        <w:numPr>
          <w:ilvl w:val="0"/>
          <w:numId w:val="0"/>
        </w:numPr>
        <w:ind w:firstLine="720"/>
      </w:pPr>
      <w:r>
        <w:t>To conform to the publishing conventions of the National Archives and Records Administration’s Office of the Federal Register</w:t>
      </w:r>
      <w:r>
        <w:t>, t</w:t>
      </w:r>
      <w:r w:rsidRPr="00CC1994">
        <w:t xml:space="preserve">his Erratum </w:t>
      </w:r>
      <w:r>
        <w:t xml:space="preserve">also </w:t>
      </w:r>
      <w:r w:rsidRPr="00CC1994">
        <w:t xml:space="preserve">amends </w:t>
      </w:r>
      <w:r w:rsidRPr="00BC65A5">
        <w:rPr>
          <w:b/>
          <w:bCs/>
        </w:rPr>
        <w:t>Appendix A</w:t>
      </w:r>
      <w:r w:rsidRPr="00BC65A5" w:rsidR="00DB19CE">
        <w:rPr>
          <w:b/>
          <w:bCs/>
        </w:rPr>
        <w:t>, Final Rules</w:t>
      </w:r>
      <w:r w:rsidR="00DB19CE">
        <w:t>,</w:t>
      </w:r>
      <w:r>
        <w:t xml:space="preserve"> of the </w:t>
      </w:r>
      <w:r w:rsidR="00DB19CE">
        <w:t xml:space="preserve">released </w:t>
      </w:r>
      <w:r>
        <w:t>document</w:t>
      </w:r>
      <w:r w:rsidRPr="00CC1994">
        <w:t xml:space="preserve"> as indicated below:</w:t>
      </w:r>
    </w:p>
    <w:p w:rsidR="008F6938" w:rsidP="008F6938" w14:paraId="35F67AA8" w14:textId="542707D2">
      <w:pPr>
        <w:pStyle w:val="ParaNum"/>
      </w:pPr>
      <w:r>
        <w:t xml:space="preserve">In </w:t>
      </w:r>
      <w:r w:rsidRPr="009521DD" w:rsidR="00B0115B">
        <w:rPr>
          <w:b/>
          <w:bCs/>
        </w:rPr>
        <w:t>§ 5.64</w:t>
      </w:r>
      <w:r w:rsidR="00B0115B">
        <w:t>,</w:t>
      </w:r>
      <w:r w:rsidRPr="00A54225" w:rsidR="00B0115B">
        <w:t xml:space="preserve"> </w:t>
      </w:r>
      <w:r w:rsidR="00B0115B">
        <w:t>p</w:t>
      </w:r>
      <w:r w:rsidR="00AA0782">
        <w:t xml:space="preserve">aragraph (b) </w:t>
      </w:r>
      <w:r w:rsidR="00991ACB">
        <w:t>is corrected</w:t>
      </w:r>
      <w:r>
        <w:t xml:space="preserve"> to read as follows:</w:t>
      </w:r>
    </w:p>
    <w:p w:rsidR="008F6938" w:rsidP="00BC65A5" w14:paraId="4BCC4F81" w14:textId="77777777">
      <w:pPr>
        <w:pStyle w:val="ParaNum"/>
        <w:numPr>
          <w:ilvl w:val="0"/>
          <w:numId w:val="0"/>
        </w:numPr>
        <w:ind w:left="1440" w:hanging="90"/>
      </w:pPr>
      <w:r>
        <w:t>“</w:t>
      </w:r>
      <w:r w:rsidRPr="00FA06AD">
        <w:rPr>
          <w:snapToGrid/>
          <w:szCs w:val="22"/>
        </w:rPr>
        <w:t>(b) Except where the satellite system has already been authorized by the FCC, applicants for an experimental authorization involving a satellite system must submit the required information in §</w:t>
      </w:r>
      <w:r>
        <w:rPr>
          <w:snapToGrid/>
          <w:szCs w:val="22"/>
        </w:rPr>
        <w:t xml:space="preserve"> </w:t>
      </w:r>
      <w:r w:rsidRPr="00FA06AD">
        <w:rPr>
          <w:snapToGrid/>
          <w:szCs w:val="22"/>
        </w:rPr>
        <w:t xml:space="preserve">100.111 </w:t>
      </w:r>
      <w:r>
        <w:rPr>
          <w:snapToGrid/>
          <w:szCs w:val="22"/>
        </w:rPr>
        <w:t xml:space="preserve">of this chapter </w:t>
      </w:r>
      <w:r w:rsidRPr="00FA06AD">
        <w:rPr>
          <w:snapToGrid/>
          <w:szCs w:val="22"/>
        </w:rPr>
        <w:t>and comply with the rules in §§</w:t>
      </w:r>
      <w:r>
        <w:rPr>
          <w:snapToGrid/>
          <w:szCs w:val="22"/>
        </w:rPr>
        <w:t xml:space="preserve"> </w:t>
      </w:r>
      <w:r w:rsidRPr="00FA06AD">
        <w:rPr>
          <w:snapToGrid/>
          <w:szCs w:val="22"/>
        </w:rPr>
        <w:t xml:space="preserve">100.260 and 100.261 of </w:t>
      </w:r>
      <w:r>
        <w:rPr>
          <w:snapToGrid/>
          <w:szCs w:val="22"/>
        </w:rPr>
        <w:t>this chapter</w:t>
      </w:r>
      <w:r w:rsidRPr="00FA06AD">
        <w:rPr>
          <w:snapToGrid/>
          <w:szCs w:val="22"/>
        </w:rPr>
        <w:t>.</w:t>
      </w:r>
      <w:r>
        <w:rPr>
          <w:snapToGrid/>
          <w:szCs w:val="22"/>
        </w:rPr>
        <w:t>”</w:t>
      </w:r>
    </w:p>
    <w:p w:rsidR="008F6938" w:rsidP="008F6938" w14:paraId="7812E4D9" w14:textId="22CC8977">
      <w:pPr>
        <w:pStyle w:val="ParaNum"/>
      </w:pPr>
      <w:r>
        <w:t xml:space="preserve">To conform to </w:t>
      </w:r>
      <w:r w:rsidR="00FE71F9">
        <w:t xml:space="preserve">the OMB requirements in </w:t>
      </w:r>
      <w:r>
        <w:t xml:space="preserve">paragraph 420 </w:t>
      </w:r>
      <w:r w:rsidR="00FE71F9">
        <w:t>of</w:t>
      </w:r>
      <w:r>
        <w:t xml:space="preserve"> the </w:t>
      </w:r>
      <w:r w:rsidR="00FE71F9">
        <w:t>O</w:t>
      </w:r>
      <w:r>
        <w:t xml:space="preserve">rdering </w:t>
      </w:r>
      <w:r w:rsidR="00FE71F9">
        <w:t>C</w:t>
      </w:r>
      <w:r>
        <w:t>lause</w:t>
      </w:r>
      <w:r w:rsidR="00FE71F9">
        <w:t xml:space="preserve">s, </w:t>
      </w:r>
      <w:r>
        <w:t xml:space="preserve">instruction 4 </w:t>
      </w:r>
      <w:r w:rsidR="00D53048">
        <w:t>(</w:t>
      </w:r>
      <w:r w:rsidRPr="00E56F5A" w:rsidR="00E56F5A">
        <w:t>§ 9.10</w:t>
      </w:r>
      <w:r w:rsidR="00E56F5A">
        <w:t>)</w:t>
      </w:r>
      <w:r w:rsidRPr="00E56F5A" w:rsidR="00E56F5A">
        <w:t xml:space="preserve"> </w:t>
      </w:r>
      <w:r w:rsidR="0018075B">
        <w:t>and instruction 5 (</w:t>
      </w:r>
      <w:r w:rsidRPr="0018075B" w:rsidR="0018075B">
        <w:t>§ 9.18</w:t>
      </w:r>
      <w:r w:rsidR="0018075B">
        <w:t>) are</w:t>
      </w:r>
      <w:r w:rsidR="00E50910">
        <w:t xml:space="preserve"> corrected to read as follows</w:t>
      </w:r>
      <w:r>
        <w:t>:</w:t>
      </w:r>
    </w:p>
    <w:p w:rsidR="008F6938" w:rsidP="00BC65A5" w14:paraId="07E242A2" w14:textId="4E535F55">
      <w:pPr>
        <w:pStyle w:val="ParaNum"/>
        <w:numPr>
          <w:ilvl w:val="0"/>
          <w:numId w:val="0"/>
        </w:numPr>
        <w:tabs>
          <w:tab w:val="left" w:pos="2340"/>
        </w:tabs>
        <w:ind w:left="1440" w:firstLine="360"/>
      </w:pPr>
      <w:r>
        <w:t>“</w:t>
      </w:r>
      <w:r w:rsidR="004A461B">
        <w:t>4.</w:t>
      </w:r>
      <w:r w:rsidR="004A461B">
        <w:tab/>
      </w:r>
      <w:r>
        <w:rPr>
          <w:snapToGrid/>
          <w:szCs w:val="22"/>
        </w:rPr>
        <w:t>Delayed indefinitely, a</w:t>
      </w:r>
      <w:r w:rsidRPr="00FA06AD">
        <w:rPr>
          <w:snapToGrid/>
          <w:szCs w:val="22"/>
        </w:rPr>
        <w:t>mend § 9.10 by revising paragraph (t)(1) to read as follows:</w:t>
      </w:r>
      <w:r>
        <w:rPr>
          <w:snapToGrid/>
          <w:szCs w:val="22"/>
        </w:rPr>
        <w:t>”</w:t>
      </w:r>
    </w:p>
    <w:p w:rsidR="008F6938" w:rsidP="00BC65A5" w14:paraId="70C16CA1" w14:textId="54643A90">
      <w:pPr>
        <w:pStyle w:val="ParaNum"/>
        <w:numPr>
          <w:ilvl w:val="0"/>
          <w:numId w:val="0"/>
        </w:numPr>
        <w:tabs>
          <w:tab w:val="left" w:pos="2340"/>
        </w:tabs>
        <w:ind w:left="1440" w:firstLine="360"/>
      </w:pPr>
      <w:r>
        <w:t>“</w:t>
      </w:r>
      <w:r w:rsidR="0018075B">
        <w:t>5.</w:t>
      </w:r>
      <w:r w:rsidR="0018075B">
        <w:tab/>
      </w:r>
      <w:r>
        <w:rPr>
          <w:snapToGrid/>
          <w:szCs w:val="22"/>
        </w:rPr>
        <w:t>Delayed indefinitely, a</w:t>
      </w:r>
      <w:r w:rsidRPr="00FA06AD">
        <w:rPr>
          <w:snapToGrid/>
          <w:szCs w:val="22"/>
        </w:rPr>
        <w:t>mend § 9.18 by revising paragraph (a) to read as follows</w:t>
      </w:r>
      <w:r>
        <w:rPr>
          <w:snapToGrid/>
          <w:szCs w:val="22"/>
        </w:rPr>
        <w:t>:”</w:t>
      </w:r>
    </w:p>
    <w:p w:rsidR="008F6938" w:rsidP="008F6938" w14:paraId="47715426" w14:textId="37FF1D88">
      <w:pPr>
        <w:pStyle w:val="ParaNum"/>
      </w:pPr>
      <w:r>
        <w:t>In</w:t>
      </w:r>
      <w:r w:rsidR="0074714F">
        <w:t xml:space="preserve"> </w:t>
      </w:r>
      <w:r w:rsidRPr="00754857" w:rsidR="0074714F">
        <w:rPr>
          <w:b/>
          <w:bCs/>
        </w:rPr>
        <w:t>PART 100</w:t>
      </w:r>
      <w:r w:rsidR="0074714F">
        <w:t>, i</w:t>
      </w:r>
      <w:r>
        <w:t>n the table of contents</w:t>
      </w:r>
      <w:r w:rsidR="00CB4FC3">
        <w:t xml:space="preserve"> </w:t>
      </w:r>
      <w:r w:rsidR="0015277A">
        <w:t xml:space="preserve">on page 166, </w:t>
      </w:r>
      <w:r w:rsidR="0074714F">
        <w:t>below</w:t>
      </w:r>
      <w:r>
        <w:t xml:space="preserve"> “</w:t>
      </w:r>
      <w:r w:rsidRPr="00BC65A5">
        <w:rPr>
          <w:caps/>
        </w:rPr>
        <w:t>General Space Station Rules</w:t>
      </w:r>
      <w:r>
        <w:t xml:space="preserve">, </w:t>
      </w:r>
      <w:r w:rsidR="005F6D20">
        <w:t>S</w:t>
      </w:r>
      <w:r w:rsidR="00BA56D0">
        <w:t>ec</w:t>
      </w:r>
      <w:r w:rsidR="005F6D20">
        <w:t xml:space="preserve">. </w:t>
      </w:r>
      <w:r>
        <w:t>“</w:t>
      </w:r>
      <w:r w:rsidRPr="000A2B01">
        <w:t>100.215 Geostationary satellite station-keeping</w:t>
      </w:r>
      <w:r>
        <w:t xml:space="preserve">” </w:t>
      </w:r>
      <w:r w:rsidR="00BA56D0">
        <w:t>i</w:t>
      </w:r>
      <w:r w:rsidR="00BB522D">
        <w:t>s added at the e</w:t>
      </w:r>
      <w:r w:rsidR="00BA56D0">
        <w:t>n</w:t>
      </w:r>
      <w:r w:rsidR="00BB522D">
        <w:t>d</w:t>
      </w:r>
      <w:r w:rsidR="00BA56D0">
        <w:t xml:space="preserve"> </w:t>
      </w:r>
      <w:r w:rsidR="0003609C">
        <w:t xml:space="preserve">in </w:t>
      </w:r>
      <w:r w:rsidR="00BA56D0">
        <w:t>numeric order</w:t>
      </w:r>
      <w:r>
        <w:t>.</w:t>
      </w:r>
    </w:p>
    <w:p w:rsidR="008F6938" w:rsidP="00BC65A5" w14:paraId="61B612CA" w14:textId="2096BEF5">
      <w:pPr>
        <w:pStyle w:val="ParaNum"/>
        <w:keepNext/>
      </w:pPr>
      <w:r>
        <w:t>In</w:t>
      </w:r>
      <w:r w:rsidR="00FF14CC">
        <w:t xml:space="preserve"> </w:t>
      </w:r>
      <w:r w:rsidRPr="00BC65A5" w:rsidR="00FF14CC">
        <w:rPr>
          <w:b/>
          <w:bCs/>
        </w:rPr>
        <w:t>§ 100.3</w:t>
      </w:r>
      <w:r w:rsidR="00FF14CC">
        <w:t>, f</w:t>
      </w:r>
      <w:r>
        <w:t>or the reasons explained above, the definition of “</w:t>
      </w:r>
      <w:r w:rsidRPr="00BC65A5">
        <w:rPr>
          <w:rFonts w:eastAsia="Trebuchet MS"/>
          <w:i/>
          <w:iCs/>
          <w:snapToGrid/>
          <w:spacing w:val="-2"/>
        </w:rPr>
        <w:t>NGSO satellite system</w:t>
      </w:r>
      <w:r>
        <w:rPr>
          <w:rFonts w:eastAsia="Trebuchet MS"/>
          <w:snapToGrid/>
          <w:spacing w:val="-2"/>
        </w:rPr>
        <w:t xml:space="preserve">” </w:t>
      </w:r>
      <w:r w:rsidR="00C06C50">
        <w:t>o</w:t>
      </w:r>
      <w:r w:rsidR="004E5D14">
        <w:t xml:space="preserve">n page 171, </w:t>
      </w:r>
      <w:r w:rsidR="00576A48">
        <w:rPr>
          <w:rFonts w:eastAsia="Trebuchet MS"/>
          <w:snapToGrid/>
          <w:spacing w:val="-2"/>
        </w:rPr>
        <w:t>is corrected</w:t>
      </w:r>
      <w:r>
        <w:t xml:space="preserve"> to read as follows:</w:t>
      </w:r>
    </w:p>
    <w:p w:rsidR="008F6938" w:rsidP="00BC65A5" w14:paraId="20FBB92F" w14:textId="77777777">
      <w:pPr>
        <w:pStyle w:val="ParaNum"/>
        <w:numPr>
          <w:ilvl w:val="0"/>
          <w:numId w:val="0"/>
        </w:numPr>
        <w:ind w:left="1440" w:hanging="90"/>
      </w:pPr>
      <w:r>
        <w:t>“</w:t>
      </w:r>
      <w:r w:rsidRPr="00FA06AD">
        <w:rPr>
          <w:rFonts w:eastAsia="Trebuchet MS"/>
          <w:i/>
          <w:snapToGrid/>
          <w:spacing w:val="-2"/>
          <w:szCs w:val="22"/>
        </w:rPr>
        <w:t>NGSO satellite system</w:t>
      </w:r>
      <w:r w:rsidRPr="00FA06AD">
        <w:rPr>
          <w:rFonts w:eastAsia="Trebuchet MS"/>
          <w:snapToGrid/>
          <w:spacing w:val="-2"/>
          <w:szCs w:val="22"/>
        </w:rPr>
        <w:t>.</w:t>
      </w:r>
      <w:r>
        <w:rPr>
          <w:rFonts w:eastAsia="Trebuchet MS"/>
          <w:snapToGrid/>
          <w:spacing w:val="-2"/>
          <w:szCs w:val="22"/>
        </w:rPr>
        <w:t xml:space="preserve"> </w:t>
      </w:r>
      <w:r w:rsidRPr="00FA06AD">
        <w:rPr>
          <w:rFonts w:eastAsia="Trebuchet MS"/>
          <w:snapToGrid/>
          <w:spacing w:val="-2"/>
          <w:szCs w:val="22"/>
        </w:rPr>
        <w:t>A system of one or more non-geostationary orbit satellites operating together under one call sign and that is not a Variable Trajectory Space</w:t>
      </w:r>
      <w:r>
        <w:rPr>
          <w:rFonts w:eastAsia="Trebuchet MS"/>
          <w:snapToGrid/>
          <w:spacing w:val="-2"/>
          <w:szCs w:val="22"/>
        </w:rPr>
        <w:t xml:space="preserve"> Station</w:t>
      </w:r>
      <w:r w:rsidRPr="00FA06AD">
        <w:rPr>
          <w:rFonts w:eastAsia="Trebuchet MS"/>
          <w:snapToGrid/>
          <w:spacing w:val="-2"/>
          <w:szCs w:val="22"/>
        </w:rPr>
        <w:t xml:space="preserve"> System.</w:t>
      </w:r>
      <w:r>
        <w:rPr>
          <w:rFonts w:eastAsia="Trebuchet MS"/>
          <w:snapToGrid/>
          <w:spacing w:val="-2"/>
          <w:szCs w:val="22"/>
        </w:rPr>
        <w:t>”</w:t>
      </w:r>
    </w:p>
    <w:p w:rsidR="008F6938" w:rsidRPr="001F340C" w:rsidP="00606407" w14:paraId="7BC5CD0D" w14:textId="0FA9F2B5">
      <w:pPr>
        <w:pStyle w:val="ParaNum"/>
      </w:pPr>
      <w:r>
        <w:t>In</w:t>
      </w:r>
      <w:r w:rsidR="0067777F">
        <w:t xml:space="preserve"> </w:t>
      </w:r>
      <w:r w:rsidRPr="00644C16" w:rsidR="0067777F">
        <w:rPr>
          <w:b/>
          <w:bCs/>
        </w:rPr>
        <w:t>§ 100.111</w:t>
      </w:r>
      <w:r w:rsidR="0067777F">
        <w:t xml:space="preserve">, </w:t>
      </w:r>
      <w:r>
        <w:t>in the second sentence</w:t>
      </w:r>
      <w:r w:rsidRPr="00576C83" w:rsidR="00576C83">
        <w:t xml:space="preserve"> </w:t>
      </w:r>
      <w:r w:rsidR="004528C0">
        <w:t xml:space="preserve">of </w:t>
      </w:r>
      <w:r w:rsidR="00576C83">
        <w:t>paragraph (c)(1)</w:t>
      </w:r>
      <w:r w:rsidR="00E0397B">
        <w:t>,</w:t>
      </w:r>
      <w:r>
        <w:t xml:space="preserve"> </w:t>
      </w:r>
      <w:r w:rsidR="000B13CD">
        <w:t>the words</w:t>
      </w:r>
      <w:r>
        <w:t xml:space="preserve"> “station keeping” </w:t>
      </w:r>
      <w:r w:rsidR="000B13CD">
        <w:t xml:space="preserve">are </w:t>
      </w:r>
      <w:r w:rsidR="000C2352">
        <w:t>corrected</w:t>
      </w:r>
      <w:r w:rsidR="0003593B">
        <w:t xml:space="preserve"> to read as</w:t>
      </w:r>
      <w:r>
        <w:t xml:space="preserve"> “station-keeping”</w:t>
      </w:r>
      <w:r w:rsidR="00606407">
        <w:t xml:space="preserve"> and</w:t>
      </w:r>
      <w:r w:rsidR="000B13CD">
        <w:t>,</w:t>
      </w:r>
      <w:r w:rsidR="00606407">
        <w:t xml:space="preserve"> </w:t>
      </w:r>
      <w:r w:rsidR="00556080">
        <w:rPr>
          <w:szCs w:val="22"/>
        </w:rPr>
        <w:t xml:space="preserve">on page 180, </w:t>
      </w:r>
      <w:r w:rsidR="0067777F">
        <w:rPr>
          <w:szCs w:val="22"/>
        </w:rPr>
        <w:t>p</w:t>
      </w:r>
      <w:r w:rsidR="00541305">
        <w:rPr>
          <w:szCs w:val="22"/>
        </w:rPr>
        <w:t>aragraph (e)</w:t>
      </w:r>
      <w:r w:rsidR="00556080">
        <w:rPr>
          <w:szCs w:val="22"/>
        </w:rPr>
        <w:t xml:space="preserve"> </w:t>
      </w:r>
      <w:r w:rsidR="00466275">
        <w:t>is corrected</w:t>
      </w:r>
      <w:r>
        <w:t xml:space="preserve"> to read as follows:</w:t>
      </w:r>
    </w:p>
    <w:p w:rsidR="008F6938" w:rsidRPr="00650EB5" w:rsidP="00BC65A5" w14:paraId="6E585691" w14:textId="1A403004">
      <w:pPr>
        <w:pStyle w:val="ParaNum"/>
        <w:numPr>
          <w:ilvl w:val="0"/>
          <w:numId w:val="0"/>
        </w:numPr>
        <w:ind w:left="1440" w:hanging="90"/>
      </w:pPr>
      <w:r>
        <w:rPr>
          <w:snapToGrid/>
          <w:szCs w:val="22"/>
        </w:rPr>
        <w:t>“</w:t>
      </w:r>
      <w:r w:rsidR="0067777F">
        <w:rPr>
          <w:snapToGrid/>
          <w:szCs w:val="22"/>
        </w:rPr>
        <w:t xml:space="preserve">(e) </w:t>
      </w:r>
      <w:r w:rsidRPr="00FA06AD">
        <w:rPr>
          <w:i/>
          <w:iCs/>
          <w:snapToGrid/>
          <w:szCs w:val="22"/>
        </w:rPr>
        <w:t>Variable Trajectory Space</w:t>
      </w:r>
      <w:r>
        <w:rPr>
          <w:i/>
          <w:iCs/>
          <w:snapToGrid/>
          <w:szCs w:val="22"/>
        </w:rPr>
        <w:t xml:space="preserve"> Station</w:t>
      </w:r>
      <w:r w:rsidRPr="00FA06AD">
        <w:rPr>
          <w:i/>
          <w:iCs/>
          <w:snapToGrid/>
          <w:szCs w:val="22"/>
        </w:rPr>
        <w:t xml:space="preserve"> System</w:t>
      </w:r>
      <w:r w:rsidRPr="00FA06AD">
        <w:rPr>
          <w:snapToGrid/>
          <w:szCs w:val="22"/>
        </w:rPr>
        <w:t>.</w:t>
      </w:r>
      <w:r>
        <w:rPr>
          <w:i/>
          <w:iCs/>
          <w:snapToGrid/>
          <w:szCs w:val="22"/>
        </w:rPr>
        <w:t xml:space="preserve"> </w:t>
      </w:r>
      <w:r w:rsidRPr="00FA06AD">
        <w:rPr>
          <w:snapToGrid/>
          <w:szCs w:val="22"/>
        </w:rPr>
        <w:t>An application for a VTSS authorization must provide the following information:</w:t>
      </w:r>
      <w:r>
        <w:rPr>
          <w:snapToGrid/>
          <w:szCs w:val="22"/>
        </w:rPr>
        <w:t>”</w:t>
      </w:r>
    </w:p>
    <w:p w:rsidR="008F6938" w:rsidRPr="00825A7C" w:rsidP="00BC65A5" w14:paraId="23641FEF" w14:textId="60751657">
      <w:pPr>
        <w:pStyle w:val="ParaNum"/>
      </w:pPr>
      <w:r>
        <w:t>In</w:t>
      </w:r>
      <w:r w:rsidR="00BF5F1D">
        <w:t xml:space="preserve"> </w:t>
      </w:r>
      <w:r w:rsidRPr="001501E5" w:rsidR="00BF5F1D">
        <w:rPr>
          <w:b/>
          <w:bCs/>
        </w:rPr>
        <w:t>§</w:t>
      </w:r>
      <w:r w:rsidR="00AA7CE7">
        <w:rPr>
          <w:b/>
          <w:bCs/>
        </w:rPr>
        <w:t xml:space="preserve"> </w:t>
      </w:r>
      <w:r w:rsidRPr="001501E5" w:rsidR="00BF5F1D">
        <w:rPr>
          <w:b/>
          <w:bCs/>
        </w:rPr>
        <w:t>100.112</w:t>
      </w:r>
      <w:r w:rsidR="00BF5F1D">
        <w:t>,</w:t>
      </w:r>
      <w:r w:rsidRPr="000A2B01" w:rsidR="00BF5F1D">
        <w:t xml:space="preserve"> </w:t>
      </w:r>
      <w:r>
        <w:t>in the seventh sentence</w:t>
      </w:r>
      <w:r w:rsidRPr="000B13CD" w:rsidR="000B13CD">
        <w:t xml:space="preserve"> </w:t>
      </w:r>
      <w:r w:rsidR="000B13CD">
        <w:t>of paragraph (b)(5)</w:t>
      </w:r>
      <w:r w:rsidR="004528C0">
        <w:t>,</w:t>
      </w:r>
      <w:r w:rsidRPr="00576C83" w:rsidR="00576C83">
        <w:t xml:space="preserve"> </w:t>
      </w:r>
      <w:r w:rsidR="00BF21FD">
        <w:t>the phrase</w:t>
      </w:r>
      <w:r w:rsidRPr="000A2B01">
        <w:t xml:space="preserve"> “</w:t>
      </w:r>
      <w:r w:rsidRPr="00FA06AD" w:rsidR="00BF21FD">
        <w:rPr>
          <w:bCs/>
          <w:snapToGrid/>
          <w:szCs w:val="22"/>
        </w:rPr>
        <w:t xml:space="preserve">required </w:t>
      </w:r>
      <w:r w:rsidRPr="000A2B01">
        <w:t xml:space="preserve">in this paragraph (4)” </w:t>
      </w:r>
      <w:r w:rsidR="005137EF">
        <w:t xml:space="preserve">is replaced </w:t>
      </w:r>
      <w:r w:rsidRPr="000A2B01">
        <w:t>with “</w:t>
      </w:r>
      <w:r w:rsidRPr="00FA06AD" w:rsidR="00BF21FD">
        <w:rPr>
          <w:bCs/>
          <w:snapToGrid/>
          <w:szCs w:val="22"/>
        </w:rPr>
        <w:t xml:space="preserve">required </w:t>
      </w:r>
      <w:r w:rsidRPr="000A2B01">
        <w:t>in this paragraph (5)</w:t>
      </w:r>
      <w:r>
        <w:t>”</w:t>
      </w:r>
      <w:r w:rsidR="00BF21FD">
        <w:t>.</w:t>
      </w:r>
    </w:p>
    <w:p w:rsidR="008F6938" w:rsidP="00BC65A5" w14:paraId="09E00C52" w14:textId="3E963738">
      <w:pPr>
        <w:pStyle w:val="ParaNum"/>
      </w:pPr>
      <w:r>
        <w:t>In</w:t>
      </w:r>
      <w:r w:rsidR="00BF76E4">
        <w:t xml:space="preserve"> </w:t>
      </w:r>
      <w:r w:rsidRPr="00BC65A5">
        <w:rPr>
          <w:b/>
          <w:bCs/>
        </w:rPr>
        <w:t>§ 100.131</w:t>
      </w:r>
      <w:r w:rsidR="00453E9C">
        <w:t xml:space="preserve">, </w:t>
      </w:r>
      <w:r w:rsidRPr="000A1403">
        <w:t xml:space="preserve">add </w:t>
      </w:r>
      <w:r w:rsidR="004017EE">
        <w:t xml:space="preserve">a period </w:t>
      </w:r>
      <w:r w:rsidRPr="000A1403">
        <w:t xml:space="preserve">“.” at end </w:t>
      </w:r>
      <w:r w:rsidRPr="000A1403" w:rsidR="00D867CF">
        <w:t xml:space="preserve">the </w:t>
      </w:r>
      <w:r w:rsidRPr="000A1403">
        <w:t xml:space="preserve">of </w:t>
      </w:r>
      <w:r w:rsidR="004017EE">
        <w:t>paragraph (d).</w:t>
      </w:r>
    </w:p>
    <w:p w:rsidR="008F6938" w:rsidP="008F6938" w14:paraId="73456E04" w14:textId="135AF61A">
      <w:pPr>
        <w:pStyle w:val="ParaNum"/>
      </w:pPr>
      <w:r>
        <w:t>In</w:t>
      </w:r>
      <w:r w:rsidR="00D867CF">
        <w:t xml:space="preserve"> </w:t>
      </w:r>
      <w:r w:rsidRPr="00BC65A5">
        <w:rPr>
          <w:b/>
          <w:bCs/>
        </w:rPr>
        <w:t>§ 100.146</w:t>
      </w:r>
      <w:r w:rsidR="00D867CF">
        <w:t xml:space="preserve">, </w:t>
      </w:r>
      <w:r w:rsidR="001269AF">
        <w:t xml:space="preserve">at the end of paragraph </w:t>
      </w:r>
      <w:r>
        <w:t>(d)</w:t>
      </w:r>
      <w:r w:rsidR="001269AF">
        <w:t>,</w:t>
      </w:r>
      <w:r>
        <w:t xml:space="preserve"> “section</w:t>
      </w:r>
      <w:r w:rsidR="00203479">
        <w:t xml:space="preserve"> </w:t>
      </w:r>
      <w:r w:rsidRPr="00203479" w:rsidR="00203479">
        <w:t>100.140</w:t>
      </w:r>
      <w:r>
        <w:t xml:space="preserve">” </w:t>
      </w:r>
      <w:r w:rsidR="001269AF">
        <w:t xml:space="preserve">is replaced </w:t>
      </w:r>
      <w:r>
        <w:t>with “</w:t>
      </w:r>
      <w:r w:rsidRPr="00A54225">
        <w:rPr>
          <w:snapToGrid/>
        </w:rPr>
        <w:t>§</w:t>
      </w:r>
      <w:r w:rsidRPr="00203479" w:rsidR="00203479">
        <w:rPr>
          <w:snapToGrid/>
        </w:rPr>
        <w:t xml:space="preserve"> 100.140</w:t>
      </w:r>
      <w:r w:rsidR="001269AF">
        <w:rPr>
          <w:snapToGrid/>
        </w:rPr>
        <w:t>.</w:t>
      </w:r>
      <w:r>
        <w:t>”</w:t>
      </w:r>
    </w:p>
    <w:p w:rsidR="008F6938" w:rsidP="008F6938" w14:paraId="4A1B6B0E" w14:textId="473C4584">
      <w:pPr>
        <w:pStyle w:val="ParaNum"/>
      </w:pPr>
      <w:r>
        <w:rPr>
          <w:iCs/>
          <w:snapToGrid/>
          <w:szCs w:val="22"/>
        </w:rPr>
        <w:t>In</w:t>
      </w:r>
      <w:r>
        <w:t xml:space="preserve"> </w:t>
      </w:r>
      <w:r w:rsidRPr="00BC65A5">
        <w:rPr>
          <w:b/>
          <w:bCs/>
        </w:rPr>
        <w:t>§ 100.147</w:t>
      </w:r>
      <w:r w:rsidR="00B109B5">
        <w:t xml:space="preserve">, </w:t>
      </w:r>
      <w:r w:rsidR="00D131FE">
        <w:t xml:space="preserve">in paragraph </w:t>
      </w:r>
      <w:r w:rsidRPr="00704E3C">
        <w:t>(e),</w:t>
      </w:r>
      <w:r w:rsidR="006D12ED">
        <w:t xml:space="preserve"> the extra section symbol </w:t>
      </w:r>
      <w:r w:rsidRPr="00704E3C">
        <w:t>“§</w:t>
      </w:r>
      <w:r w:rsidR="006D12ED">
        <w:t xml:space="preserve">” </w:t>
      </w:r>
      <w:r w:rsidR="00777029">
        <w:t>is deleted</w:t>
      </w:r>
      <w:r w:rsidR="008B3E38">
        <w:t xml:space="preserve">, </w:t>
      </w:r>
      <w:r w:rsidR="00291C79">
        <w:t xml:space="preserve">correcting the section to </w:t>
      </w:r>
      <w:r w:rsidR="005F4B7C">
        <w:t xml:space="preserve">now </w:t>
      </w:r>
      <w:r w:rsidR="00291C79">
        <w:t xml:space="preserve">read as </w:t>
      </w:r>
      <w:r w:rsidR="006D12ED">
        <w:t xml:space="preserve"> “</w:t>
      </w:r>
      <w:r w:rsidRPr="00704E3C">
        <w:t>§ 100.146(d)(3)(i) through iii)</w:t>
      </w:r>
      <w:r w:rsidR="005F4B7C">
        <w:t>.</w:t>
      </w:r>
      <w:r w:rsidRPr="00704E3C">
        <w:t>”</w:t>
      </w:r>
    </w:p>
    <w:p w:rsidR="008F6938" w:rsidP="0063538E" w14:paraId="67ABFE50" w14:textId="0FD13464">
      <w:pPr>
        <w:pStyle w:val="ParaNum"/>
      </w:pPr>
      <w:r>
        <w:t>T</w:t>
      </w:r>
      <w:r w:rsidR="0063538E">
        <w:t xml:space="preserve">o conform the rule to the decision </w:t>
      </w:r>
      <w:r w:rsidR="008D3B9A">
        <w:t xml:space="preserve">in </w:t>
      </w:r>
      <w:r>
        <w:rPr>
          <w:szCs w:val="22"/>
        </w:rPr>
        <w:t>paragraph</w:t>
      </w:r>
      <w:r w:rsidRPr="000A2B01">
        <w:rPr>
          <w:szCs w:val="22"/>
        </w:rPr>
        <w:t xml:space="preserve"> 115</w:t>
      </w:r>
      <w:r>
        <w:rPr>
          <w:szCs w:val="22"/>
        </w:rPr>
        <w:t xml:space="preserve"> </w:t>
      </w:r>
      <w:r w:rsidR="008D3B9A">
        <w:rPr>
          <w:szCs w:val="22"/>
        </w:rPr>
        <w:t>of</w:t>
      </w:r>
      <w:r w:rsidR="0063538E">
        <w:t xml:space="preserve"> the Report and Order</w:t>
      </w:r>
      <w:r w:rsidR="004C65C6">
        <w:t>,</w:t>
      </w:r>
      <w:r w:rsidR="0063538E">
        <w:t xml:space="preserve"> to adopt </w:t>
      </w:r>
      <w:r w:rsidRPr="000A2B01" w:rsidR="0063538E">
        <w:rPr>
          <w:szCs w:val="22"/>
        </w:rPr>
        <w:t>the Nationwide, Non-site licensing approach across all frequency bands</w:t>
      </w:r>
      <w:r w:rsidR="008D3B9A">
        <w:rPr>
          <w:szCs w:val="22"/>
        </w:rPr>
        <w:t>,</w:t>
      </w:r>
      <w:r w:rsidR="0063538E">
        <w:t xml:space="preserve"> </w:t>
      </w:r>
      <w:r w:rsidR="00976267">
        <w:t xml:space="preserve">paragraph </w:t>
      </w:r>
      <w:r>
        <w:t>(a)(2)</w:t>
      </w:r>
      <w:r w:rsidR="0063538E">
        <w:t>,</w:t>
      </w:r>
      <w:r>
        <w:t xml:space="preserve"> </w:t>
      </w:r>
      <w:r w:rsidR="0063538E">
        <w:t xml:space="preserve">under </w:t>
      </w:r>
      <w:r w:rsidRPr="00BC65A5" w:rsidR="0063538E">
        <w:rPr>
          <w:b/>
          <w:bCs/>
        </w:rPr>
        <w:t>§ 100.211</w:t>
      </w:r>
      <w:r w:rsidR="0063538E">
        <w:t>, is corrected</w:t>
      </w:r>
      <w:r>
        <w:t xml:space="preserve"> to read as follows:</w:t>
      </w:r>
    </w:p>
    <w:p w:rsidR="008F6938" w:rsidP="00BC65A5" w14:paraId="4C483E3F" w14:textId="7557552A">
      <w:pPr>
        <w:pStyle w:val="ParaNum"/>
        <w:numPr>
          <w:ilvl w:val="0"/>
          <w:numId w:val="0"/>
        </w:numPr>
        <w:ind w:left="1440" w:hanging="90"/>
      </w:pPr>
      <w:r>
        <w:t>“</w:t>
      </w:r>
      <w:r w:rsidR="008D3B9A">
        <w:t xml:space="preserve">(2) </w:t>
      </w:r>
      <w:r w:rsidRPr="00825A7C">
        <w:t xml:space="preserve">Use of the 37.5-40 GHz band by the FSS (space-to-Earth) is limited to individually licensed </w:t>
      </w:r>
      <w:r>
        <w:t>and Nationwide, Non-Site licensed</w:t>
      </w:r>
      <w:r w:rsidRPr="00825A7C">
        <w:t xml:space="preserve"> earth stations. Earth stations in this band must not be ubiquitously deployed and must not be used to serve individual consumers.</w:t>
      </w:r>
      <w:r>
        <w:t>”</w:t>
      </w:r>
    </w:p>
    <w:p w:rsidR="008F6938" w:rsidRPr="00C50483" w:rsidP="009C55F0" w14:paraId="171CA83B" w14:textId="50F2A72F">
      <w:pPr>
        <w:pStyle w:val="ParaNum"/>
      </w:pPr>
      <w:r>
        <w:t xml:space="preserve">In </w:t>
      </w:r>
      <w:r w:rsidRPr="00BC65A5">
        <w:rPr>
          <w:b/>
          <w:bCs/>
        </w:rPr>
        <w:t>§ 100.212</w:t>
      </w:r>
      <w:r w:rsidR="00E123B1">
        <w:t xml:space="preserve">, </w:t>
      </w:r>
      <w:r w:rsidR="00852885">
        <w:t xml:space="preserve">the comma “,” at the end of </w:t>
      </w:r>
      <w:r w:rsidR="00E123B1">
        <w:t xml:space="preserve">paragraph </w:t>
      </w:r>
      <w:r w:rsidRPr="00FA73C3">
        <w:t>(g)(1)(iv)</w:t>
      </w:r>
      <w:r>
        <w:t xml:space="preserve"> </w:t>
      </w:r>
      <w:r w:rsidR="00852885">
        <w:t>is</w:t>
      </w:r>
      <w:r w:rsidRPr="00FA73C3">
        <w:t xml:space="preserve"> replace</w:t>
      </w:r>
      <w:r w:rsidR="00852885">
        <w:t>d</w:t>
      </w:r>
      <w:r w:rsidRPr="00FA73C3">
        <w:t xml:space="preserve"> with </w:t>
      </w:r>
      <w:r w:rsidR="00852885">
        <w:t>a period</w:t>
      </w:r>
      <w:r w:rsidR="00C81C35">
        <w:t xml:space="preserve"> “.”</w:t>
      </w:r>
      <w:r w:rsidR="001565F0">
        <w:t xml:space="preserve">; </w:t>
      </w:r>
      <w:r w:rsidR="00EC1ABB">
        <w:t>the</w:t>
      </w:r>
      <w:r w:rsidRPr="00974049" w:rsidR="00974049">
        <w:t xml:space="preserve"> </w:t>
      </w:r>
      <w:r w:rsidR="00275E96">
        <w:t xml:space="preserve">word </w:t>
      </w:r>
      <w:r w:rsidRPr="00974049" w:rsidR="00974049">
        <w:t xml:space="preserve">“and” at the end of </w:t>
      </w:r>
      <w:r w:rsidR="00E60BA0">
        <w:t xml:space="preserve">paragraph </w:t>
      </w:r>
      <w:r>
        <w:t xml:space="preserve">(g)(2)(ii) </w:t>
      </w:r>
      <w:r w:rsidR="00E60BA0">
        <w:t xml:space="preserve">is </w:t>
      </w:r>
      <w:r w:rsidR="00B061DC">
        <w:t>moved to</w:t>
      </w:r>
      <w:r w:rsidRPr="00D70CAA" w:rsidR="00D70CAA">
        <w:t xml:space="preserve"> the end of the </w:t>
      </w:r>
      <w:r>
        <w:t xml:space="preserve">paragraph </w:t>
      </w:r>
      <w:r w:rsidR="00E522F5">
        <w:t>(g)(2)(iii)</w:t>
      </w:r>
      <w:r w:rsidR="00990458">
        <w:t>.</w:t>
      </w:r>
    </w:p>
    <w:p w:rsidR="008F6938" w:rsidP="00BC65A5" w14:paraId="1E924DBD" w14:textId="2C862E20">
      <w:pPr>
        <w:pStyle w:val="ParaNum"/>
      </w:pPr>
      <w:r>
        <w:t xml:space="preserve">In </w:t>
      </w:r>
      <w:r w:rsidRPr="00BC65A5">
        <w:rPr>
          <w:b/>
          <w:bCs/>
        </w:rPr>
        <w:t>§ 100.214</w:t>
      </w:r>
      <w:r>
        <w:t xml:space="preserve">, </w:t>
      </w:r>
      <w:r>
        <w:t xml:space="preserve">in the first sentence </w:t>
      </w:r>
      <w:r w:rsidR="00196A52">
        <w:t xml:space="preserve">of paragraph </w:t>
      </w:r>
      <w:r w:rsidR="00125B4A">
        <w:t>(b)(1)</w:t>
      </w:r>
      <w:r w:rsidR="0091389F">
        <w:t>,</w:t>
      </w:r>
      <w:r w:rsidR="00125B4A">
        <w:t xml:space="preserve"> </w:t>
      </w:r>
      <w:r w:rsidRPr="00FA73C3">
        <w:t>“§§</w:t>
      </w:r>
      <w:r w:rsidR="009018D7">
        <w:t xml:space="preserve"> </w:t>
      </w:r>
      <w:r w:rsidRPr="009018D7" w:rsidR="009018D7">
        <w:t>321(b) and 359</w:t>
      </w:r>
      <w:r w:rsidRPr="00FA73C3">
        <w:t xml:space="preserve">” </w:t>
      </w:r>
      <w:r w:rsidR="00FF1192">
        <w:t xml:space="preserve">is replaced </w:t>
      </w:r>
      <w:r w:rsidRPr="00FA73C3">
        <w:t>with “sections</w:t>
      </w:r>
      <w:r>
        <w:rPr>
          <w:snapToGrid/>
          <w:szCs w:val="22"/>
        </w:rPr>
        <w:t xml:space="preserve"> </w:t>
      </w:r>
      <w:r w:rsidRPr="00FA06AD">
        <w:rPr>
          <w:snapToGrid/>
          <w:szCs w:val="22"/>
        </w:rPr>
        <w:t>321(b) and 359.</w:t>
      </w:r>
      <w:r>
        <w:rPr>
          <w:snapToGrid/>
          <w:szCs w:val="22"/>
        </w:rPr>
        <w:t>”</w:t>
      </w:r>
    </w:p>
    <w:p w:rsidR="008F6938" w:rsidRPr="00C50483" w:rsidP="008F6938" w14:paraId="6DBD0906" w14:textId="5A776897">
      <w:pPr>
        <w:pStyle w:val="ParaNum"/>
      </w:pPr>
      <w:r>
        <w:t xml:space="preserve">In </w:t>
      </w:r>
      <w:r w:rsidRPr="00BC65A5">
        <w:rPr>
          <w:b/>
          <w:bCs/>
        </w:rPr>
        <w:t>§ 100.220</w:t>
      </w:r>
      <w:r>
        <w:t xml:space="preserve">, </w:t>
      </w:r>
      <w:r>
        <w:t xml:space="preserve">in the first sentence </w:t>
      </w:r>
      <w:r>
        <w:t>of para</w:t>
      </w:r>
      <w:r w:rsidR="00196A52">
        <w:t xml:space="preserve">graph </w:t>
      </w:r>
      <w:r>
        <w:t>(b)(3)</w:t>
      </w:r>
      <w:r w:rsidR="00196A52">
        <w:t>,</w:t>
      </w:r>
      <w:r>
        <w:t xml:space="preserve"> </w:t>
      </w:r>
      <w:r>
        <w:t>“</w:t>
      </w:r>
      <w:r w:rsidRPr="00666386">
        <w:t>§§</w:t>
      </w:r>
      <w:r w:rsidR="00C81C35">
        <w:t xml:space="preserve"> </w:t>
      </w:r>
      <w:r w:rsidRPr="00C81C35" w:rsidR="00C81C35">
        <w:t>321(b) and 359</w:t>
      </w:r>
      <w:r>
        <w:t xml:space="preserve">” </w:t>
      </w:r>
      <w:r w:rsidR="002E6244">
        <w:t xml:space="preserve">is replaced </w:t>
      </w:r>
      <w:r>
        <w:t>with “sections</w:t>
      </w:r>
      <w:r w:rsidR="002E6244">
        <w:t xml:space="preserve"> </w:t>
      </w:r>
      <w:r w:rsidRPr="002E6244" w:rsidR="002E6244">
        <w:t>321(b) and 359</w:t>
      </w:r>
      <w:r w:rsidR="002E6244">
        <w:t>.</w:t>
      </w:r>
      <w:r>
        <w:t>”</w:t>
      </w:r>
    </w:p>
    <w:p w:rsidR="008F6938" w:rsidRPr="002F4DED" w:rsidP="008F6938" w14:paraId="6E015012" w14:textId="204158C7">
      <w:pPr>
        <w:pStyle w:val="ParaNum"/>
      </w:pPr>
      <w:r>
        <w:t xml:space="preserve">In </w:t>
      </w:r>
      <w:r w:rsidRPr="00AA27B4">
        <w:rPr>
          <w:b/>
          <w:bCs/>
        </w:rPr>
        <w:t>§ 100.251</w:t>
      </w:r>
      <w:r>
        <w:t xml:space="preserve">, </w:t>
      </w:r>
      <w:r w:rsidR="007C24C6">
        <w:t xml:space="preserve">in </w:t>
      </w:r>
      <w:r w:rsidR="00807EC4">
        <w:t>parag</w:t>
      </w:r>
      <w:r w:rsidR="008E3EC7">
        <w:t>raph</w:t>
      </w:r>
      <w:r w:rsidR="00B03D57">
        <w:t xml:space="preserve"> </w:t>
      </w:r>
      <w:r w:rsidRPr="000A2B01">
        <w:t>(b)(3)</w:t>
      </w:r>
      <w:r w:rsidR="00807EC4">
        <w:t>,</w:t>
      </w:r>
      <w:r w:rsidRPr="000A2B01">
        <w:t xml:space="preserve"> </w:t>
      </w:r>
      <w:r w:rsidR="00807EC4">
        <w:t>th</w:t>
      </w:r>
      <w:r w:rsidR="008F3AC7">
        <w:t>e phrase</w:t>
      </w:r>
      <w:r w:rsidRPr="000A2B01">
        <w:t xml:space="preserve"> “</w:t>
      </w:r>
      <w:r w:rsidRPr="008F3AC7" w:rsidR="008F3AC7">
        <w:t xml:space="preserve">For the purpose of </w:t>
      </w:r>
      <w:r w:rsidRPr="000A2B01">
        <w:t xml:space="preserve">this paragraph (b)” </w:t>
      </w:r>
      <w:r w:rsidR="00807EC4">
        <w:t>are</w:t>
      </w:r>
      <w:r w:rsidR="004969D6">
        <w:t xml:space="preserve"> replaced </w:t>
      </w:r>
      <w:r w:rsidRPr="000A2B01">
        <w:t xml:space="preserve">with “paragraph </w:t>
      </w:r>
      <w:r>
        <w:t>(b)</w:t>
      </w:r>
      <w:r w:rsidRPr="000A2B01">
        <w:t>(</w:t>
      </w:r>
      <w:r>
        <w:t>2</w:t>
      </w:r>
      <w:r w:rsidRPr="000A2B01">
        <w:t>)</w:t>
      </w:r>
      <w:r>
        <w:t xml:space="preserve"> of this section</w:t>
      </w:r>
      <w:r w:rsidR="004969D6">
        <w:t>,</w:t>
      </w:r>
      <w:r w:rsidRPr="000A2B01">
        <w:t>”</w:t>
      </w:r>
      <w:r>
        <w:t xml:space="preserve"> </w:t>
      </w:r>
      <w:r w:rsidR="004969D6">
        <w:t xml:space="preserve">correcting </w:t>
      </w:r>
      <w:r w:rsidR="00807EC4">
        <w:t>t</w:t>
      </w:r>
      <w:r w:rsidRPr="00807EC4" w:rsidR="00807EC4">
        <w:t xml:space="preserve">he paragraph </w:t>
      </w:r>
      <w:r>
        <w:t>to read as follows:</w:t>
      </w:r>
    </w:p>
    <w:p w:rsidR="008F6938" w:rsidP="00BC65A5" w14:paraId="4369A9CA" w14:textId="6C3DD0A2">
      <w:pPr>
        <w:pStyle w:val="ParaNum"/>
        <w:numPr>
          <w:ilvl w:val="0"/>
          <w:numId w:val="0"/>
        </w:numPr>
        <w:ind w:left="1440" w:hanging="90"/>
      </w:pPr>
      <w:r>
        <w:rPr>
          <w:snapToGrid/>
          <w:szCs w:val="22"/>
        </w:rPr>
        <w:t>“</w:t>
      </w:r>
      <w:r w:rsidR="00BC615D">
        <w:rPr>
          <w:snapToGrid/>
          <w:szCs w:val="22"/>
        </w:rPr>
        <w:t xml:space="preserve">(3) </w:t>
      </w:r>
      <w:r w:rsidRPr="00FA06AD">
        <w:rPr>
          <w:snapToGrid/>
          <w:szCs w:val="22"/>
        </w:rPr>
        <w:t>For the purpose of paragraph (</w:t>
      </w:r>
      <w:r>
        <w:rPr>
          <w:snapToGrid/>
          <w:szCs w:val="22"/>
        </w:rPr>
        <w:t>b</w:t>
      </w:r>
      <w:r w:rsidRPr="00FA06AD">
        <w:rPr>
          <w:snapToGrid/>
          <w:szCs w:val="22"/>
        </w:rPr>
        <w:t>)</w:t>
      </w:r>
      <w:r>
        <w:rPr>
          <w:snapToGrid/>
          <w:szCs w:val="22"/>
        </w:rPr>
        <w:t>(2) of this section</w:t>
      </w:r>
      <w:r w:rsidRPr="00FA06AD">
        <w:rPr>
          <w:snapToGrid/>
          <w:szCs w:val="22"/>
        </w:rPr>
        <w:t>, a WCS licensee is potentially affected if it is authorized to operate a base station in the 2305-2315 MHz or 2350-2360 MHz bands within 25 kilometers of a repeater seeking to operate with a power level greater than that prescribed in paragraph (b)(1) of this section.</w:t>
      </w:r>
      <w:r>
        <w:rPr>
          <w:snapToGrid/>
          <w:szCs w:val="22"/>
        </w:rPr>
        <w:t>”</w:t>
      </w:r>
    </w:p>
    <w:p w:rsidR="008F6938" w:rsidRPr="00891137" w:rsidP="00E5785A" w14:paraId="47A38FE9" w14:textId="641E66CF">
      <w:pPr>
        <w:pStyle w:val="ParaNum"/>
      </w:pPr>
      <w:r>
        <w:t xml:space="preserve">In </w:t>
      </w:r>
      <w:r w:rsidRPr="00BC65A5">
        <w:rPr>
          <w:b/>
          <w:bCs/>
        </w:rPr>
        <w:t>§ 100.260</w:t>
      </w:r>
      <w:r>
        <w:t>,</w:t>
      </w:r>
      <w:r>
        <w:t xml:space="preserve"> in the second sentence </w:t>
      </w:r>
      <w:r>
        <w:t xml:space="preserve">of paragraph </w:t>
      </w:r>
      <w:r w:rsidRPr="000A2B01">
        <w:t>(d)</w:t>
      </w:r>
      <w:r>
        <w:t>,</w:t>
      </w:r>
      <w:r w:rsidRPr="000A2B01">
        <w:t xml:space="preserve"> paragraph </w:t>
      </w:r>
      <w:r>
        <w:t>“</w:t>
      </w:r>
      <w:r w:rsidRPr="000A2B01">
        <w:t xml:space="preserve">(e)” </w:t>
      </w:r>
      <w:r>
        <w:t xml:space="preserve">is replaced </w:t>
      </w:r>
      <w:r w:rsidRPr="000A2B01">
        <w:t>with “(d)”</w:t>
      </w:r>
      <w:r>
        <w:t>.</w:t>
      </w:r>
    </w:p>
    <w:p w:rsidR="00CE2BAE" w:rsidRPr="00A5797C" w:rsidP="00BC65A5" w14:paraId="3D2EDEFA" w14:textId="4FFBA5EF">
      <w:pPr>
        <w:pStyle w:val="ParaNum"/>
        <w:numPr>
          <w:ilvl w:val="0"/>
          <w:numId w:val="0"/>
        </w:numPr>
        <w:ind w:firstLine="720"/>
      </w:pPr>
      <w:r>
        <w:t xml:space="preserve">For the reason explained above, </w:t>
      </w:r>
      <w:r w:rsidRPr="00882C43" w:rsidR="00882C43">
        <w:rPr>
          <w:b/>
          <w:bCs/>
        </w:rPr>
        <w:t>§</w:t>
      </w:r>
      <w:r w:rsidR="00882C43">
        <w:rPr>
          <w:b/>
          <w:bCs/>
        </w:rPr>
        <w:t>§</w:t>
      </w:r>
      <w:r w:rsidRPr="00882C43" w:rsidR="00882C43">
        <w:rPr>
          <w:b/>
          <w:bCs/>
        </w:rPr>
        <w:t xml:space="preserve"> 100.275</w:t>
      </w:r>
      <w:r w:rsidRPr="00BC65A5" w:rsidR="007F3F8D">
        <w:t xml:space="preserve"> and </w:t>
      </w:r>
      <w:r w:rsidR="00A5797C">
        <w:rPr>
          <w:b/>
          <w:bCs/>
        </w:rPr>
        <w:t>100.</w:t>
      </w:r>
      <w:r w:rsidR="00882C43">
        <w:rPr>
          <w:b/>
          <w:bCs/>
        </w:rPr>
        <w:t>2</w:t>
      </w:r>
      <w:r w:rsidR="00A5797C">
        <w:rPr>
          <w:b/>
          <w:bCs/>
        </w:rPr>
        <w:t>80</w:t>
      </w:r>
      <w:r w:rsidR="00A5797C">
        <w:t xml:space="preserve"> are</w:t>
      </w:r>
      <w:r w:rsidR="00727633">
        <w:t xml:space="preserve"> </w:t>
      </w:r>
      <w:r w:rsidR="00A5797C">
        <w:t>corr</w:t>
      </w:r>
      <w:r w:rsidR="00727633">
        <w:t>ected as follows:</w:t>
      </w:r>
    </w:p>
    <w:p w:rsidR="008F6938" w:rsidP="008F6938" w14:paraId="4444F992" w14:textId="1816E5E9">
      <w:pPr>
        <w:pStyle w:val="ParaNum"/>
      </w:pPr>
      <w:r>
        <w:t>I</w:t>
      </w:r>
      <w:r w:rsidR="00D02E1E">
        <w:t xml:space="preserve">n </w:t>
      </w:r>
      <w:r w:rsidRPr="00BC65A5">
        <w:rPr>
          <w:b/>
          <w:bCs/>
        </w:rPr>
        <w:t>§ 100.275</w:t>
      </w:r>
      <w:r w:rsidR="00D02E1E">
        <w:t xml:space="preserve">, </w:t>
      </w:r>
      <w:r>
        <w:t xml:space="preserve">the first and second sentence </w:t>
      </w:r>
      <w:r w:rsidR="00772621">
        <w:t xml:space="preserve">of paragraph (n) </w:t>
      </w:r>
      <w:r w:rsidR="009E53C2">
        <w:t>are</w:t>
      </w:r>
      <w:r w:rsidR="00581B80">
        <w:t xml:space="preserve"> corrected </w:t>
      </w:r>
      <w:r>
        <w:t>to read as follows:</w:t>
      </w:r>
    </w:p>
    <w:p w:rsidR="008F6938" w:rsidP="00BC65A5" w14:paraId="25273859" w14:textId="7944BBEF">
      <w:pPr>
        <w:pStyle w:val="ParaNum"/>
        <w:numPr>
          <w:ilvl w:val="0"/>
          <w:numId w:val="0"/>
        </w:numPr>
        <w:ind w:left="1440" w:hanging="90"/>
      </w:pPr>
      <w:r>
        <w:t>“</w:t>
      </w:r>
      <w:r w:rsidR="00581B80">
        <w:t xml:space="preserve">(n) </w:t>
      </w:r>
      <w:r w:rsidRPr="00183767">
        <w:t xml:space="preserve">As it relates to NGSO FSS earth stations individual </w:t>
      </w:r>
      <w:r>
        <w:t>and Nationwide, Non-Site license</w:t>
      </w:r>
      <w:r w:rsidRPr="00183767">
        <w:t xml:space="preserve"> or blanket license applications may be filed for operation in the 10.7-12.7 GHz, 14-14.5 GHz, 17.3-17.7 GHz, 17.7-17.8 GHz, 17.8-18.6 GHz, 18.8-19.4 GHz, 19.6-20.2 GHz, 28.35-29.1 GHz, or 29.5-30.0 GHz bands; however, ESIMs cannot operate in the 28.35-28.4 GHz band and blanket licensing in the 10.7-11.7 GHz, 17.7-17.8 GHz, 17.8-18.3 GHz, 19.3- 19.4 GHz, and 19.6-19.7 GHz bands is on an unprotected basis with respect to current and future systems operating in the fixed service. Individual </w:t>
      </w:r>
      <w:r>
        <w:t xml:space="preserve">license and </w:t>
      </w:r>
      <w:r>
        <w:t xml:space="preserve">Nationwide, Non-Site </w:t>
      </w:r>
      <w:r w:rsidRPr="00183767">
        <w:t>license applications only may be filed for operation in the 12.75-13.15 GHz, 13.2125-13.25 GHz, 13.75-14 GHz, or 27.5-28.35 GHz bands.</w:t>
      </w:r>
      <w:r>
        <w:t>”</w:t>
      </w:r>
    </w:p>
    <w:p w:rsidR="008F6938" w:rsidP="008F6938" w14:paraId="6CA96DCB" w14:textId="646D53CD">
      <w:pPr>
        <w:pStyle w:val="ParaNum"/>
      </w:pPr>
      <w:r>
        <w:t>Also</w:t>
      </w:r>
      <w:r>
        <w:t xml:space="preserve"> </w:t>
      </w:r>
      <w:r w:rsidR="00581B80">
        <w:t xml:space="preserve">in </w:t>
      </w:r>
      <w:r w:rsidRPr="00BC65A5">
        <w:rPr>
          <w:b/>
          <w:bCs/>
        </w:rPr>
        <w:t>§ 100.275</w:t>
      </w:r>
      <w:r w:rsidR="00A11B43">
        <w:t xml:space="preserve">, </w:t>
      </w:r>
      <w:r>
        <w:t xml:space="preserve">the first sentence </w:t>
      </w:r>
      <w:r w:rsidR="004F4608">
        <w:t xml:space="preserve">of paragraph (o) is corrected </w:t>
      </w:r>
      <w:r>
        <w:t>to read as follows:</w:t>
      </w:r>
    </w:p>
    <w:p w:rsidR="008F6938" w:rsidP="00BC65A5" w14:paraId="3AE5FF2E" w14:textId="0F81D3A8">
      <w:pPr>
        <w:pStyle w:val="ParaNum"/>
        <w:numPr>
          <w:ilvl w:val="0"/>
          <w:numId w:val="0"/>
        </w:numPr>
        <w:ind w:left="1440" w:hanging="90"/>
      </w:pPr>
      <w:r>
        <w:t>“</w:t>
      </w:r>
      <w:r w:rsidR="00B1000A">
        <w:t xml:space="preserve">(o) </w:t>
      </w:r>
      <w:r w:rsidRPr="00183767">
        <w:t xml:space="preserve">As it relates to GSO FSS earth stations individual </w:t>
      </w:r>
      <w:r>
        <w:t>and Nationwide, Non-Site license</w:t>
      </w:r>
      <w:r w:rsidRPr="00183767">
        <w:t xml:space="preserve"> or blanket license applications may be filed for operation in the 17.3-17.8 GHz band; however, blanket licensed earth stations shall operate on an unprotected basis with respect to DBS feeder link earth stations.</w:t>
      </w:r>
      <w:r>
        <w:t>”</w:t>
      </w:r>
    </w:p>
    <w:p w:rsidR="008F6938" w:rsidP="008F6938" w14:paraId="247B5A0F" w14:textId="3D675BE6">
      <w:pPr>
        <w:pStyle w:val="ParaNum"/>
      </w:pPr>
      <w:r>
        <w:t>In</w:t>
      </w:r>
      <w:r>
        <w:t xml:space="preserve"> </w:t>
      </w:r>
      <w:r w:rsidRPr="00BC65A5">
        <w:rPr>
          <w:b/>
          <w:bCs/>
        </w:rPr>
        <w:t>§ 100.280</w:t>
      </w:r>
      <w:r w:rsidR="00C4302A">
        <w:t>,</w:t>
      </w:r>
      <w:r>
        <w:t xml:space="preserve"> the first sentence </w:t>
      </w:r>
      <w:r w:rsidR="00C4302A">
        <w:t>of paragraph</w:t>
      </w:r>
      <w:r w:rsidR="001A4D71">
        <w:t>s</w:t>
      </w:r>
      <w:r w:rsidR="00C4302A">
        <w:t xml:space="preserve"> </w:t>
      </w:r>
      <w:r w:rsidR="007D00DF">
        <w:t>(d)</w:t>
      </w:r>
      <w:r w:rsidR="00C4302A">
        <w:t xml:space="preserve"> </w:t>
      </w:r>
      <w:r w:rsidR="001A4D71">
        <w:t>and (e) are</w:t>
      </w:r>
      <w:r w:rsidR="00C4302A">
        <w:t xml:space="preserve"> corrected</w:t>
      </w:r>
      <w:r>
        <w:t xml:space="preserve"> to read as follows:</w:t>
      </w:r>
    </w:p>
    <w:p w:rsidR="008F6938" w:rsidP="00BC65A5" w14:paraId="2B3ABCD4" w14:textId="67AB7EFF">
      <w:pPr>
        <w:pStyle w:val="ParaNum"/>
        <w:numPr>
          <w:ilvl w:val="0"/>
          <w:numId w:val="0"/>
        </w:numPr>
        <w:ind w:left="1440" w:hanging="90"/>
      </w:pPr>
      <w:r>
        <w:t>“</w:t>
      </w:r>
      <w:r w:rsidR="00C4302A">
        <w:t xml:space="preserve">(d) </w:t>
      </w:r>
      <w:r w:rsidRPr="000F45AC">
        <w:t xml:space="preserve">Notwithstanding that FSS is co-primary with the UMFUS in the 47.2-48.2 GHz band, earth stations in the 47.2-48.2 GHz band shall be limited to individually licensed </w:t>
      </w:r>
      <w:r>
        <w:t>and Nationwide, Non-Site licensed</w:t>
      </w:r>
      <w:r w:rsidRPr="000F45AC">
        <w:t xml:space="preserve"> earth stations.</w:t>
      </w:r>
      <w:r>
        <w:t>”</w:t>
      </w:r>
    </w:p>
    <w:p w:rsidR="008F6938" w:rsidP="00BC65A5" w14:paraId="2A33F714" w14:textId="7F1313F7">
      <w:pPr>
        <w:pStyle w:val="ParaNum"/>
        <w:numPr>
          <w:ilvl w:val="0"/>
          <w:numId w:val="0"/>
        </w:numPr>
        <w:ind w:left="1440" w:hanging="90"/>
      </w:pPr>
      <w:r>
        <w:t>“</w:t>
      </w:r>
      <w:r w:rsidR="000E30FA">
        <w:t xml:space="preserve">(e) </w:t>
      </w:r>
      <w:r w:rsidRPr="00972AA8">
        <w:t xml:space="preserve">Notwithstanding that FSS is co-primary with the UMFUS in the 24.75-25.25 GHz and 50.4-51.4 GHz bands, earth stations in these bands shall be limited to individually licensed </w:t>
      </w:r>
      <w:r>
        <w:t>and Nationwide, Non-Site licensed</w:t>
      </w:r>
      <w:r w:rsidRPr="00972AA8">
        <w:t xml:space="preserve"> earth stations.</w:t>
      </w:r>
      <w:r>
        <w:t>”</w:t>
      </w:r>
    </w:p>
    <w:p w:rsidR="008F6938" w:rsidP="00BC65A5" w14:paraId="121CADE6" w14:textId="30509A1E">
      <w:pPr>
        <w:pStyle w:val="ParaNum"/>
      </w:pPr>
      <w:r>
        <w:t xml:space="preserve">In </w:t>
      </w:r>
      <w:r w:rsidRPr="00BC65A5">
        <w:rPr>
          <w:b/>
          <w:bCs/>
        </w:rPr>
        <w:t>§ 100.282</w:t>
      </w:r>
      <w:r w:rsidR="00D57B55">
        <w:t xml:space="preserve">, </w:t>
      </w:r>
      <w:r w:rsidR="008B118F">
        <w:t>in</w:t>
      </w:r>
      <w:r w:rsidR="00D57B55">
        <w:t xml:space="preserve"> paragraph </w:t>
      </w:r>
      <w:r w:rsidRPr="000A2B01">
        <w:t>(b)(1)(ii)</w:t>
      </w:r>
      <w:r w:rsidR="008B118F">
        <w:t>,</w:t>
      </w:r>
      <w:r w:rsidRPr="000A2B01">
        <w:t xml:space="preserve"> </w:t>
      </w:r>
      <w:r w:rsidR="008B118F">
        <w:t>at the end of</w:t>
      </w:r>
      <w:r>
        <w:t xml:space="preserve"> the second sentence</w:t>
      </w:r>
      <w:r w:rsidR="008B118F">
        <w:t>,</w:t>
      </w:r>
      <w:r>
        <w:t xml:space="preserve"> </w:t>
      </w:r>
      <w:r w:rsidRPr="000A2B01">
        <w:t xml:space="preserve">“paragraph (iii)” </w:t>
      </w:r>
      <w:r w:rsidR="00142F7E">
        <w:t xml:space="preserve">is replaced </w:t>
      </w:r>
      <w:r w:rsidRPr="000A2B01">
        <w:t>with “paragraph (ii)”</w:t>
      </w:r>
      <w:r w:rsidR="0056343B">
        <w:t>.</w:t>
      </w:r>
    </w:p>
    <w:p w:rsidR="008F6938" w:rsidRPr="00B37C56" w:rsidP="008F6938" w14:paraId="71480F91" w14:textId="1CCBCB6F">
      <w:pPr>
        <w:pStyle w:val="ParaNum"/>
      </w:pPr>
      <w:r>
        <w:t>Also i</w:t>
      </w:r>
      <w:r w:rsidR="00F811BD">
        <w:t xml:space="preserve">n </w:t>
      </w:r>
      <w:r w:rsidRPr="00BC65A5">
        <w:rPr>
          <w:b/>
          <w:bCs/>
        </w:rPr>
        <w:t>§ 100.282</w:t>
      </w:r>
      <w:r w:rsidR="0056343B">
        <w:t xml:space="preserve">, in paragraph </w:t>
      </w:r>
      <w:r w:rsidRPr="000A2B01">
        <w:t>(b)(1)(iii)</w:t>
      </w:r>
      <w:r w:rsidR="0056343B">
        <w:t>,</w:t>
      </w:r>
      <w:r w:rsidRPr="000A2B01">
        <w:t xml:space="preserve"> </w:t>
      </w:r>
      <w:r w:rsidR="0056343B">
        <w:t>at the end of</w:t>
      </w:r>
      <w:r>
        <w:t xml:space="preserve"> the second sentence</w:t>
      </w:r>
      <w:r w:rsidR="0056343B">
        <w:t>,</w:t>
      </w:r>
      <w:r>
        <w:t xml:space="preserve"> </w:t>
      </w:r>
      <w:r w:rsidRPr="000A2B01">
        <w:t xml:space="preserve">“this paragraph” </w:t>
      </w:r>
      <w:r w:rsidR="0056343B">
        <w:t xml:space="preserve">is replaced </w:t>
      </w:r>
      <w:r>
        <w:t>w</w:t>
      </w:r>
      <w:r w:rsidRPr="000A2B01">
        <w:t>ith “this paragraph (iii)”</w:t>
      </w:r>
      <w:r w:rsidR="0056343B">
        <w:t>.</w:t>
      </w:r>
    </w:p>
    <w:p w:rsidR="008F6938" w:rsidRPr="00A14834" w:rsidP="00750038" w14:paraId="48B9B4CD" w14:textId="066B0843">
      <w:pPr>
        <w:pStyle w:val="ParaNum"/>
      </w:pPr>
      <w:r>
        <w:t xml:space="preserve">In </w:t>
      </w:r>
      <w:r w:rsidRPr="00BC65A5">
        <w:rPr>
          <w:b/>
          <w:bCs/>
        </w:rPr>
        <w:t>§ 100.302</w:t>
      </w:r>
      <w:r>
        <w:t xml:space="preserve">, the </w:t>
      </w:r>
      <w:r w:rsidR="002C00E4">
        <w:t xml:space="preserve">comma </w:t>
      </w:r>
      <w:r w:rsidRPr="00FA73C3" w:rsidR="002C00E4">
        <w:t>“</w:t>
      </w:r>
      <w:r w:rsidR="002C00E4">
        <w:t>;</w:t>
      </w:r>
      <w:r w:rsidRPr="00FA73C3" w:rsidR="002C00E4">
        <w:t xml:space="preserve">” </w:t>
      </w:r>
      <w:r w:rsidR="002C00E4">
        <w:t xml:space="preserve">at the </w:t>
      </w:r>
      <w:r>
        <w:t xml:space="preserve">end </w:t>
      </w:r>
      <w:r w:rsidR="002C00E4">
        <w:t xml:space="preserve">of paragraphs </w:t>
      </w:r>
      <w:r w:rsidRPr="00FA73C3">
        <w:t>(a)(</w:t>
      </w:r>
      <w:r>
        <w:t>1</w:t>
      </w:r>
      <w:r w:rsidRPr="00FA73C3">
        <w:t>)</w:t>
      </w:r>
      <w:r w:rsidR="003570DF">
        <w:t xml:space="preserve"> and</w:t>
      </w:r>
      <w:r w:rsidR="006505BF">
        <w:t xml:space="preserve"> </w:t>
      </w:r>
      <w:r>
        <w:t>(a)(2)</w:t>
      </w:r>
      <w:r w:rsidR="00BC65A5">
        <w:t>,</w:t>
      </w:r>
      <w:r>
        <w:t xml:space="preserve"> the second sentence</w:t>
      </w:r>
      <w:r w:rsidR="00750038">
        <w:t xml:space="preserve"> of paragraph (a)(3)</w:t>
      </w:r>
      <w:r>
        <w:t xml:space="preserve">, </w:t>
      </w:r>
      <w:r w:rsidR="003570DF">
        <w:t xml:space="preserve">and paragraph </w:t>
      </w:r>
      <w:r>
        <w:t xml:space="preserve">(a)(4) </w:t>
      </w:r>
      <w:r w:rsidR="00750038">
        <w:t xml:space="preserve">is </w:t>
      </w:r>
      <w:r>
        <w:t>replace</w:t>
      </w:r>
      <w:r w:rsidR="00750038">
        <w:t>d</w:t>
      </w:r>
      <w:r>
        <w:t xml:space="preserve"> with </w:t>
      </w:r>
      <w:r w:rsidR="00750038">
        <w:t xml:space="preserve">a </w:t>
      </w:r>
      <w:r>
        <w:t xml:space="preserve">“.” </w:t>
      </w:r>
      <w:r w:rsidR="00750038">
        <w:t>period.</w:t>
      </w:r>
    </w:p>
    <w:p w:rsidR="008B4AE8" w:rsidRPr="002C7942" w:rsidP="00AF6068" w14:paraId="381C1222" w14:textId="77777777">
      <w:pPr>
        <w:keepNext/>
      </w:pPr>
    </w:p>
    <w:p w:rsidR="00AF6068" w:rsidRPr="00AF6068" w:rsidP="00AF6068" w14:paraId="05788C8B" w14:textId="77777777">
      <w:pPr>
        <w:keepNext/>
        <w:ind w:left="4320"/>
        <w:rPr>
          <w:bCs/>
          <w:caps/>
          <w:spacing w:val="-2"/>
        </w:rPr>
      </w:pPr>
      <w:r>
        <w:rPr>
          <w:spacing w:val="-2"/>
        </w:rPr>
        <w:t>FEDERAL COMMUNICATIONS COMMISSION</w:t>
      </w:r>
    </w:p>
    <w:p w:rsidR="00AF6068" w:rsidRPr="00AF6068" w:rsidP="00AF6068" w14:paraId="7CB4725B" w14:textId="77777777">
      <w:pPr>
        <w:keepNext/>
        <w:ind w:left="4320"/>
        <w:rPr>
          <w:bCs/>
          <w:caps/>
          <w:spacing w:val="-2"/>
        </w:rPr>
      </w:pPr>
    </w:p>
    <w:p w:rsidR="00AF6068" w:rsidP="00AF6068" w14:paraId="3194004D" w14:textId="77777777">
      <w:pPr>
        <w:keepNext/>
        <w:ind w:left="4320"/>
      </w:pPr>
    </w:p>
    <w:p w:rsidR="00AF6068" w:rsidP="00AF6068" w14:paraId="15DC4B8A" w14:textId="77777777">
      <w:pPr>
        <w:keepNext/>
        <w:ind w:left="4320"/>
      </w:pPr>
    </w:p>
    <w:p w:rsidR="00AF6068" w:rsidP="00AF6068" w14:paraId="3F4A9E23" w14:textId="77777777">
      <w:pPr>
        <w:keepNext/>
        <w:ind w:left="4320"/>
      </w:pPr>
    </w:p>
    <w:p w:rsidR="00D13C04" w:rsidRPr="008B4AE8" w:rsidP="00617E8B" w14:paraId="509CACAE" w14:textId="699C7A3E">
      <w:pPr>
        <w:keepNext/>
        <w:ind w:left="4320"/>
      </w:pPr>
      <w:r>
        <w:t>Jennifer Gilsenan</w:t>
      </w:r>
      <w:r w:rsidR="0095791D">
        <w:br/>
      </w:r>
      <w:r>
        <w:t>Acting Chief</w:t>
      </w:r>
      <w:r w:rsidR="0095791D">
        <w:br/>
      </w:r>
      <w:r>
        <w:t>Space Bureau</w:t>
      </w:r>
    </w:p>
    <w:sectPr w:rsidSect="00633F77">
      <w:headerReference w:type="default" r:id="rId4"/>
      <w:headerReference w:type="first" r:id="rId5"/>
      <w:footnotePr>
        <w:numRestart w:val="eachSect"/>
      </w:footnotePr>
      <w:endnotePr>
        <w:numFmt w:val="decimal"/>
      </w:endnotePr>
      <w:type w:val="continuous"/>
      <w:pgSz w:w="12240" w:h="15840" w:code="1"/>
      <w:pgMar w:top="1440" w:right="1440" w:bottom="72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59AF" w:rsidRPr="003A39EE" w:rsidP="000B76A7" w14:paraId="39A9E57C" w14:textId="79BA3343">
    <w:pPr>
      <w:pStyle w:val="Header"/>
      <w:pBdr>
        <w:bottom w:val="single" w:sz="4" w:space="1" w:color="auto"/>
      </w:pBdr>
      <w:spacing w:before="0" w:after="0"/>
      <w:rPr>
        <w:u w:val="none"/>
      </w:rPr>
    </w:pPr>
    <w:r>
      <w:rPr>
        <w:u w:val="none"/>
      </w:rPr>
      <w:tab/>
    </w:r>
    <w:r w:rsidRPr="003A39EE">
      <w:rPr>
        <w:u w:val="none"/>
      </w:rPr>
      <w:t>Federal Communications Commission</w:t>
    </w:r>
    <w:r>
      <w:rPr>
        <w:u w:val="non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214F" w:rsidRPr="00446A51" w:rsidP="00FF214F" w14:paraId="2CA91890" w14:textId="1DD0EA3F">
    <w:pPr>
      <w:pStyle w:val="Header"/>
      <w:spacing w:before="0" w:after="0"/>
    </w:pPr>
    <w:r w:rsidRPr="00446A51">
      <w:tab/>
      <w:t>Federal Communications Commission</w:t>
    </w:r>
    <w:r w:rsidRPr="00446A5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4A74C4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CDAAA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642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452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07295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618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FC57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AE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EE5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4C2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BC4A8A"/>
    <w:multiLevelType w:val="multilevel"/>
    <w:tmpl w:val="0CC05C04"/>
    <w:lvl w:ilvl="0">
      <w:start w:val="1"/>
      <w:numFmt w:val="decimal"/>
      <w:lvlText w:val="(%1.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(%2.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.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.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7E06CBB"/>
    <w:multiLevelType w:val="multilevel"/>
    <w:tmpl w:val="7764A49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>
    <w:nsid w:val="2A0E2263"/>
    <w:multiLevelType w:val="hybridMultilevel"/>
    <w:tmpl w:val="94C60366"/>
    <w:lvl w:ilvl="0">
      <w:start w:val="0"/>
      <w:numFmt w:val="bullet"/>
      <w:pStyle w:val="NI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>
      <w:start w:val="1"/>
      <w:numFmt w:val="bullet"/>
      <w:pStyle w:val="NIBullet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IBullet3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pStyle w:val="NIBullet4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pStyle w:val="NIBullet5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NIBullet6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pStyle w:val="NIBullet7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pStyle w:val="NIBullet8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NIBullet9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024E21"/>
    <w:multiLevelType w:val="hybridMultilevel"/>
    <w:tmpl w:val="0E82173E"/>
    <w:lvl w:ilvl="0">
      <w:start w:val="1"/>
      <w:numFmt w:val="bullet"/>
      <w:pStyle w:val="ParaNu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ParaNum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araNum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ParaNum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ParaNumBullet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ParaNumBullet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pStyle w:val="ParaNumBullet7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pStyle w:val="ParaNumBullet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ParaNumBullet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F409B"/>
    <w:multiLevelType w:val="multilevel"/>
    <w:tmpl w:val="3678FC56"/>
    <w:styleLink w:val="Appendices"/>
    <w:lvl w:ilvl="0">
      <w:start w:val="1"/>
      <w:numFmt w:val="upperLetter"/>
      <w:suff w:val="space"/>
      <w:lvlText w:val="Appendix %1: 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52F57BE"/>
    <w:multiLevelType w:val="multilevel"/>
    <w:tmpl w:val="80AA78BE"/>
    <w:lvl w:ilvl="0">
      <w:start w:val="1"/>
      <w:numFmt w:val="upperLetter"/>
      <w:pStyle w:val="Appendix"/>
      <w:suff w:val="space"/>
      <w:lvlText w:val="Appendix %1: 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AppendixParaNum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8EF4214"/>
    <w:multiLevelType w:val="multilevel"/>
    <w:tmpl w:val="70669302"/>
    <w:styleLink w:val="Style2"/>
    <w:lvl w:ilvl="0">
      <w:start w:val="1"/>
      <w:numFmt w:val="decimal"/>
      <w:pStyle w:val="NIList"/>
      <w:lvlText w:val="(%1.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NIList2"/>
      <w:lvlText w:val="(%2.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IList3"/>
      <w:lvlText w:val="(%3.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NIList4"/>
      <w:lvlText w:val="(%4.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IList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NIList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NIList7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NIList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NIList9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94941A1"/>
    <w:multiLevelType w:val="multilevel"/>
    <w:tmpl w:val="5CC4427E"/>
    <w:styleLink w:val="PNOrderedList"/>
    <w:lvl w:ilvl="0">
      <w:start w:val="1"/>
      <w:numFmt w:val="decimal"/>
      <w:pStyle w:val="ParaNum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pStyle w:val="ParaNumLevel2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pStyle w:val="ParaNumLevel3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pStyle w:val="ParaNumLevel4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pStyle w:val="ParaNumLevel5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pStyle w:val="ParaNumLevel6"/>
      <w:lvlText w:val="%6.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pStyle w:val="ParaNumLevel7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pStyle w:val="ParaNumLevel8"/>
      <w:lvlText w:val="%8."/>
      <w:lvlJc w:val="left"/>
      <w:pPr>
        <w:tabs>
          <w:tab w:val="num" w:pos="7200"/>
        </w:tabs>
        <w:ind w:left="3960" w:hanging="360"/>
      </w:pPr>
      <w:rPr>
        <w:rFonts w:hint="default"/>
      </w:rPr>
    </w:lvl>
    <w:lvl w:ilvl="8">
      <w:start w:val="1"/>
      <w:numFmt w:val="lowerRoman"/>
      <w:pStyle w:val="ParaNumLevel9"/>
      <w:lvlText w:val="%9."/>
      <w:lvlJc w:val="left"/>
      <w:pPr>
        <w:ind w:left="4320" w:hanging="360"/>
      </w:pPr>
      <w:rPr>
        <w:rFonts w:hint="default"/>
      </w:rPr>
    </w:lvl>
  </w:abstractNum>
  <w:abstractNum w:abstractNumId="18">
    <w:nsid w:val="56055441"/>
    <w:multiLevelType w:val="hybridMultilevel"/>
    <w:tmpl w:val="EAC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380CB8"/>
    <w:multiLevelType w:val="multilevel"/>
    <w:tmpl w:val="A9FA49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</w:abstractNum>
  <w:abstractNum w:abstractNumId="20">
    <w:nsid w:val="66A33CF4"/>
    <w:multiLevelType w:val="multilevel"/>
    <w:tmpl w:val="5F941A0A"/>
    <w:lvl w:ilvl="0">
      <w:start w:val="1"/>
      <w:numFmt w:val="none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A633377"/>
    <w:multiLevelType w:val="multilevel"/>
    <w:tmpl w:val="34A6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742172FB"/>
    <w:multiLevelType w:val="multilevel"/>
    <w:tmpl w:val="4B3A5402"/>
    <w:lvl w:ilvl="0">
      <w:start w:val="1"/>
      <w:numFmt w:val="none"/>
      <w:lvlText w:val="%1Separate Statement"/>
      <w:lvlJc w:val="center"/>
      <w:pPr>
        <w:tabs>
          <w:tab w:val="num" w:pos="9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7B281033"/>
    <w:multiLevelType w:val="multilevel"/>
    <w:tmpl w:val="C212A1AC"/>
    <w:styleLink w:val="Style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673284">
    <w:abstractNumId w:val="14"/>
  </w:num>
  <w:num w:numId="2" w16cid:durableId="582178563">
    <w:abstractNumId w:val="15"/>
  </w:num>
  <w:num w:numId="3" w16cid:durableId="758405453">
    <w:abstractNumId w:val="11"/>
  </w:num>
  <w:num w:numId="4" w16cid:durableId="911892875">
    <w:abstractNumId w:val="12"/>
  </w:num>
  <w:num w:numId="5" w16cid:durableId="761341875">
    <w:abstractNumId w:val="12"/>
  </w:num>
  <w:num w:numId="6" w16cid:durableId="1323460960">
    <w:abstractNumId w:val="10"/>
    <w:lvlOverride w:ilvl="0">
      <w:lvl w:ilvl="0">
        <w:start w:val="1"/>
        <w:numFmt w:val="decimal"/>
        <w:lvlText w:val="(%1.)"/>
        <w:lvlJc w:val="left"/>
        <w:pPr>
          <w:ind w:left="1944" w:hanging="504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(%2.)"/>
        <w:lvlJc w:val="left"/>
        <w:pPr>
          <w:ind w:left="2376" w:hanging="50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(%3.)"/>
        <w:lvlJc w:val="left"/>
        <w:pPr>
          <w:ind w:left="2808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(%4.)"/>
        <w:lvlJc w:val="left"/>
        <w:pPr>
          <w:ind w:left="3240" w:hanging="504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3672" w:hanging="504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ind w:left="4104" w:hanging="504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4536" w:hanging="50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968" w:hanging="50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5400" w:hanging="504"/>
        </w:pPr>
        <w:rPr>
          <w:rFonts w:hint="default"/>
        </w:rPr>
      </w:lvl>
    </w:lvlOverride>
  </w:num>
  <w:num w:numId="7" w16cid:durableId="461965754">
    <w:abstractNumId w:val="16"/>
  </w:num>
  <w:num w:numId="8" w16cid:durableId="2017340475">
    <w:abstractNumId w:val="20"/>
  </w:num>
  <w:num w:numId="9" w16cid:durableId="215553500">
    <w:abstractNumId w:val="22"/>
  </w:num>
  <w:num w:numId="10" w16cid:durableId="1571036666">
    <w:abstractNumId w:val="23"/>
  </w:num>
  <w:num w:numId="11" w16cid:durableId="1729526625">
    <w:abstractNumId w:val="16"/>
  </w:num>
  <w:num w:numId="12" w16cid:durableId="2005935849">
    <w:abstractNumId w:val="13"/>
  </w:num>
  <w:num w:numId="13" w16cid:durableId="822505179">
    <w:abstractNumId w:val="21"/>
  </w:num>
  <w:num w:numId="14" w16cid:durableId="763765605">
    <w:abstractNumId w:val="19"/>
  </w:num>
  <w:num w:numId="15" w16cid:durableId="1533376369">
    <w:abstractNumId w:val="21"/>
    <w:lvlOverride w:ilvl="0">
      <w:lvl w:ilvl="0">
        <w:start w:val="1"/>
        <w:numFmt w:val="decimal"/>
        <w:lvlText w:val="%1."/>
        <w:lvlJc w:val="left"/>
        <w:pPr>
          <w:ind w:left="0" w:firstLine="72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80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9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3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680" w:hanging="360"/>
        </w:pPr>
        <w:rPr>
          <w:rFonts w:hint="default"/>
        </w:rPr>
      </w:lvl>
    </w:lvlOverride>
  </w:num>
  <w:num w:numId="16" w16cid:durableId="1282571955">
    <w:abstractNumId w:val="17"/>
  </w:num>
  <w:num w:numId="17" w16cid:durableId="19414028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503295">
    <w:abstractNumId w:val="15"/>
  </w:num>
  <w:num w:numId="19" w16cid:durableId="392967597">
    <w:abstractNumId w:val="9"/>
  </w:num>
  <w:num w:numId="20" w16cid:durableId="1657148332">
    <w:abstractNumId w:val="7"/>
  </w:num>
  <w:num w:numId="21" w16cid:durableId="1526288620">
    <w:abstractNumId w:val="6"/>
  </w:num>
  <w:num w:numId="22" w16cid:durableId="723336001">
    <w:abstractNumId w:val="5"/>
  </w:num>
  <w:num w:numId="23" w16cid:durableId="1188759834">
    <w:abstractNumId w:val="4"/>
  </w:num>
  <w:num w:numId="24" w16cid:durableId="189876003">
    <w:abstractNumId w:val="8"/>
  </w:num>
  <w:num w:numId="25" w16cid:durableId="418524238">
    <w:abstractNumId w:val="3"/>
  </w:num>
  <w:num w:numId="26" w16cid:durableId="379280557">
    <w:abstractNumId w:val="2"/>
  </w:num>
  <w:num w:numId="27" w16cid:durableId="1579248349">
    <w:abstractNumId w:val="1"/>
  </w:num>
  <w:num w:numId="28" w16cid:durableId="1909874747">
    <w:abstractNumId w:val="0"/>
  </w:num>
  <w:num w:numId="29" w16cid:durableId="61429044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804" w:allStyles="0" w:alternateStyleNames="0" w:clearFormatting="1" w:customStyles="0" w:directFormattingOnNumbering="0" w:directFormattingOnParagraphs="0" w:directFormattingOnRuns="0" w:directFormattingOnTables="1" w:headingStyles="0" w:latentStyles="1" w:numberingStyles="0" w:stylesInUse="0" w:tableStyles="0" w:top3HeadingStyles="1" w:visibleStyles="0"/>
  <w:revisionView w:comments="1" w:formatting="0" w:inkAnnotations="1" w:insDel="0" w:markup="1"/>
  <w:defaultTabStop w:val="720"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38"/>
    <w:rsid w:val="00002257"/>
    <w:rsid w:val="00007D00"/>
    <w:rsid w:val="0003593B"/>
    <w:rsid w:val="0003609C"/>
    <w:rsid w:val="000379D9"/>
    <w:rsid w:val="00041FAF"/>
    <w:rsid w:val="00043802"/>
    <w:rsid w:val="00050E80"/>
    <w:rsid w:val="000776DF"/>
    <w:rsid w:val="000A1403"/>
    <w:rsid w:val="000A2B01"/>
    <w:rsid w:val="000B13CD"/>
    <w:rsid w:val="000B76A7"/>
    <w:rsid w:val="000C2352"/>
    <w:rsid w:val="000C5A9A"/>
    <w:rsid w:val="000E16EE"/>
    <w:rsid w:val="000E30FA"/>
    <w:rsid w:val="000E3DE4"/>
    <w:rsid w:val="000F3880"/>
    <w:rsid w:val="000F41B2"/>
    <w:rsid w:val="000F45AC"/>
    <w:rsid w:val="000F6EF1"/>
    <w:rsid w:val="000F7092"/>
    <w:rsid w:val="00107205"/>
    <w:rsid w:val="00125B4A"/>
    <w:rsid w:val="001269AF"/>
    <w:rsid w:val="001308B2"/>
    <w:rsid w:val="00132421"/>
    <w:rsid w:val="0014233E"/>
    <w:rsid w:val="00142F7E"/>
    <w:rsid w:val="001501E5"/>
    <w:rsid w:val="00151407"/>
    <w:rsid w:val="0015201A"/>
    <w:rsid w:val="0015277A"/>
    <w:rsid w:val="00155CCA"/>
    <w:rsid w:val="001565F0"/>
    <w:rsid w:val="00163CA3"/>
    <w:rsid w:val="00164C9A"/>
    <w:rsid w:val="00175698"/>
    <w:rsid w:val="0018075B"/>
    <w:rsid w:val="00183767"/>
    <w:rsid w:val="00196A52"/>
    <w:rsid w:val="001A4D71"/>
    <w:rsid w:val="001B45F5"/>
    <w:rsid w:val="001B61B8"/>
    <w:rsid w:val="001B623D"/>
    <w:rsid w:val="001B7815"/>
    <w:rsid w:val="001C3E36"/>
    <w:rsid w:val="001D7167"/>
    <w:rsid w:val="001E1821"/>
    <w:rsid w:val="001E7C82"/>
    <w:rsid w:val="001F340C"/>
    <w:rsid w:val="00203479"/>
    <w:rsid w:val="00205E0D"/>
    <w:rsid w:val="0022209B"/>
    <w:rsid w:val="00223F85"/>
    <w:rsid w:val="002307A2"/>
    <w:rsid w:val="00234C16"/>
    <w:rsid w:val="00240C84"/>
    <w:rsid w:val="00241552"/>
    <w:rsid w:val="0024238D"/>
    <w:rsid w:val="0024493E"/>
    <w:rsid w:val="00261127"/>
    <w:rsid w:val="00271425"/>
    <w:rsid w:val="00275E96"/>
    <w:rsid w:val="00286572"/>
    <w:rsid w:val="002918B2"/>
    <w:rsid w:val="00291C79"/>
    <w:rsid w:val="0029662A"/>
    <w:rsid w:val="002A4563"/>
    <w:rsid w:val="002A67D1"/>
    <w:rsid w:val="002A7016"/>
    <w:rsid w:val="002B13C9"/>
    <w:rsid w:val="002C00E4"/>
    <w:rsid w:val="002C2996"/>
    <w:rsid w:val="002C7942"/>
    <w:rsid w:val="002D3A34"/>
    <w:rsid w:val="002E6244"/>
    <w:rsid w:val="002F0AFD"/>
    <w:rsid w:val="002F2E2A"/>
    <w:rsid w:val="002F443B"/>
    <w:rsid w:val="002F4DED"/>
    <w:rsid w:val="003248F3"/>
    <w:rsid w:val="0032769B"/>
    <w:rsid w:val="0033141A"/>
    <w:rsid w:val="00346121"/>
    <w:rsid w:val="00346122"/>
    <w:rsid w:val="00347044"/>
    <w:rsid w:val="003570DF"/>
    <w:rsid w:val="00371104"/>
    <w:rsid w:val="00385B40"/>
    <w:rsid w:val="00392A21"/>
    <w:rsid w:val="003A39EE"/>
    <w:rsid w:val="003B63E5"/>
    <w:rsid w:val="003F4649"/>
    <w:rsid w:val="004017EE"/>
    <w:rsid w:val="00407184"/>
    <w:rsid w:val="00426820"/>
    <w:rsid w:val="0043320C"/>
    <w:rsid w:val="004357FF"/>
    <w:rsid w:val="00444DC2"/>
    <w:rsid w:val="00446A51"/>
    <w:rsid w:val="004528C0"/>
    <w:rsid w:val="004537EB"/>
    <w:rsid w:val="00453E9C"/>
    <w:rsid w:val="00466275"/>
    <w:rsid w:val="00490BF7"/>
    <w:rsid w:val="004950DB"/>
    <w:rsid w:val="004969D6"/>
    <w:rsid w:val="004A461B"/>
    <w:rsid w:val="004A6077"/>
    <w:rsid w:val="004B23D8"/>
    <w:rsid w:val="004C5B5F"/>
    <w:rsid w:val="004C65C6"/>
    <w:rsid w:val="004D6BF0"/>
    <w:rsid w:val="004E5D14"/>
    <w:rsid w:val="004E7BB5"/>
    <w:rsid w:val="004F4608"/>
    <w:rsid w:val="005137EF"/>
    <w:rsid w:val="00520ECE"/>
    <w:rsid w:val="0053271E"/>
    <w:rsid w:val="00534DDA"/>
    <w:rsid w:val="005350E3"/>
    <w:rsid w:val="00536560"/>
    <w:rsid w:val="0054033E"/>
    <w:rsid w:val="00541305"/>
    <w:rsid w:val="00543B45"/>
    <w:rsid w:val="0055077A"/>
    <w:rsid w:val="005534E2"/>
    <w:rsid w:val="00556080"/>
    <w:rsid w:val="0056089D"/>
    <w:rsid w:val="0056343B"/>
    <w:rsid w:val="005635E6"/>
    <w:rsid w:val="0056360C"/>
    <w:rsid w:val="00566F87"/>
    <w:rsid w:val="005729DC"/>
    <w:rsid w:val="00576A48"/>
    <w:rsid w:val="00576C83"/>
    <w:rsid w:val="00577C90"/>
    <w:rsid w:val="00581B80"/>
    <w:rsid w:val="005855B5"/>
    <w:rsid w:val="00585BA5"/>
    <w:rsid w:val="00595C6A"/>
    <w:rsid w:val="005B1AC3"/>
    <w:rsid w:val="005B39D3"/>
    <w:rsid w:val="005C1945"/>
    <w:rsid w:val="005D0C8F"/>
    <w:rsid w:val="005D3719"/>
    <w:rsid w:val="005E518C"/>
    <w:rsid w:val="005F2D44"/>
    <w:rsid w:val="005F4B7C"/>
    <w:rsid w:val="005F4CAA"/>
    <w:rsid w:val="005F6D20"/>
    <w:rsid w:val="00606407"/>
    <w:rsid w:val="00606835"/>
    <w:rsid w:val="00617E8B"/>
    <w:rsid w:val="00631F4D"/>
    <w:rsid w:val="00633F77"/>
    <w:rsid w:val="00635135"/>
    <w:rsid w:val="0063538E"/>
    <w:rsid w:val="00643A2D"/>
    <w:rsid w:val="00644839"/>
    <w:rsid w:val="00644C16"/>
    <w:rsid w:val="006505BF"/>
    <w:rsid w:val="00650EB5"/>
    <w:rsid w:val="006568B3"/>
    <w:rsid w:val="00663741"/>
    <w:rsid w:val="00666386"/>
    <w:rsid w:val="00670C3A"/>
    <w:rsid w:val="00671401"/>
    <w:rsid w:val="0067777F"/>
    <w:rsid w:val="0069240F"/>
    <w:rsid w:val="006968D2"/>
    <w:rsid w:val="00696AEB"/>
    <w:rsid w:val="006A59AF"/>
    <w:rsid w:val="006B42C3"/>
    <w:rsid w:val="006C3565"/>
    <w:rsid w:val="006D12ED"/>
    <w:rsid w:val="006F40E2"/>
    <w:rsid w:val="00704E3C"/>
    <w:rsid w:val="00715839"/>
    <w:rsid w:val="00727633"/>
    <w:rsid w:val="00741B5C"/>
    <w:rsid w:val="0074714F"/>
    <w:rsid w:val="00750038"/>
    <w:rsid w:val="0075268F"/>
    <w:rsid w:val="00754857"/>
    <w:rsid w:val="00763993"/>
    <w:rsid w:val="0076556C"/>
    <w:rsid w:val="007666CA"/>
    <w:rsid w:val="007723C9"/>
    <w:rsid w:val="00772621"/>
    <w:rsid w:val="0077302B"/>
    <w:rsid w:val="00776890"/>
    <w:rsid w:val="00777029"/>
    <w:rsid w:val="007921C5"/>
    <w:rsid w:val="007A1449"/>
    <w:rsid w:val="007A4ECA"/>
    <w:rsid w:val="007C24C6"/>
    <w:rsid w:val="007C6220"/>
    <w:rsid w:val="007C6389"/>
    <w:rsid w:val="007D00DF"/>
    <w:rsid w:val="007F39BB"/>
    <w:rsid w:val="007F3F8D"/>
    <w:rsid w:val="007F6DD2"/>
    <w:rsid w:val="00802F61"/>
    <w:rsid w:val="008052ED"/>
    <w:rsid w:val="00807EC4"/>
    <w:rsid w:val="0082118F"/>
    <w:rsid w:val="00821625"/>
    <w:rsid w:val="00825A7C"/>
    <w:rsid w:val="008318AE"/>
    <w:rsid w:val="008402BD"/>
    <w:rsid w:val="00850E04"/>
    <w:rsid w:val="00851625"/>
    <w:rsid w:val="00852885"/>
    <w:rsid w:val="00854379"/>
    <w:rsid w:val="00862DC0"/>
    <w:rsid w:val="00870983"/>
    <w:rsid w:val="00882C43"/>
    <w:rsid w:val="00891137"/>
    <w:rsid w:val="00892BC4"/>
    <w:rsid w:val="008A21E2"/>
    <w:rsid w:val="008B118F"/>
    <w:rsid w:val="008B3E38"/>
    <w:rsid w:val="008B4AE8"/>
    <w:rsid w:val="008C12C3"/>
    <w:rsid w:val="008C5DE8"/>
    <w:rsid w:val="008D3B9A"/>
    <w:rsid w:val="008E0A5F"/>
    <w:rsid w:val="008E3EC7"/>
    <w:rsid w:val="008F0524"/>
    <w:rsid w:val="008F2E0F"/>
    <w:rsid w:val="008F3AC7"/>
    <w:rsid w:val="008F6938"/>
    <w:rsid w:val="009018D7"/>
    <w:rsid w:val="0091389F"/>
    <w:rsid w:val="0091796C"/>
    <w:rsid w:val="00925458"/>
    <w:rsid w:val="009314D2"/>
    <w:rsid w:val="0094232D"/>
    <w:rsid w:val="0095058F"/>
    <w:rsid w:val="009521DD"/>
    <w:rsid w:val="00953AF5"/>
    <w:rsid w:val="00957713"/>
    <w:rsid w:val="0095791D"/>
    <w:rsid w:val="00972AA8"/>
    <w:rsid w:val="00974049"/>
    <w:rsid w:val="00976267"/>
    <w:rsid w:val="009771A2"/>
    <w:rsid w:val="00983A46"/>
    <w:rsid w:val="0098551B"/>
    <w:rsid w:val="00990458"/>
    <w:rsid w:val="00991ACB"/>
    <w:rsid w:val="009A444A"/>
    <w:rsid w:val="009A5FD1"/>
    <w:rsid w:val="009B095B"/>
    <w:rsid w:val="009C089A"/>
    <w:rsid w:val="009C55F0"/>
    <w:rsid w:val="009D0B1E"/>
    <w:rsid w:val="009D46F9"/>
    <w:rsid w:val="009D472A"/>
    <w:rsid w:val="009D4C84"/>
    <w:rsid w:val="009E4814"/>
    <w:rsid w:val="009E53C2"/>
    <w:rsid w:val="009E6D65"/>
    <w:rsid w:val="00A07674"/>
    <w:rsid w:val="00A116B0"/>
    <w:rsid w:val="00A11B43"/>
    <w:rsid w:val="00A12953"/>
    <w:rsid w:val="00A12A2B"/>
    <w:rsid w:val="00A14834"/>
    <w:rsid w:val="00A14D2B"/>
    <w:rsid w:val="00A32C4B"/>
    <w:rsid w:val="00A54225"/>
    <w:rsid w:val="00A5797C"/>
    <w:rsid w:val="00A63800"/>
    <w:rsid w:val="00A76C76"/>
    <w:rsid w:val="00A93D03"/>
    <w:rsid w:val="00A9415E"/>
    <w:rsid w:val="00AA0782"/>
    <w:rsid w:val="00AA11AD"/>
    <w:rsid w:val="00AA17AD"/>
    <w:rsid w:val="00AA27B4"/>
    <w:rsid w:val="00AA7CE7"/>
    <w:rsid w:val="00AB71A5"/>
    <w:rsid w:val="00AC15CE"/>
    <w:rsid w:val="00AC5267"/>
    <w:rsid w:val="00AC5270"/>
    <w:rsid w:val="00AC783D"/>
    <w:rsid w:val="00AD0B36"/>
    <w:rsid w:val="00AE1B19"/>
    <w:rsid w:val="00AE5E6B"/>
    <w:rsid w:val="00AF44B6"/>
    <w:rsid w:val="00AF6068"/>
    <w:rsid w:val="00B00AD1"/>
    <w:rsid w:val="00B0115B"/>
    <w:rsid w:val="00B03D57"/>
    <w:rsid w:val="00B04A92"/>
    <w:rsid w:val="00B0596E"/>
    <w:rsid w:val="00B061DC"/>
    <w:rsid w:val="00B1000A"/>
    <w:rsid w:val="00B109B5"/>
    <w:rsid w:val="00B37C56"/>
    <w:rsid w:val="00B577A0"/>
    <w:rsid w:val="00B719D5"/>
    <w:rsid w:val="00B74505"/>
    <w:rsid w:val="00B77ECD"/>
    <w:rsid w:val="00B858A2"/>
    <w:rsid w:val="00BA11AF"/>
    <w:rsid w:val="00BA148A"/>
    <w:rsid w:val="00BA56D0"/>
    <w:rsid w:val="00BB48E1"/>
    <w:rsid w:val="00BB522D"/>
    <w:rsid w:val="00BB67EF"/>
    <w:rsid w:val="00BC615D"/>
    <w:rsid w:val="00BC65A5"/>
    <w:rsid w:val="00BD3D7B"/>
    <w:rsid w:val="00BF21FD"/>
    <w:rsid w:val="00BF5F1D"/>
    <w:rsid w:val="00BF76E4"/>
    <w:rsid w:val="00BF7931"/>
    <w:rsid w:val="00C06AF5"/>
    <w:rsid w:val="00C06C50"/>
    <w:rsid w:val="00C126A4"/>
    <w:rsid w:val="00C131FF"/>
    <w:rsid w:val="00C1359E"/>
    <w:rsid w:val="00C15F6C"/>
    <w:rsid w:val="00C219EE"/>
    <w:rsid w:val="00C4302A"/>
    <w:rsid w:val="00C46D59"/>
    <w:rsid w:val="00C50483"/>
    <w:rsid w:val="00C57A33"/>
    <w:rsid w:val="00C74879"/>
    <w:rsid w:val="00C76565"/>
    <w:rsid w:val="00C77047"/>
    <w:rsid w:val="00C81C35"/>
    <w:rsid w:val="00C878C6"/>
    <w:rsid w:val="00C92DAF"/>
    <w:rsid w:val="00C92EBE"/>
    <w:rsid w:val="00CB3C4C"/>
    <w:rsid w:val="00CB4FC3"/>
    <w:rsid w:val="00CC1994"/>
    <w:rsid w:val="00CC4E8E"/>
    <w:rsid w:val="00CE0E82"/>
    <w:rsid w:val="00CE2BAE"/>
    <w:rsid w:val="00CF2522"/>
    <w:rsid w:val="00CF4617"/>
    <w:rsid w:val="00CF54D4"/>
    <w:rsid w:val="00D02E1E"/>
    <w:rsid w:val="00D12C7D"/>
    <w:rsid w:val="00D131FE"/>
    <w:rsid w:val="00D13C04"/>
    <w:rsid w:val="00D2079D"/>
    <w:rsid w:val="00D21E25"/>
    <w:rsid w:val="00D23E40"/>
    <w:rsid w:val="00D26A86"/>
    <w:rsid w:val="00D27F77"/>
    <w:rsid w:val="00D36836"/>
    <w:rsid w:val="00D428CF"/>
    <w:rsid w:val="00D429D4"/>
    <w:rsid w:val="00D460AB"/>
    <w:rsid w:val="00D53048"/>
    <w:rsid w:val="00D57B55"/>
    <w:rsid w:val="00D707FC"/>
    <w:rsid w:val="00D70CAA"/>
    <w:rsid w:val="00D81228"/>
    <w:rsid w:val="00D814AC"/>
    <w:rsid w:val="00D867CF"/>
    <w:rsid w:val="00DA0444"/>
    <w:rsid w:val="00DA696B"/>
    <w:rsid w:val="00DA79B1"/>
    <w:rsid w:val="00DB19CE"/>
    <w:rsid w:val="00DC0B77"/>
    <w:rsid w:val="00DC2163"/>
    <w:rsid w:val="00DC2889"/>
    <w:rsid w:val="00DC57F8"/>
    <w:rsid w:val="00DD2A6B"/>
    <w:rsid w:val="00E01A20"/>
    <w:rsid w:val="00E0316C"/>
    <w:rsid w:val="00E0397B"/>
    <w:rsid w:val="00E123B1"/>
    <w:rsid w:val="00E16FBB"/>
    <w:rsid w:val="00E228F9"/>
    <w:rsid w:val="00E22D16"/>
    <w:rsid w:val="00E36D50"/>
    <w:rsid w:val="00E50910"/>
    <w:rsid w:val="00E522F5"/>
    <w:rsid w:val="00E52C27"/>
    <w:rsid w:val="00E56F5A"/>
    <w:rsid w:val="00E5705D"/>
    <w:rsid w:val="00E5785A"/>
    <w:rsid w:val="00E60BA0"/>
    <w:rsid w:val="00E67047"/>
    <w:rsid w:val="00E96E61"/>
    <w:rsid w:val="00EB07A8"/>
    <w:rsid w:val="00EC1ABB"/>
    <w:rsid w:val="00ED19DE"/>
    <w:rsid w:val="00ED2271"/>
    <w:rsid w:val="00F0311E"/>
    <w:rsid w:val="00F1348D"/>
    <w:rsid w:val="00F14E76"/>
    <w:rsid w:val="00F42631"/>
    <w:rsid w:val="00F5292C"/>
    <w:rsid w:val="00F612EA"/>
    <w:rsid w:val="00F62F7A"/>
    <w:rsid w:val="00F667F5"/>
    <w:rsid w:val="00F73C6D"/>
    <w:rsid w:val="00F811BD"/>
    <w:rsid w:val="00F967D3"/>
    <w:rsid w:val="00FA06AD"/>
    <w:rsid w:val="00FA73A4"/>
    <w:rsid w:val="00FA73C3"/>
    <w:rsid w:val="00FB21BA"/>
    <w:rsid w:val="00FC6087"/>
    <w:rsid w:val="00FD467E"/>
    <w:rsid w:val="00FD49C9"/>
    <w:rsid w:val="00FE71F9"/>
    <w:rsid w:val="00FF1192"/>
    <w:rsid w:val="00FF14CC"/>
    <w:rsid w:val="00FF214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B19B6B"/>
  <w15:chartTrackingRefBased/>
  <w15:docId w15:val="{2D012A69-F131-422F-8450-FE1A03EA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8" w:unhideWhenUsed="1" w:qFormat="1"/>
    <w:lsdException w:name="heading 7" w:semiHidden="1" w:uiPriority="98" w:unhideWhenUsed="1" w:qFormat="1"/>
    <w:lsdException w:name="heading 8" w:semiHidden="1" w:uiPriority="98" w:unhideWhenUsed="1" w:qFormat="1"/>
    <w:lsdException w:name="heading 9" w:semiHidden="1" w:uiPriority="9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89A"/>
    <w:rPr>
      <w:rFonts w:eastAsia="Times New Roman"/>
      <w:snapToGrid w:val="0"/>
      <w:kern w:val="28"/>
      <w:sz w:val="22"/>
    </w:rPr>
  </w:style>
  <w:style w:type="paragraph" w:styleId="Heading1">
    <w:name w:val="heading 1"/>
    <w:basedOn w:val="Normal"/>
    <w:next w:val="Normal"/>
    <w:link w:val="Heading1Char"/>
    <w:qFormat/>
    <w:rsid w:val="00AF44B6"/>
    <w:pPr>
      <w:keepNext/>
      <w:numPr>
        <w:numId w:val="3"/>
      </w:numPr>
      <w:suppressAutoHyphens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AF44B6"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F44B6"/>
    <w:pPr>
      <w:numPr>
        <w:ilvl w:val="2"/>
        <w:numId w:val="3"/>
      </w:numPr>
      <w:tabs>
        <w:tab w:val="left" w:pos="2160"/>
      </w:tabs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AF44B6"/>
    <w:pPr>
      <w:numPr>
        <w:ilvl w:val="3"/>
        <w:numId w:val="3"/>
      </w:numPr>
      <w:tabs>
        <w:tab w:val="left" w:pos="2880"/>
      </w:tabs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F44B6"/>
    <w:pPr>
      <w:numPr>
        <w:ilvl w:val="4"/>
        <w:numId w:val="3"/>
      </w:numPr>
      <w:tabs>
        <w:tab w:val="left" w:pos="3600"/>
      </w:tabs>
      <w:suppressAutoHyphens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5"/>
    <w:qFormat/>
    <w:rsid w:val="00AF44B6"/>
    <w:pPr>
      <w:numPr>
        <w:ilvl w:val="5"/>
        <w:numId w:val="3"/>
      </w:numPr>
      <w:tabs>
        <w:tab w:val="left" w:pos="4320"/>
      </w:tabs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5"/>
    <w:qFormat/>
    <w:rsid w:val="00AF44B6"/>
    <w:pPr>
      <w:numPr>
        <w:ilvl w:val="6"/>
        <w:numId w:val="3"/>
      </w:numPr>
      <w:tabs>
        <w:tab w:val="left" w:pos="5040"/>
      </w:tabs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5"/>
    <w:qFormat/>
    <w:rsid w:val="00AF44B6"/>
    <w:pPr>
      <w:numPr>
        <w:ilvl w:val="7"/>
        <w:numId w:val="3"/>
      </w:numPr>
      <w:tabs>
        <w:tab w:val="left" w:pos="5760"/>
      </w:tabs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5"/>
    <w:qFormat/>
    <w:rsid w:val="00AF44B6"/>
    <w:pPr>
      <w:numPr>
        <w:ilvl w:val="8"/>
        <w:numId w:val="3"/>
      </w:numPr>
      <w:tabs>
        <w:tab w:val="left" w:pos="6480"/>
      </w:tabs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uiPriority w:val="99"/>
    <w:semiHidden/>
    <w:rsid w:val="00AF44B6"/>
    <w:rPr>
      <w:rFonts w:ascii="Calibri" w:hAnsi="Calibri"/>
    </w:rPr>
  </w:style>
  <w:style w:type="paragraph" w:customStyle="1" w:styleId="TitleCenteredBold">
    <w:name w:val="Title Centered Bold"/>
    <w:basedOn w:val="Normal"/>
    <w:next w:val="Normal"/>
    <w:uiPriority w:val="99"/>
    <w:semiHidden/>
    <w:rsid w:val="00AF44B6"/>
    <w:pPr>
      <w:suppressAutoHyphens/>
      <w:jc w:val="center"/>
    </w:pPr>
    <w:rPr>
      <w:b/>
      <w:kern w:val="0"/>
      <w:szCs w:val="22"/>
    </w:rPr>
  </w:style>
  <w:style w:type="paragraph" w:customStyle="1" w:styleId="Agency">
    <w:name w:val="Agency"/>
    <w:basedOn w:val="TitleCenteredBold"/>
    <w:autoRedefine/>
    <w:rsid w:val="008B4AE8"/>
    <w:pPr>
      <w:spacing w:after="240"/>
    </w:pPr>
  </w:style>
  <w:style w:type="numbering" w:customStyle="1" w:styleId="Appendices">
    <w:name w:val="Appendices"/>
    <w:uiPriority w:val="99"/>
    <w:rsid w:val="00AF44B6"/>
    <w:pPr>
      <w:numPr>
        <w:numId w:val="1"/>
      </w:numPr>
    </w:pPr>
  </w:style>
  <w:style w:type="paragraph" w:customStyle="1" w:styleId="TitleCAPSCenteredBold">
    <w:name w:val="Title CAPS Centered Bold"/>
    <w:basedOn w:val="TitleCenteredBold"/>
    <w:next w:val="Normal"/>
    <w:uiPriority w:val="96"/>
    <w:qFormat/>
    <w:rsid w:val="00AF44B6"/>
    <w:rPr>
      <w:caps/>
    </w:rPr>
  </w:style>
  <w:style w:type="paragraph" w:customStyle="1" w:styleId="Appendix">
    <w:name w:val="Appendix"/>
    <w:basedOn w:val="TitleCAPSCenteredBold"/>
    <w:next w:val="NormalIndent"/>
    <w:qFormat/>
    <w:rsid w:val="00715839"/>
    <w:pPr>
      <w:numPr>
        <w:numId w:val="18"/>
      </w:numPr>
      <w:spacing w:after="120"/>
    </w:pPr>
  </w:style>
  <w:style w:type="paragraph" w:styleId="NormalIndent">
    <w:name w:val="Normal Indent"/>
    <w:basedOn w:val="Normal"/>
    <w:qFormat/>
    <w:rsid w:val="009C089A"/>
    <w:pPr>
      <w:spacing w:after="120"/>
      <w:ind w:firstLine="720"/>
    </w:pPr>
  </w:style>
  <w:style w:type="paragraph" w:customStyle="1" w:styleId="TitleCenteredCapsBoldUnderline">
    <w:name w:val="Title Centered Caps Bold Underline"/>
    <w:basedOn w:val="Normal"/>
    <w:next w:val="Normal"/>
    <w:uiPriority w:val="99"/>
    <w:semiHidden/>
    <w:qFormat/>
    <w:rsid w:val="00AF44B6"/>
    <w:pPr>
      <w:jc w:val="center"/>
    </w:pPr>
    <w:rPr>
      <w:rFonts w:eastAsia="Calibri"/>
      <w:b/>
      <w:bCs/>
      <w:caps/>
      <w:snapToGrid/>
      <w:u w:val="single"/>
    </w:rPr>
  </w:style>
  <w:style w:type="paragraph" w:customStyle="1" w:styleId="Attachment">
    <w:name w:val="Attachment"/>
    <w:basedOn w:val="TitleCenteredCapsBoldUnderline"/>
    <w:uiPriority w:val="99"/>
    <w:semiHidden/>
    <w:qFormat/>
    <w:rsid w:val="00AF44B6"/>
    <w:pPr>
      <w:spacing w:after="200"/>
    </w:pPr>
    <w:rPr>
      <w:caps w:val="0"/>
    </w:rPr>
  </w:style>
  <w:style w:type="character" w:styleId="CommentReference">
    <w:name w:val="annotation reference"/>
    <w:uiPriority w:val="99"/>
    <w:semiHidden/>
    <w:rsid w:val="00AF4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F44B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AF44B6"/>
    <w:rPr>
      <w:rFonts w:ascii="Calibri" w:eastAsia="Times New Roman" w:hAnsi="Calibri"/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F44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44B6"/>
    <w:rPr>
      <w:rFonts w:ascii="Calibri" w:eastAsia="Times New Roman" w:hAnsi="Calibri"/>
      <w:b/>
      <w:bCs/>
      <w:snapToGrid w:val="0"/>
      <w:kern w:val="28"/>
    </w:rPr>
  </w:style>
  <w:style w:type="paragraph" w:customStyle="1" w:styleId="Dates">
    <w:name w:val="Dates"/>
    <w:basedOn w:val="Normal"/>
    <w:rsid w:val="00BA148A"/>
    <w:pPr>
      <w:tabs>
        <w:tab w:val="right" w:pos="9270"/>
      </w:tabs>
      <w:spacing w:before="360"/>
    </w:pPr>
    <w:rPr>
      <w:b/>
    </w:rPr>
  </w:style>
  <w:style w:type="character" w:styleId="EndnoteReference">
    <w:name w:val="endnote reference"/>
    <w:semiHidden/>
    <w:rsid w:val="00AF44B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F44B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F44B6"/>
    <w:rPr>
      <w:rFonts w:ascii="Calibri" w:eastAsia="Times New Roman" w:hAnsi="Calibri"/>
      <w:snapToGrid w:val="0"/>
      <w:kern w:val="28"/>
    </w:rPr>
  </w:style>
  <w:style w:type="paragraph" w:styleId="Footer">
    <w:name w:val="footer"/>
    <w:basedOn w:val="Normal"/>
    <w:link w:val="FooterChar"/>
    <w:uiPriority w:val="99"/>
    <w:rsid w:val="00AF44B6"/>
    <w:pPr>
      <w:jc w:val="center"/>
    </w:pPr>
  </w:style>
  <w:style w:type="character" w:customStyle="1" w:styleId="FooterChar">
    <w:name w:val="Footer Char"/>
    <w:link w:val="Footer"/>
    <w:uiPriority w:val="99"/>
    <w:rsid w:val="00AF44B6"/>
    <w:rPr>
      <w:rFonts w:ascii="Calibri" w:eastAsia="Times New Roman" w:hAnsi="Calibri"/>
      <w:snapToGrid w:val="0"/>
      <w:kern w:val="28"/>
      <w:sz w:val="22"/>
    </w:rPr>
  </w:style>
  <w:style w:type="character" w:styleId="FootnoteReference">
    <w:name w:val="footnote reference"/>
    <w:uiPriority w:val="99"/>
    <w:semiHidden/>
    <w:rsid w:val="00AF44B6"/>
    <w:rPr>
      <w:rFonts w:ascii="Calibri" w:hAnsi="Calibri"/>
      <w:dstrike w:val="0"/>
      <w:color w:val="auto"/>
      <w:sz w:val="20"/>
      <w:vertAlign w:val="superscript"/>
    </w:rPr>
  </w:style>
  <w:style w:type="character" w:customStyle="1" w:styleId="FootnoteReferenceNECG">
    <w:name w:val="Footnote Reference(NECG)"/>
    <w:uiPriority w:val="99"/>
    <w:semiHidden/>
    <w:rsid w:val="00AF44B6"/>
    <w:rPr>
      <w:rFonts w:ascii="Calibri" w:hAnsi="Calibri"/>
      <w:dstrike w:val="0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F44B6"/>
    <w:rPr>
      <w:rFonts w:asciiTheme="minorHAnsi" w:hAnsiTheme="minorHAnsi"/>
      <w:sz w:val="20"/>
    </w:rPr>
  </w:style>
  <w:style w:type="character" w:customStyle="1" w:styleId="FootnoteTextChar">
    <w:name w:val="Footnote Text Char"/>
    <w:link w:val="FootnoteText"/>
    <w:uiPriority w:val="99"/>
    <w:semiHidden/>
    <w:rsid w:val="00AF44B6"/>
    <w:rPr>
      <w:rFonts w:eastAsia="Times New Roman" w:asciiTheme="minorHAnsi" w:hAnsiTheme="minorHAnsi"/>
      <w:snapToGrid w:val="0"/>
      <w:kern w:val="28"/>
    </w:rPr>
  </w:style>
  <w:style w:type="paragraph" w:customStyle="1" w:styleId="FootnoteTextFCC">
    <w:name w:val="Footnote Text FCC"/>
    <w:basedOn w:val="Normal"/>
    <w:uiPriority w:val="99"/>
    <w:semiHidden/>
    <w:rsid w:val="00AF44B6"/>
    <w:rPr>
      <w:rFonts w:asciiTheme="minorHAnsi" w:hAnsiTheme="minorHAnsi"/>
      <w:sz w:val="20"/>
    </w:rPr>
  </w:style>
  <w:style w:type="paragraph" w:styleId="Header">
    <w:name w:val="header"/>
    <w:basedOn w:val="Title"/>
    <w:link w:val="HeaderChar"/>
    <w:qFormat/>
    <w:rsid w:val="00FF214F"/>
    <w:pPr>
      <w:tabs>
        <w:tab w:val="center" w:pos="4680"/>
        <w:tab w:val="right" w:pos="9360"/>
      </w:tabs>
      <w:spacing w:before="240" w:after="320"/>
      <w:contextualSpacing w:val="0"/>
      <w:jc w:val="center"/>
    </w:pPr>
    <w:rPr>
      <w:rFonts w:ascii="Times New Roman Bold" w:eastAsia="Times New Roman" w:hAnsi="Times New Roman Bold" w:cs="Times New Roman"/>
      <w:b/>
      <w:bCs/>
      <w:snapToGrid/>
      <w:spacing w:val="0"/>
      <w:kern w:val="2"/>
      <w:sz w:val="22"/>
      <w:szCs w:val="20"/>
      <w:u w:val="single"/>
    </w:rPr>
  </w:style>
  <w:style w:type="character" w:customStyle="1" w:styleId="HeaderChar">
    <w:name w:val="Header Char"/>
    <w:basedOn w:val="DefaultParagraphFont"/>
    <w:link w:val="Header"/>
    <w:rsid w:val="00FF214F"/>
    <w:rPr>
      <w:rFonts w:ascii="Times New Roman Bold" w:eastAsia="Times New Roman" w:hAnsi="Times New Roman Bold"/>
      <w:b/>
      <w:bCs/>
      <w:kern w:val="2"/>
      <w:sz w:val="22"/>
      <w:u w:val="single"/>
    </w:rPr>
  </w:style>
  <w:style w:type="character" w:customStyle="1" w:styleId="Heading1Char">
    <w:name w:val="Heading 1 Char"/>
    <w:basedOn w:val="DefaultParagraphFont"/>
    <w:link w:val="Heading1"/>
    <w:rsid w:val="00AF44B6"/>
    <w:rPr>
      <w:rFonts w:ascii="Calibri" w:eastAsia="Times New Roman" w:hAnsi="Calibri"/>
      <w:b/>
      <w:caps/>
      <w:snapToGrid w:val="0"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AF44B6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F44B6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F44B6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F44B6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6Char">
    <w:name w:val="Heading 6 Char"/>
    <w:basedOn w:val="DefaultParagraphFont"/>
    <w:link w:val="Heading6"/>
    <w:uiPriority w:val="95"/>
    <w:rsid w:val="00164C9A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7Char">
    <w:name w:val="Heading 7 Char"/>
    <w:basedOn w:val="DefaultParagraphFont"/>
    <w:link w:val="Heading7"/>
    <w:uiPriority w:val="95"/>
    <w:rsid w:val="00164C9A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8Char">
    <w:name w:val="Heading 8 Char"/>
    <w:basedOn w:val="DefaultParagraphFont"/>
    <w:link w:val="Heading8"/>
    <w:uiPriority w:val="95"/>
    <w:rsid w:val="00164C9A"/>
    <w:rPr>
      <w:rFonts w:ascii="Calibri" w:eastAsia="Times New Roman" w:hAnsi="Calibri"/>
      <w:b/>
      <w:snapToGrid w:val="0"/>
      <w:kern w:val="28"/>
      <w:sz w:val="22"/>
    </w:rPr>
  </w:style>
  <w:style w:type="character" w:customStyle="1" w:styleId="Heading9Char">
    <w:name w:val="Heading 9 Char"/>
    <w:basedOn w:val="DefaultParagraphFont"/>
    <w:link w:val="Heading9"/>
    <w:uiPriority w:val="95"/>
    <w:rsid w:val="00164C9A"/>
    <w:rPr>
      <w:rFonts w:ascii="Calibri" w:eastAsia="Times New Roman" w:hAnsi="Calibri"/>
      <w:b/>
      <w:snapToGrid w:val="0"/>
      <w:kern w:val="28"/>
      <w:sz w:val="22"/>
    </w:rPr>
  </w:style>
  <w:style w:type="character" w:styleId="Hyperlink">
    <w:name w:val="Hyperlink"/>
    <w:uiPriority w:val="99"/>
    <w:semiHidden/>
    <w:rsid w:val="00AF44B6"/>
    <w:rPr>
      <w:color w:val="0000FF"/>
      <w:u w:val="single"/>
    </w:rPr>
  </w:style>
  <w:style w:type="paragraph" w:customStyle="1" w:styleId="NormalTextIndent">
    <w:name w:val="Normal Text Indent"/>
    <w:basedOn w:val="Normal"/>
    <w:uiPriority w:val="3"/>
    <w:semiHidden/>
    <w:rsid w:val="00AF44B6"/>
    <w:pPr>
      <w:spacing w:after="220"/>
      <w:ind w:firstLine="720"/>
    </w:pPr>
    <w:rPr>
      <w:szCs w:val="22"/>
    </w:rPr>
  </w:style>
  <w:style w:type="paragraph" w:customStyle="1" w:styleId="NIBullet">
    <w:name w:val="NI Bullet"/>
    <w:basedOn w:val="NormalTextIndent"/>
    <w:uiPriority w:val="4"/>
    <w:qFormat/>
    <w:rsid w:val="00AF44B6"/>
    <w:pPr>
      <w:numPr>
        <w:numId w:val="5"/>
      </w:numPr>
    </w:pPr>
  </w:style>
  <w:style w:type="paragraph" w:customStyle="1" w:styleId="NIBullet2">
    <w:name w:val="NI Bullet 2"/>
    <w:basedOn w:val="NIBullet"/>
    <w:uiPriority w:val="98"/>
    <w:rsid w:val="00AF44B6"/>
    <w:pPr>
      <w:numPr>
        <w:ilvl w:val="1"/>
      </w:numPr>
    </w:pPr>
  </w:style>
  <w:style w:type="paragraph" w:customStyle="1" w:styleId="NIBullet3">
    <w:name w:val="NI Bullet 3"/>
    <w:basedOn w:val="NIBullet"/>
    <w:uiPriority w:val="98"/>
    <w:rsid w:val="00AF44B6"/>
    <w:pPr>
      <w:numPr>
        <w:ilvl w:val="2"/>
      </w:numPr>
    </w:pPr>
  </w:style>
  <w:style w:type="paragraph" w:customStyle="1" w:styleId="NIBullet4">
    <w:name w:val="NI Bullet 4"/>
    <w:basedOn w:val="NIBullet"/>
    <w:uiPriority w:val="98"/>
    <w:unhideWhenUsed/>
    <w:rsid w:val="00AF44B6"/>
    <w:pPr>
      <w:numPr>
        <w:ilvl w:val="3"/>
      </w:numPr>
    </w:pPr>
  </w:style>
  <w:style w:type="paragraph" w:customStyle="1" w:styleId="NIBullet5">
    <w:name w:val="NI Bullet 5"/>
    <w:basedOn w:val="NIBullet4"/>
    <w:uiPriority w:val="98"/>
    <w:unhideWhenUsed/>
    <w:rsid w:val="00AF44B6"/>
    <w:pPr>
      <w:numPr>
        <w:ilvl w:val="4"/>
      </w:numPr>
    </w:pPr>
  </w:style>
  <w:style w:type="paragraph" w:customStyle="1" w:styleId="NIBullet6">
    <w:name w:val="NI Bullet 6"/>
    <w:basedOn w:val="NIBullet5"/>
    <w:uiPriority w:val="98"/>
    <w:unhideWhenUsed/>
    <w:rsid w:val="00AF44B6"/>
    <w:pPr>
      <w:numPr>
        <w:ilvl w:val="5"/>
      </w:numPr>
    </w:pPr>
  </w:style>
  <w:style w:type="paragraph" w:customStyle="1" w:styleId="NIBullet7">
    <w:name w:val="NI Bullet 7"/>
    <w:basedOn w:val="NIBullet6"/>
    <w:uiPriority w:val="98"/>
    <w:unhideWhenUsed/>
    <w:rsid w:val="00AF44B6"/>
    <w:pPr>
      <w:numPr>
        <w:ilvl w:val="6"/>
      </w:numPr>
    </w:pPr>
  </w:style>
  <w:style w:type="paragraph" w:customStyle="1" w:styleId="NIBullet8">
    <w:name w:val="NI Bullet 8"/>
    <w:basedOn w:val="NIBullet7"/>
    <w:uiPriority w:val="98"/>
    <w:unhideWhenUsed/>
    <w:rsid w:val="00AF44B6"/>
    <w:pPr>
      <w:numPr>
        <w:ilvl w:val="7"/>
      </w:numPr>
    </w:pPr>
  </w:style>
  <w:style w:type="paragraph" w:customStyle="1" w:styleId="NIBullet9">
    <w:name w:val="NI Bullet 9"/>
    <w:basedOn w:val="NIBullet8"/>
    <w:uiPriority w:val="98"/>
    <w:unhideWhenUsed/>
    <w:rsid w:val="00AF44B6"/>
    <w:pPr>
      <w:numPr>
        <w:ilvl w:val="8"/>
      </w:numPr>
    </w:pPr>
  </w:style>
  <w:style w:type="paragraph" w:customStyle="1" w:styleId="NIList">
    <w:name w:val="NI List"/>
    <w:basedOn w:val="NormalIndent"/>
    <w:uiPriority w:val="2"/>
    <w:rsid w:val="00AC5267"/>
    <w:pPr>
      <w:numPr>
        <w:numId w:val="11"/>
      </w:numPr>
      <w:ind w:left="1800"/>
    </w:pPr>
  </w:style>
  <w:style w:type="paragraph" w:customStyle="1" w:styleId="NIList2">
    <w:name w:val="NI List 2"/>
    <w:basedOn w:val="NIList"/>
    <w:uiPriority w:val="98"/>
    <w:rsid w:val="00AC5267"/>
    <w:pPr>
      <w:numPr>
        <w:ilvl w:val="1"/>
      </w:numPr>
      <w:ind w:left="2160"/>
    </w:pPr>
  </w:style>
  <w:style w:type="paragraph" w:customStyle="1" w:styleId="NIList3">
    <w:name w:val="NI List 3"/>
    <w:basedOn w:val="NIList"/>
    <w:uiPriority w:val="98"/>
    <w:rsid w:val="00AC5267"/>
    <w:pPr>
      <w:numPr>
        <w:ilvl w:val="2"/>
      </w:numPr>
      <w:ind w:left="2520"/>
    </w:pPr>
  </w:style>
  <w:style w:type="paragraph" w:customStyle="1" w:styleId="NIList4">
    <w:name w:val="NI List 4"/>
    <w:basedOn w:val="NIList3"/>
    <w:uiPriority w:val="98"/>
    <w:unhideWhenUsed/>
    <w:rsid w:val="00AC5267"/>
    <w:pPr>
      <w:numPr>
        <w:ilvl w:val="3"/>
      </w:numPr>
      <w:ind w:left="2880"/>
    </w:pPr>
  </w:style>
  <w:style w:type="paragraph" w:customStyle="1" w:styleId="NIList5">
    <w:name w:val="NI List 5"/>
    <w:basedOn w:val="NIList4"/>
    <w:uiPriority w:val="98"/>
    <w:unhideWhenUsed/>
    <w:rsid w:val="00AC5267"/>
    <w:pPr>
      <w:numPr>
        <w:ilvl w:val="4"/>
      </w:numPr>
      <w:ind w:left="3240"/>
    </w:pPr>
  </w:style>
  <w:style w:type="paragraph" w:customStyle="1" w:styleId="NIList6">
    <w:name w:val="NI List 6"/>
    <w:basedOn w:val="NIList5"/>
    <w:uiPriority w:val="98"/>
    <w:unhideWhenUsed/>
    <w:rsid w:val="00AC5267"/>
    <w:pPr>
      <w:numPr>
        <w:ilvl w:val="5"/>
      </w:numPr>
      <w:ind w:left="3600"/>
    </w:pPr>
  </w:style>
  <w:style w:type="paragraph" w:customStyle="1" w:styleId="NIList7">
    <w:name w:val="NI List 7"/>
    <w:basedOn w:val="NIList6"/>
    <w:uiPriority w:val="98"/>
    <w:unhideWhenUsed/>
    <w:rsid w:val="00AC5267"/>
    <w:pPr>
      <w:numPr>
        <w:ilvl w:val="6"/>
      </w:numPr>
      <w:ind w:left="3960"/>
    </w:pPr>
  </w:style>
  <w:style w:type="paragraph" w:customStyle="1" w:styleId="NIList8">
    <w:name w:val="NI List 8"/>
    <w:basedOn w:val="NIList7"/>
    <w:uiPriority w:val="98"/>
    <w:unhideWhenUsed/>
    <w:rsid w:val="00AC5267"/>
    <w:pPr>
      <w:numPr>
        <w:ilvl w:val="7"/>
      </w:numPr>
      <w:ind w:left="4320"/>
    </w:pPr>
  </w:style>
  <w:style w:type="paragraph" w:customStyle="1" w:styleId="NIList9">
    <w:name w:val="NI List 9"/>
    <w:basedOn w:val="NIList8"/>
    <w:uiPriority w:val="98"/>
    <w:unhideWhenUsed/>
    <w:rsid w:val="00AC5267"/>
    <w:pPr>
      <w:numPr>
        <w:ilvl w:val="8"/>
      </w:numPr>
      <w:ind w:left="4680"/>
    </w:pPr>
  </w:style>
  <w:style w:type="paragraph" w:customStyle="1" w:styleId="NormalBold">
    <w:name w:val="Normal Bold"/>
    <w:basedOn w:val="Normal"/>
    <w:next w:val="Normal"/>
    <w:uiPriority w:val="1"/>
    <w:semiHidden/>
    <w:qFormat/>
    <w:rsid w:val="00AF44B6"/>
    <w:rPr>
      <w:b/>
    </w:rPr>
  </w:style>
  <w:style w:type="paragraph" w:customStyle="1" w:styleId="NormalCenteredBold">
    <w:name w:val="Normal Centered Bold"/>
    <w:basedOn w:val="Normal"/>
    <w:next w:val="Normal"/>
    <w:uiPriority w:val="1"/>
    <w:semiHidden/>
    <w:qFormat/>
    <w:rsid w:val="00AF44B6"/>
    <w:pPr>
      <w:jc w:val="center"/>
    </w:pPr>
    <w:rPr>
      <w:rFonts w:eastAsia="Calibri"/>
      <w:b/>
      <w:kern w:val="0"/>
      <w:szCs w:val="22"/>
    </w:rPr>
  </w:style>
  <w:style w:type="character" w:styleId="PageNumber">
    <w:name w:val="page number"/>
    <w:uiPriority w:val="1"/>
    <w:semiHidden/>
    <w:rsid w:val="00AF44B6"/>
    <w:rPr>
      <w:rFonts w:ascii="Calibri" w:hAnsi="Calibri"/>
      <w:b w:val="0"/>
      <w:i w:val="0"/>
      <w:sz w:val="22"/>
    </w:rPr>
  </w:style>
  <w:style w:type="paragraph" w:customStyle="1" w:styleId="ParaText">
    <w:name w:val="Para Text"/>
    <w:basedOn w:val="Normal"/>
    <w:next w:val="Normal"/>
    <w:uiPriority w:val="99"/>
    <w:semiHidden/>
    <w:qFormat/>
    <w:rsid w:val="00AF44B6"/>
    <w:pPr>
      <w:ind w:left="720" w:right="720"/>
    </w:pPr>
  </w:style>
  <w:style w:type="paragraph" w:customStyle="1" w:styleId="ParaNum">
    <w:name w:val="ParaNum"/>
    <w:basedOn w:val="Normal"/>
    <w:link w:val="ParaNumChar"/>
    <w:qFormat/>
    <w:rsid w:val="009C089A"/>
    <w:pPr>
      <w:numPr>
        <w:numId w:val="16"/>
      </w:numPr>
      <w:spacing w:after="120"/>
    </w:pPr>
  </w:style>
  <w:style w:type="character" w:customStyle="1" w:styleId="ParaNumChar">
    <w:name w:val="ParaNum Char"/>
    <w:link w:val="ParaNum"/>
    <w:rsid w:val="009C089A"/>
    <w:rPr>
      <w:rFonts w:eastAsia="Times New Roman"/>
      <w:snapToGrid w:val="0"/>
      <w:kern w:val="28"/>
      <w:sz w:val="22"/>
    </w:rPr>
  </w:style>
  <w:style w:type="paragraph" w:customStyle="1" w:styleId="ParaNumBullet">
    <w:name w:val="ParaNum Bullet"/>
    <w:basedOn w:val="ParaNum"/>
    <w:uiPriority w:val="1"/>
    <w:qFormat/>
    <w:rsid w:val="00FA73A4"/>
    <w:pPr>
      <w:numPr>
        <w:numId w:val="12"/>
      </w:numPr>
      <w:ind w:left="1800"/>
    </w:pPr>
  </w:style>
  <w:style w:type="paragraph" w:customStyle="1" w:styleId="ReferenceLine">
    <w:name w:val="Reference Line"/>
    <w:basedOn w:val="FootnoteText"/>
    <w:next w:val="NormalIndent"/>
    <w:uiPriority w:val="96"/>
    <w:qFormat/>
    <w:rsid w:val="00C76565"/>
    <w:pPr>
      <w:ind w:left="432"/>
    </w:pPr>
  </w:style>
  <w:style w:type="paragraph" w:customStyle="1" w:styleId="SeparateStatementHeading">
    <w:name w:val="Separate Statement Heading"/>
    <w:basedOn w:val="TitleCAPSCenteredBold"/>
    <w:next w:val="Normal"/>
    <w:uiPriority w:val="96"/>
    <w:qFormat/>
    <w:rsid w:val="00AF44B6"/>
  </w:style>
  <w:style w:type="paragraph" w:customStyle="1" w:styleId="SeparateStatementPosition">
    <w:name w:val="Separate Statement Position"/>
    <w:basedOn w:val="TitleCAPSCenteredBold"/>
    <w:next w:val="ReferenceLine"/>
    <w:uiPriority w:val="96"/>
    <w:qFormat/>
    <w:rsid w:val="00D13C04"/>
    <w:pPr>
      <w:spacing w:after="120"/>
    </w:pPr>
  </w:style>
  <w:style w:type="paragraph" w:customStyle="1" w:styleId="Signature-AgencyName">
    <w:name w:val="Signature - Agency Name"/>
    <w:basedOn w:val="Normal"/>
    <w:uiPriority w:val="95"/>
    <w:rsid w:val="00CF2522"/>
    <w:rPr>
      <w:rFonts w:eastAsia="Calibri"/>
      <w:caps/>
      <w:szCs w:val="22"/>
    </w:rPr>
  </w:style>
  <w:style w:type="paragraph" w:customStyle="1" w:styleId="SignatureFCC">
    <w:name w:val="Signature FCC"/>
    <w:basedOn w:val="Normal"/>
    <w:next w:val="Normal"/>
    <w:uiPriority w:val="99"/>
    <w:semiHidden/>
    <w:rsid w:val="00AF44B6"/>
    <w:pPr>
      <w:widowControl w:val="0"/>
      <w:ind w:left="4320"/>
    </w:pPr>
    <w:rPr>
      <w:caps/>
      <w:szCs w:val="22"/>
    </w:rPr>
  </w:style>
  <w:style w:type="paragraph" w:customStyle="1" w:styleId="SignatureLines">
    <w:name w:val="Signature Lines"/>
    <w:basedOn w:val="Normal"/>
    <w:autoRedefine/>
    <w:uiPriority w:val="95"/>
    <w:rsid w:val="008B4AE8"/>
    <w:pPr>
      <w:ind w:left="4320"/>
    </w:pPr>
    <w:rPr>
      <w:rFonts w:eastAsia="Calibri"/>
      <w:snapToGrid/>
      <w:kern w:val="0"/>
      <w:szCs w:val="22"/>
    </w:rPr>
  </w:style>
  <w:style w:type="paragraph" w:customStyle="1" w:styleId="Space6">
    <w:name w:val="Space 6"/>
    <w:basedOn w:val="Header"/>
    <w:uiPriority w:val="1"/>
    <w:semiHidden/>
    <w:rsid w:val="00AF44B6"/>
    <w:rPr>
      <w:sz w:val="12"/>
    </w:rPr>
  </w:style>
  <w:style w:type="numbering" w:customStyle="1" w:styleId="Style1">
    <w:name w:val="Style1"/>
    <w:uiPriority w:val="99"/>
    <w:rsid w:val="00AF44B6"/>
    <w:pPr>
      <w:numPr>
        <w:numId w:val="10"/>
      </w:numPr>
    </w:pPr>
  </w:style>
  <w:style w:type="numbering" w:customStyle="1" w:styleId="Style2">
    <w:name w:val="Style2"/>
    <w:uiPriority w:val="99"/>
    <w:rsid w:val="00AF44B6"/>
    <w:pPr>
      <w:numPr>
        <w:numId w:val="7"/>
      </w:numPr>
    </w:pPr>
  </w:style>
  <w:style w:type="table" w:styleId="TableGrid">
    <w:name w:val="Table Grid"/>
    <w:basedOn w:val="TableNormal"/>
    <w:uiPriority w:val="39"/>
    <w:rsid w:val="00AF44B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rmat">
    <w:name w:val="TableFormat"/>
    <w:basedOn w:val="Normal"/>
    <w:uiPriority w:val="99"/>
    <w:semiHidden/>
    <w:rsid w:val="00AF44B6"/>
    <w:pPr>
      <w:tabs>
        <w:tab w:val="left" w:pos="5040"/>
      </w:tabs>
      <w:spacing w:after="220"/>
      <w:ind w:left="5040" w:hanging="3600"/>
    </w:pPr>
  </w:style>
  <w:style w:type="paragraph" w:customStyle="1" w:styleId="TitleBold">
    <w:name w:val="Title Bold"/>
    <w:basedOn w:val="Normal"/>
    <w:next w:val="Normal"/>
    <w:uiPriority w:val="99"/>
    <w:semiHidden/>
    <w:qFormat/>
    <w:rsid w:val="00AF44B6"/>
    <w:pPr>
      <w:tabs>
        <w:tab w:val="left" w:pos="720"/>
        <w:tab w:val="right" w:pos="9360"/>
      </w:tabs>
      <w:suppressAutoHyphens/>
    </w:pPr>
    <w:rPr>
      <w:b/>
      <w:spacing w:val="-2"/>
    </w:rPr>
  </w:style>
  <w:style w:type="paragraph" w:customStyle="1" w:styleId="TitleBoldRight">
    <w:name w:val="Title Bold Right"/>
    <w:basedOn w:val="Normal"/>
    <w:next w:val="Normal"/>
    <w:uiPriority w:val="99"/>
    <w:semiHidden/>
    <w:rsid w:val="00AF44B6"/>
    <w:pPr>
      <w:tabs>
        <w:tab w:val="left" w:pos="720"/>
        <w:tab w:val="right" w:pos="9360"/>
      </w:tabs>
      <w:suppressAutoHyphens/>
      <w:jc w:val="center"/>
    </w:pPr>
    <w:rPr>
      <w:b/>
      <w:spacing w:val="-2"/>
    </w:rPr>
  </w:style>
  <w:style w:type="paragraph" w:styleId="TOAHeading">
    <w:name w:val="toa heading"/>
    <w:basedOn w:val="Normal"/>
    <w:next w:val="Normal"/>
    <w:semiHidden/>
    <w:rsid w:val="0053271E"/>
    <w:pPr>
      <w:widowControl w:val="0"/>
      <w:tabs>
        <w:tab w:val="right" w:pos="9360"/>
      </w:tabs>
      <w:suppressAutoHyphens/>
    </w:pPr>
  </w:style>
  <w:style w:type="paragraph" w:styleId="TOC1">
    <w:name w:val="toc 1"/>
    <w:basedOn w:val="Normal"/>
    <w:next w:val="Normal"/>
    <w:semiHidden/>
    <w:rsid w:val="0053271E"/>
    <w:pPr>
      <w:widowControl w:val="0"/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rsid w:val="0053271E"/>
    <w:pPr>
      <w:widowControl w:val="0"/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rsid w:val="0053271E"/>
    <w:pPr>
      <w:widowControl w:val="0"/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rsid w:val="0053271E"/>
    <w:pPr>
      <w:widowControl w:val="0"/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rsid w:val="0053271E"/>
    <w:pPr>
      <w:widowControl w:val="0"/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rsid w:val="0053271E"/>
    <w:pPr>
      <w:widowControl w:val="0"/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rsid w:val="0053271E"/>
    <w:pPr>
      <w:widowControl w:val="0"/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rsid w:val="0053271E"/>
    <w:pPr>
      <w:widowControl w:val="0"/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rsid w:val="0053271E"/>
    <w:pPr>
      <w:widowControl w:val="0"/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customStyle="1" w:styleId="TOCAppendix">
    <w:name w:val="TOC Appendix"/>
    <w:basedOn w:val="Normal"/>
    <w:uiPriority w:val="99"/>
    <w:semiHidden/>
    <w:rsid w:val="00AF44B6"/>
    <w:pPr>
      <w:widowControl w:val="0"/>
      <w:tabs>
        <w:tab w:val="center" w:pos="9270"/>
      </w:tabs>
    </w:pPr>
    <w:rPr>
      <w:rFonts w:ascii="Calibri Light" w:hAnsi="Calibri Light"/>
      <w:spacing w:val="-2"/>
    </w:rPr>
  </w:style>
  <w:style w:type="paragraph" w:styleId="TOCHeading">
    <w:name w:val="TOC Heading"/>
    <w:basedOn w:val="Heading1"/>
    <w:next w:val="Normal"/>
    <w:uiPriority w:val="39"/>
    <w:semiHidden/>
    <w:qFormat/>
    <w:rsid w:val="00AF44B6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 w:val="0"/>
      <w:snapToGrid/>
      <w:color w:val="2E74B5" w:themeColor="accent1" w:themeShade="BF"/>
      <w:kern w:val="0"/>
      <w:sz w:val="32"/>
      <w:szCs w:val="32"/>
    </w:rPr>
  </w:style>
  <w:style w:type="paragraph" w:customStyle="1" w:styleId="TOCParaTitle">
    <w:name w:val="TOC Para Title"/>
    <w:basedOn w:val="Normal"/>
    <w:next w:val="Normal"/>
    <w:uiPriority w:val="99"/>
    <w:semiHidden/>
    <w:rsid w:val="00AF44B6"/>
    <w:pPr>
      <w:widowControl w:val="0"/>
      <w:tabs>
        <w:tab w:val="center" w:pos="9270"/>
      </w:tabs>
      <w:spacing w:after="240"/>
    </w:pPr>
    <w:rPr>
      <w:rFonts w:asciiTheme="minorHAnsi" w:hAnsiTheme="minorHAnsi"/>
      <w:spacing w:val="-2"/>
    </w:rPr>
  </w:style>
  <w:style w:type="paragraph" w:customStyle="1" w:styleId="TOCSubtitlePlain">
    <w:name w:val="TOC Subtitle Plain"/>
    <w:basedOn w:val="Normal"/>
    <w:next w:val="Normal"/>
    <w:uiPriority w:val="99"/>
    <w:semiHidden/>
    <w:rsid w:val="00AF44B6"/>
    <w:pPr>
      <w:tabs>
        <w:tab w:val="center" w:pos="9270"/>
      </w:tabs>
    </w:pPr>
    <w:rPr>
      <w:spacing w:val="-2"/>
    </w:rPr>
  </w:style>
  <w:style w:type="paragraph" w:customStyle="1" w:styleId="TOCTitle">
    <w:name w:val="TOC Title"/>
    <w:basedOn w:val="Normal"/>
    <w:rsid w:val="0053271E"/>
    <w:pPr>
      <w:widowControl w:val="0"/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AppendixHeading1">
    <w:name w:val="Appendix Heading 1"/>
    <w:basedOn w:val="Heading2"/>
    <w:next w:val="Normal"/>
    <w:rsid w:val="00AC5267"/>
  </w:style>
  <w:style w:type="paragraph" w:customStyle="1" w:styleId="AppendixParaNum">
    <w:name w:val="Appendix ParaNum"/>
    <w:basedOn w:val="ParaNum"/>
    <w:rsid w:val="001B7815"/>
    <w:pPr>
      <w:widowControl w:val="0"/>
      <w:numPr>
        <w:ilvl w:val="6"/>
        <w:numId w:val="18"/>
      </w:numPr>
    </w:pPr>
  </w:style>
  <w:style w:type="paragraph" w:customStyle="1" w:styleId="ParaNumBullet2">
    <w:name w:val="ParaNum Bullet 2"/>
    <w:basedOn w:val="ParaNumBullet"/>
    <w:uiPriority w:val="97"/>
    <w:rsid w:val="00FA73A4"/>
    <w:pPr>
      <w:numPr>
        <w:ilvl w:val="1"/>
      </w:numPr>
      <w:ind w:left="2160"/>
    </w:pPr>
  </w:style>
  <w:style w:type="paragraph" w:customStyle="1" w:styleId="ParaNumBullet3">
    <w:name w:val="ParaNum Bullet 3"/>
    <w:basedOn w:val="ParaNumBullet"/>
    <w:uiPriority w:val="97"/>
    <w:rsid w:val="00FA73A4"/>
    <w:pPr>
      <w:numPr>
        <w:ilvl w:val="2"/>
      </w:numPr>
      <w:ind w:left="2520"/>
    </w:pPr>
  </w:style>
  <w:style w:type="paragraph" w:customStyle="1" w:styleId="ParaNumBullet4">
    <w:name w:val="ParaNum Bullet 4"/>
    <w:basedOn w:val="ParaNumBullet"/>
    <w:uiPriority w:val="97"/>
    <w:rsid w:val="002C2996"/>
    <w:pPr>
      <w:numPr>
        <w:ilvl w:val="3"/>
      </w:numPr>
    </w:pPr>
  </w:style>
  <w:style w:type="paragraph" w:customStyle="1" w:styleId="ParaNumBullet5">
    <w:name w:val="ParaNum Bullet 5"/>
    <w:basedOn w:val="ParaNumBullet4"/>
    <w:uiPriority w:val="97"/>
    <w:rsid w:val="00FA73A4"/>
    <w:pPr>
      <w:numPr>
        <w:ilvl w:val="4"/>
      </w:numPr>
      <w:ind w:left="3240"/>
    </w:pPr>
  </w:style>
  <w:style w:type="paragraph" w:customStyle="1" w:styleId="ParaNumBullet6">
    <w:name w:val="ParaNum Bullet 6"/>
    <w:basedOn w:val="ParaNumBullet5"/>
    <w:uiPriority w:val="97"/>
    <w:rsid w:val="00FA73A4"/>
    <w:pPr>
      <w:numPr>
        <w:ilvl w:val="5"/>
      </w:numPr>
      <w:ind w:left="3600"/>
    </w:pPr>
  </w:style>
  <w:style w:type="paragraph" w:customStyle="1" w:styleId="ParaNumBullet7">
    <w:name w:val="ParaNum Bullet 7"/>
    <w:basedOn w:val="ParaNumBullet6"/>
    <w:uiPriority w:val="97"/>
    <w:rsid w:val="00FA73A4"/>
    <w:pPr>
      <w:numPr>
        <w:ilvl w:val="6"/>
      </w:numPr>
      <w:ind w:left="3960"/>
    </w:pPr>
  </w:style>
  <w:style w:type="paragraph" w:customStyle="1" w:styleId="ParaNumBullet8">
    <w:name w:val="ParaNum Bullet 8"/>
    <w:basedOn w:val="ParaNumBullet7"/>
    <w:uiPriority w:val="97"/>
    <w:rsid w:val="00FA73A4"/>
    <w:pPr>
      <w:numPr>
        <w:ilvl w:val="7"/>
      </w:numPr>
      <w:ind w:left="4320"/>
    </w:pPr>
  </w:style>
  <w:style w:type="paragraph" w:customStyle="1" w:styleId="ParaNumBullet9">
    <w:name w:val="ParaNum Bullet 9"/>
    <w:basedOn w:val="ParaNumBullet"/>
    <w:uiPriority w:val="97"/>
    <w:rsid w:val="00FA73A4"/>
    <w:pPr>
      <w:numPr>
        <w:ilvl w:val="8"/>
      </w:numPr>
      <w:ind w:left="4680"/>
    </w:pPr>
  </w:style>
  <w:style w:type="paragraph" w:customStyle="1" w:styleId="ParaNumLevel2">
    <w:name w:val="ParaNum Level 2"/>
    <w:basedOn w:val="ParaNum"/>
    <w:rsid w:val="002C2996"/>
    <w:pPr>
      <w:numPr>
        <w:ilvl w:val="1"/>
      </w:numPr>
    </w:pPr>
  </w:style>
  <w:style w:type="paragraph" w:customStyle="1" w:styleId="ParaNumLevel3">
    <w:name w:val="ParaNum Level 3"/>
    <w:basedOn w:val="ParaNum"/>
    <w:uiPriority w:val="97"/>
    <w:rsid w:val="002C2996"/>
    <w:pPr>
      <w:numPr>
        <w:ilvl w:val="2"/>
      </w:numPr>
    </w:pPr>
  </w:style>
  <w:style w:type="paragraph" w:customStyle="1" w:styleId="ParaNumLevel4">
    <w:name w:val="ParaNum Level 4"/>
    <w:basedOn w:val="ParaNum"/>
    <w:uiPriority w:val="97"/>
    <w:rsid w:val="00D27F77"/>
    <w:pPr>
      <w:numPr>
        <w:ilvl w:val="3"/>
      </w:numPr>
    </w:pPr>
  </w:style>
  <w:style w:type="paragraph" w:customStyle="1" w:styleId="ParaNumLevel5">
    <w:name w:val="ParaNum Level 5"/>
    <w:basedOn w:val="ParaNum"/>
    <w:uiPriority w:val="97"/>
    <w:rsid w:val="00D27F77"/>
    <w:pPr>
      <w:numPr>
        <w:ilvl w:val="4"/>
      </w:numPr>
    </w:pPr>
  </w:style>
  <w:style w:type="paragraph" w:customStyle="1" w:styleId="ParaNumLevel6">
    <w:name w:val="ParaNum Level 6"/>
    <w:basedOn w:val="ParaNum"/>
    <w:uiPriority w:val="97"/>
    <w:rsid w:val="00D27F77"/>
    <w:pPr>
      <w:numPr>
        <w:ilvl w:val="5"/>
      </w:numPr>
    </w:pPr>
  </w:style>
  <w:style w:type="paragraph" w:customStyle="1" w:styleId="ParaNumLevel7">
    <w:name w:val="ParaNum Level 7"/>
    <w:basedOn w:val="ParaNum"/>
    <w:uiPriority w:val="97"/>
    <w:rsid w:val="00D27F77"/>
    <w:pPr>
      <w:numPr>
        <w:ilvl w:val="6"/>
      </w:numPr>
    </w:pPr>
  </w:style>
  <w:style w:type="paragraph" w:customStyle="1" w:styleId="ParaNumLevel8">
    <w:name w:val="ParaNum Level 8"/>
    <w:basedOn w:val="ParaNum"/>
    <w:uiPriority w:val="97"/>
    <w:rsid w:val="00D27F77"/>
    <w:pPr>
      <w:numPr>
        <w:ilvl w:val="7"/>
      </w:numPr>
    </w:pPr>
  </w:style>
  <w:style w:type="paragraph" w:customStyle="1" w:styleId="ParaNumLevel9">
    <w:name w:val="ParaNum Level 9"/>
    <w:basedOn w:val="ParaNum"/>
    <w:uiPriority w:val="97"/>
    <w:rsid w:val="00D27F77"/>
    <w:pPr>
      <w:numPr>
        <w:ilvl w:val="8"/>
      </w:numPr>
    </w:pPr>
  </w:style>
  <w:style w:type="numbering" w:customStyle="1" w:styleId="PNOrderedList">
    <w:name w:val="PN Ordered List"/>
    <w:uiPriority w:val="99"/>
    <w:rsid w:val="00D27F77"/>
    <w:pPr>
      <w:numPr>
        <w:numId w:val="16"/>
      </w:numPr>
    </w:pPr>
  </w:style>
  <w:style w:type="paragraph" w:customStyle="1" w:styleId="Erratum">
    <w:name w:val="Erratum"/>
    <w:basedOn w:val="TitleCAPSCenteredBold"/>
    <w:next w:val="ErratumReleaseDate"/>
    <w:qFormat/>
    <w:rsid w:val="007921C5"/>
    <w:rPr>
      <w:caps w:val="0"/>
    </w:rPr>
  </w:style>
  <w:style w:type="paragraph" w:customStyle="1" w:styleId="ErratumReleaseDate">
    <w:name w:val="Erratum Release Date"/>
    <w:basedOn w:val="Erratum"/>
    <w:next w:val="NormalIndent"/>
    <w:rsid w:val="00BA148A"/>
    <w:pPr>
      <w:spacing w:after="360"/>
    </w:pPr>
  </w:style>
  <w:style w:type="paragraph" w:customStyle="1" w:styleId="BureauOffice">
    <w:name w:val="Bureau/Office"/>
    <w:basedOn w:val="Normal"/>
    <w:qFormat/>
    <w:rsid w:val="00BA148A"/>
    <w:pPr>
      <w:spacing w:after="360"/>
    </w:pPr>
  </w:style>
  <w:style w:type="paragraph" w:customStyle="1" w:styleId="Header2">
    <w:name w:val="Header2"/>
    <w:basedOn w:val="Header"/>
    <w:qFormat/>
    <w:rsid w:val="00BF7931"/>
    <w:pPr>
      <w:pBdr>
        <w:bottom w:val="single" w:sz="4" w:space="1" w:color="auto"/>
      </w:pBdr>
    </w:pPr>
  </w:style>
  <w:style w:type="paragraph" w:customStyle="1" w:styleId="SubjectMatter-Right">
    <w:name w:val="Subject Matter-Right"/>
    <w:basedOn w:val="Normal"/>
    <w:qFormat/>
    <w:rsid w:val="00C126A4"/>
    <w:pPr>
      <w:spacing w:after="240"/>
      <w:ind w:left="432"/>
    </w:pPr>
  </w:style>
  <w:style w:type="paragraph" w:customStyle="1" w:styleId="SubjectMatter-Left">
    <w:name w:val="Subject Matter-Left"/>
    <w:basedOn w:val="Normal"/>
    <w:qFormat/>
    <w:rsid w:val="00F667F5"/>
    <w:pPr>
      <w:spacing w:after="240"/>
      <w:ind w:right="432"/>
    </w:pPr>
  </w:style>
  <w:style w:type="paragraph" w:customStyle="1" w:styleId="Released">
    <w:name w:val="Released:"/>
    <w:basedOn w:val="Normal"/>
    <w:next w:val="Normal"/>
    <w:autoRedefine/>
    <w:uiPriority w:val="2"/>
    <w:unhideWhenUsed/>
    <w:rsid w:val="008B4AE8"/>
    <w:pPr>
      <w:tabs>
        <w:tab w:val="left" w:pos="720"/>
        <w:tab w:val="right" w:pos="9360"/>
      </w:tabs>
      <w:suppressAutoHyphens/>
      <w:spacing w:after="240"/>
      <w:jc w:val="right"/>
    </w:pPr>
    <w:rPr>
      <w:rFonts w:eastAsiaTheme="minorHAnsi"/>
      <w:b/>
      <w:snapToGrid/>
      <w:spacing w:val="-2"/>
      <w:kern w:val="2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FF214F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FF214F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617E8B"/>
    <w:rPr>
      <w:rFonts w:eastAsia="Times New Roman"/>
      <w:snapToGrid w:val="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