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C5" w:rsidRPr="00EC17A5" w:rsidRDefault="00AD7EC5" w:rsidP="00EC17A5">
      <w:pPr>
        <w:jc w:val="center"/>
        <w:rPr>
          <w:b/>
        </w:rPr>
      </w:pPr>
      <w:bookmarkStart w:id="0" w:name="_GoBack"/>
      <w:bookmarkEnd w:id="0"/>
      <w:r w:rsidRPr="00EC17A5">
        <w:rPr>
          <w:b/>
        </w:rPr>
        <w:t>Before the</w:t>
      </w:r>
    </w:p>
    <w:p w:rsidR="00AD7EC5" w:rsidRDefault="00AD7EC5" w:rsidP="009E24E8">
      <w:pPr>
        <w:pStyle w:val="StyleBoldCentered"/>
      </w:pPr>
      <w:r>
        <w:t>F</w:t>
      </w:r>
      <w:r>
        <w:rPr>
          <w:caps w:val="0"/>
        </w:rPr>
        <w:t>ederal Communications Commission</w:t>
      </w:r>
    </w:p>
    <w:p w:rsidR="00AD7EC5" w:rsidRDefault="00AD7EC5" w:rsidP="00F4246E">
      <w:pPr>
        <w:pStyle w:val="Heading2"/>
      </w:pPr>
      <w:smartTag w:uri="urn:schemas-microsoft-com:office:smarttags" w:element="City">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p>
    <w:p w:rsidR="00AD7EC5" w:rsidRDefault="00AD7EC5" w:rsidP="0070224F"/>
    <w:p w:rsidR="00AD7EC5" w:rsidRDefault="00AD7EC5" w:rsidP="0070224F"/>
    <w:tbl>
      <w:tblPr>
        <w:tblW w:w="0" w:type="auto"/>
        <w:tblLayout w:type="fixed"/>
        <w:tblLook w:val="0000" w:firstRow="0" w:lastRow="0" w:firstColumn="0" w:lastColumn="0" w:noHBand="0" w:noVBand="0"/>
      </w:tblPr>
      <w:tblGrid>
        <w:gridCol w:w="4698"/>
        <w:gridCol w:w="630"/>
        <w:gridCol w:w="4248"/>
      </w:tblGrid>
      <w:tr w:rsidR="00AD7EC5">
        <w:tc>
          <w:tcPr>
            <w:tcW w:w="4698" w:type="dxa"/>
          </w:tcPr>
          <w:p w:rsidR="00AD7EC5" w:rsidRDefault="00AD7EC5">
            <w:pPr>
              <w:tabs>
                <w:tab w:val="center" w:pos="4680"/>
              </w:tabs>
              <w:suppressAutoHyphens/>
              <w:rPr>
                <w:spacing w:val="-2"/>
              </w:rPr>
            </w:pPr>
            <w:r>
              <w:rPr>
                <w:spacing w:val="-2"/>
              </w:rPr>
              <w:t>In the Matter of</w:t>
            </w:r>
          </w:p>
          <w:p w:rsidR="00AD7EC5" w:rsidRDefault="00AD7EC5">
            <w:pPr>
              <w:tabs>
                <w:tab w:val="center" w:pos="4680"/>
              </w:tabs>
              <w:suppressAutoHyphens/>
              <w:rPr>
                <w:spacing w:val="-2"/>
              </w:rPr>
            </w:pPr>
          </w:p>
          <w:p w:rsidR="00AD7EC5" w:rsidRDefault="00AD7EC5" w:rsidP="007115F7">
            <w:pPr>
              <w:tabs>
                <w:tab w:val="center" w:pos="4680"/>
              </w:tabs>
              <w:suppressAutoHyphens/>
              <w:rPr>
                <w:spacing w:val="-2"/>
              </w:rPr>
            </w:pPr>
            <w:r>
              <w:rPr>
                <w:spacing w:val="-2"/>
              </w:rPr>
              <w:t>Preferred Long Distance, Inc.</w:t>
            </w:r>
          </w:p>
          <w:p w:rsidR="00AD7EC5" w:rsidRDefault="00AD7EC5" w:rsidP="007115F7">
            <w:pPr>
              <w:tabs>
                <w:tab w:val="center" w:pos="4680"/>
              </w:tabs>
              <w:suppressAutoHyphens/>
              <w:rPr>
                <w:spacing w:val="-2"/>
              </w:rPr>
            </w:pPr>
          </w:p>
          <w:p w:rsidR="00AD7EC5" w:rsidRPr="007115F7" w:rsidRDefault="00AD7EC5" w:rsidP="007115F7">
            <w:pPr>
              <w:tabs>
                <w:tab w:val="center" w:pos="4680"/>
              </w:tabs>
              <w:suppressAutoHyphens/>
              <w:rPr>
                <w:spacing w:val="-2"/>
              </w:rPr>
            </w:pPr>
            <w:r>
              <w:rPr>
                <w:spacing w:val="-2"/>
              </w:rPr>
              <w:t>Apparent Liability for Forfeiture</w:t>
            </w:r>
          </w:p>
        </w:tc>
        <w:tc>
          <w:tcPr>
            <w:tcW w:w="630" w:type="dxa"/>
          </w:tcPr>
          <w:p w:rsidR="00AD7EC5" w:rsidRDefault="00AD7EC5">
            <w:pPr>
              <w:tabs>
                <w:tab w:val="center" w:pos="4680"/>
              </w:tabs>
              <w:suppressAutoHyphens/>
              <w:rPr>
                <w:b/>
                <w:spacing w:val="-2"/>
              </w:rPr>
            </w:pPr>
            <w:r>
              <w:rPr>
                <w:b/>
                <w:spacing w:val="-2"/>
              </w:rPr>
              <w:t>)</w:t>
            </w:r>
          </w:p>
          <w:p w:rsidR="00AD7EC5" w:rsidRDefault="00AD7EC5">
            <w:pPr>
              <w:tabs>
                <w:tab w:val="center" w:pos="4680"/>
              </w:tabs>
              <w:suppressAutoHyphens/>
              <w:rPr>
                <w:b/>
                <w:spacing w:val="-2"/>
              </w:rPr>
            </w:pPr>
            <w:r>
              <w:rPr>
                <w:b/>
                <w:spacing w:val="-2"/>
              </w:rPr>
              <w:t>)</w:t>
            </w:r>
          </w:p>
          <w:p w:rsidR="00AD7EC5" w:rsidRDefault="00AD7EC5">
            <w:pPr>
              <w:tabs>
                <w:tab w:val="center" w:pos="4680"/>
              </w:tabs>
              <w:suppressAutoHyphens/>
              <w:rPr>
                <w:b/>
                <w:spacing w:val="-2"/>
              </w:rPr>
            </w:pPr>
            <w:r>
              <w:rPr>
                <w:b/>
                <w:spacing w:val="-2"/>
              </w:rPr>
              <w:t>)</w:t>
            </w:r>
          </w:p>
          <w:p w:rsidR="00AD7EC5" w:rsidRDefault="00AD7EC5">
            <w:pPr>
              <w:tabs>
                <w:tab w:val="center" w:pos="4680"/>
              </w:tabs>
              <w:suppressAutoHyphens/>
              <w:rPr>
                <w:b/>
                <w:spacing w:val="-2"/>
              </w:rPr>
            </w:pPr>
            <w:r>
              <w:rPr>
                <w:b/>
                <w:spacing w:val="-2"/>
              </w:rPr>
              <w:t>)</w:t>
            </w:r>
          </w:p>
          <w:p w:rsidR="00AD7EC5" w:rsidRDefault="00AD7EC5">
            <w:pPr>
              <w:tabs>
                <w:tab w:val="center" w:pos="4680"/>
              </w:tabs>
              <w:suppressAutoHyphens/>
              <w:rPr>
                <w:b/>
                <w:spacing w:val="-2"/>
              </w:rPr>
            </w:pPr>
            <w:r>
              <w:rPr>
                <w:b/>
                <w:spacing w:val="-2"/>
              </w:rPr>
              <w:t>)</w:t>
            </w:r>
          </w:p>
          <w:p w:rsidR="00AD7EC5" w:rsidRDefault="00AD7EC5">
            <w:pPr>
              <w:tabs>
                <w:tab w:val="center" w:pos="4680"/>
              </w:tabs>
              <w:suppressAutoHyphens/>
              <w:rPr>
                <w:spacing w:val="-2"/>
              </w:rPr>
            </w:pPr>
          </w:p>
        </w:tc>
        <w:tc>
          <w:tcPr>
            <w:tcW w:w="4248" w:type="dxa"/>
          </w:tcPr>
          <w:p w:rsidR="00AD7EC5" w:rsidRDefault="00AD7EC5">
            <w:pPr>
              <w:tabs>
                <w:tab w:val="center" w:pos="4680"/>
              </w:tabs>
              <w:suppressAutoHyphens/>
              <w:rPr>
                <w:spacing w:val="-2"/>
              </w:rPr>
            </w:pPr>
            <w:r>
              <w:rPr>
                <w:spacing w:val="-2"/>
              </w:rPr>
              <w:t>File No.: EB-TCD-12-00003409</w:t>
            </w:r>
          </w:p>
          <w:p w:rsidR="00AD7EC5" w:rsidRDefault="00AD7EC5">
            <w:pPr>
              <w:tabs>
                <w:tab w:val="center" w:pos="4680"/>
              </w:tabs>
              <w:suppressAutoHyphens/>
              <w:rPr>
                <w:spacing w:val="-2"/>
              </w:rPr>
            </w:pPr>
          </w:p>
          <w:p w:rsidR="00AD7EC5" w:rsidRDefault="00B72203">
            <w:pPr>
              <w:tabs>
                <w:tab w:val="center" w:pos="4680"/>
              </w:tabs>
              <w:suppressAutoHyphens/>
              <w:rPr>
                <w:spacing w:val="-2"/>
              </w:rPr>
            </w:pPr>
            <w:r>
              <w:rPr>
                <w:spacing w:val="-2"/>
              </w:rPr>
              <w:t xml:space="preserve">NAL/Acct. No.: </w:t>
            </w:r>
            <w:r w:rsidR="001E251A">
              <w:rPr>
                <w:spacing w:val="-2"/>
              </w:rPr>
              <w:t>201332170008</w:t>
            </w:r>
          </w:p>
          <w:p w:rsidR="00AD7EC5" w:rsidRDefault="00AD7EC5">
            <w:pPr>
              <w:tabs>
                <w:tab w:val="center" w:pos="4680"/>
              </w:tabs>
              <w:suppressAutoHyphens/>
              <w:rPr>
                <w:spacing w:val="-2"/>
              </w:rPr>
            </w:pPr>
          </w:p>
          <w:p w:rsidR="00AD7EC5" w:rsidRDefault="00AD7EC5">
            <w:pPr>
              <w:tabs>
                <w:tab w:val="center" w:pos="4680"/>
              </w:tabs>
              <w:suppressAutoHyphens/>
              <w:rPr>
                <w:spacing w:val="-2"/>
              </w:rPr>
            </w:pPr>
            <w:r>
              <w:rPr>
                <w:spacing w:val="-2"/>
              </w:rPr>
              <w:t>FRN: 0003757473</w:t>
            </w:r>
          </w:p>
          <w:p w:rsidR="00AD7EC5" w:rsidRDefault="00AD7EC5">
            <w:pPr>
              <w:pStyle w:val="TOAHeading"/>
              <w:tabs>
                <w:tab w:val="clear" w:pos="9360"/>
                <w:tab w:val="center" w:pos="4680"/>
              </w:tabs>
              <w:rPr>
                <w:spacing w:val="-2"/>
              </w:rPr>
            </w:pPr>
          </w:p>
          <w:p w:rsidR="00AD7EC5" w:rsidRDefault="00AD7EC5">
            <w:pPr>
              <w:tabs>
                <w:tab w:val="center" w:pos="4680"/>
              </w:tabs>
              <w:suppressAutoHyphens/>
              <w:rPr>
                <w:spacing w:val="-2"/>
              </w:rPr>
            </w:pPr>
          </w:p>
        </w:tc>
      </w:tr>
    </w:tbl>
    <w:p w:rsidR="00AD7EC5" w:rsidRDefault="00AD7EC5" w:rsidP="0070224F"/>
    <w:p w:rsidR="00AD7EC5" w:rsidRDefault="00AD7EC5" w:rsidP="00F021FA">
      <w:pPr>
        <w:pStyle w:val="StyleBoldCentered"/>
      </w:pPr>
      <w:r>
        <w:t>notice of apparent liability for forfeiture</w:t>
      </w:r>
    </w:p>
    <w:p w:rsidR="00AD7EC5" w:rsidRDefault="00AD7EC5">
      <w:pPr>
        <w:tabs>
          <w:tab w:val="left" w:pos="-720"/>
        </w:tabs>
        <w:suppressAutoHyphens/>
        <w:spacing w:line="227" w:lineRule="auto"/>
        <w:rPr>
          <w:spacing w:val="-2"/>
        </w:rPr>
      </w:pPr>
    </w:p>
    <w:p w:rsidR="00AD7EC5" w:rsidRDefault="00AD7EC5">
      <w:pPr>
        <w:tabs>
          <w:tab w:val="left" w:pos="720"/>
          <w:tab w:val="left" w:pos="5760"/>
        </w:tabs>
        <w:suppressAutoHyphens/>
        <w:spacing w:line="227" w:lineRule="auto"/>
        <w:rPr>
          <w:spacing w:val="-2"/>
        </w:rPr>
      </w:pPr>
      <w:r>
        <w:rPr>
          <w:b/>
          <w:spacing w:val="-2"/>
        </w:rPr>
        <w:t xml:space="preserve">Adopted:  </w:t>
      </w:r>
      <w:r w:rsidR="006666C7">
        <w:rPr>
          <w:b/>
          <w:spacing w:val="-2"/>
        </w:rPr>
        <w:t>December 19, 2012</w:t>
      </w:r>
      <w:r>
        <w:rPr>
          <w:b/>
          <w:spacing w:val="-2"/>
        </w:rPr>
        <w:tab/>
      </w:r>
      <w:r w:rsidR="006666C7">
        <w:rPr>
          <w:b/>
          <w:spacing w:val="-2"/>
        </w:rPr>
        <w:t xml:space="preserve">                </w:t>
      </w:r>
      <w:r>
        <w:rPr>
          <w:b/>
          <w:spacing w:val="-2"/>
        </w:rPr>
        <w:t xml:space="preserve">Released:  </w:t>
      </w:r>
      <w:r w:rsidR="006666C7">
        <w:rPr>
          <w:b/>
          <w:spacing w:val="-2"/>
        </w:rPr>
        <w:t>December 20, 2012</w:t>
      </w:r>
    </w:p>
    <w:p w:rsidR="00AD7EC5" w:rsidRDefault="00AD7EC5"/>
    <w:p w:rsidR="00AD7EC5" w:rsidRDefault="00AD7EC5">
      <w:pPr>
        <w:rPr>
          <w:spacing w:val="-2"/>
        </w:rPr>
      </w:pPr>
      <w:r>
        <w:t>By the</w:t>
      </w:r>
      <w:r>
        <w:rPr>
          <w:spacing w:val="-2"/>
        </w:rPr>
        <w:t xml:space="preserve"> Commission:</w:t>
      </w:r>
    </w:p>
    <w:p w:rsidR="00AD7EC5" w:rsidRDefault="00AD7EC5" w:rsidP="00412FC5"/>
    <w:p w:rsidR="00AD7EC5" w:rsidRDefault="00AD7EC5" w:rsidP="00C21488">
      <w:pPr>
        <w:pStyle w:val="Heading1"/>
        <w:spacing w:after="0"/>
      </w:pPr>
      <w:r>
        <w:t>introduction</w:t>
      </w:r>
    </w:p>
    <w:p w:rsidR="00AD7EC5" w:rsidRPr="00C21488" w:rsidRDefault="00AD7EC5" w:rsidP="00C21488">
      <w:pPr>
        <w:pStyle w:val="ParaNum"/>
        <w:numPr>
          <w:ilvl w:val="0"/>
          <w:numId w:val="0"/>
        </w:numPr>
        <w:spacing w:after="0"/>
        <w:ind w:left="720"/>
      </w:pPr>
    </w:p>
    <w:p w:rsidR="00AD7EC5" w:rsidRPr="00420C30" w:rsidRDefault="00AD7EC5" w:rsidP="009708B2">
      <w:pPr>
        <w:pStyle w:val="ParaNum"/>
        <w:widowControl/>
        <w:tabs>
          <w:tab w:val="clear" w:pos="1080"/>
          <w:tab w:val="num" w:pos="1440"/>
        </w:tabs>
      </w:pPr>
      <w:r>
        <w:t>In this Notice of Apparent Liability for Forfeiture (NAL), we find that Preferred Long Distance, Inc. (Preferred or Company)</w:t>
      </w:r>
      <w:r>
        <w:rPr>
          <w:rStyle w:val="FootnoteReference"/>
        </w:rPr>
        <w:footnoteReference w:id="2"/>
      </w:r>
      <w:r>
        <w:t xml:space="preserve"> apparently willfully and repeatedly violated Sections 201(b) and 258 of the Communications Act of 1934, as amended (Communications Act or Act),</w:t>
      </w:r>
      <w:r>
        <w:rPr>
          <w:rStyle w:val="FootnoteReference"/>
        </w:rPr>
        <w:footnoteReference w:id="3"/>
      </w:r>
      <w:r>
        <w:t xml:space="preserve"> and Section 64.1120 of the Commission’s rules.</w:t>
      </w:r>
      <w:r>
        <w:rPr>
          <w:rStyle w:val="FootnoteReference"/>
        </w:rPr>
        <w:footnoteReference w:id="4"/>
      </w:r>
      <w:r>
        <w:t xml:space="preserve">  As discussed in more detail below, we find that Preferred </w:t>
      </w:r>
      <w:r>
        <w:rPr>
          <w:szCs w:val="22"/>
        </w:rPr>
        <w:t xml:space="preserve">has apparently changed the preferred telecommunications </w:t>
      </w:r>
      <w:r w:rsidRPr="00420C30">
        <w:rPr>
          <w:szCs w:val="22"/>
        </w:rPr>
        <w:t xml:space="preserve">service providers of </w:t>
      </w:r>
      <w:r>
        <w:rPr>
          <w:szCs w:val="22"/>
        </w:rPr>
        <w:t>a number of</w:t>
      </w:r>
      <w:r w:rsidRPr="00420C30">
        <w:rPr>
          <w:szCs w:val="22"/>
        </w:rPr>
        <w:t xml:space="preserve"> consumers without their authorization, a practice commonly known as “slamming.”</w:t>
      </w:r>
      <w:r w:rsidRPr="00420C30">
        <w:rPr>
          <w:rStyle w:val="FootnoteReference"/>
          <w:szCs w:val="22"/>
        </w:rPr>
        <w:footnoteReference w:id="5"/>
      </w:r>
      <w:r w:rsidRPr="00420C30">
        <w:t xml:space="preserve">   The conduct here is especially egregious because in 11 of the instances of slamming on which this NAL is based, Preferred appears to have effectuated the carrier change by making misrepresentations to consumers that Preferred’s telemarketer was calling from or on behalf of the consumer’s own carrier.  Based on our review of the facts and circumstances surrounding these apparent violations, we propose a monetary forfeiture of one million four hundred forty thousand dollars ($1,440,000).  </w:t>
      </w:r>
    </w:p>
    <w:p w:rsidR="00AD7EC5" w:rsidRDefault="00AD7EC5" w:rsidP="00C21488">
      <w:pPr>
        <w:pStyle w:val="Heading1"/>
        <w:tabs>
          <w:tab w:val="left" w:pos="720"/>
        </w:tabs>
        <w:spacing w:after="0"/>
      </w:pPr>
      <w:r>
        <w:t>BACKGROUND</w:t>
      </w:r>
    </w:p>
    <w:p w:rsidR="00AD7EC5" w:rsidRPr="00C21488" w:rsidRDefault="00AD7EC5" w:rsidP="00C21488">
      <w:pPr>
        <w:pStyle w:val="ParaNum"/>
        <w:numPr>
          <w:ilvl w:val="0"/>
          <w:numId w:val="0"/>
        </w:numPr>
        <w:spacing w:after="0"/>
        <w:ind w:left="720"/>
      </w:pPr>
    </w:p>
    <w:p w:rsidR="00AD7EC5" w:rsidRDefault="00AD7EC5" w:rsidP="008D63AE">
      <w:pPr>
        <w:pStyle w:val="ParaNum"/>
        <w:widowControl/>
        <w:tabs>
          <w:tab w:val="clear" w:pos="1080"/>
          <w:tab w:val="num" w:pos="1440"/>
        </w:tabs>
      </w:pPr>
      <w:r>
        <w:t xml:space="preserve">Preferred is a non-facilities-based interexchange carrier based in </w:t>
      </w:r>
      <w:smartTag w:uri="urn:schemas-microsoft-com:office:smarttags" w:element="PostalCode">
        <w:smartTag w:uri="urn:schemas-microsoft-com:office:smarttags" w:element="place">
          <w:smartTag w:uri="urn:schemas-microsoft-com:office:smarttags" w:element="City">
            <w:r>
              <w:t>Encino</w:t>
            </w:r>
          </w:smartTag>
        </w:smartTag>
        <w:r>
          <w:t xml:space="preserve">, </w:t>
        </w:r>
        <w:smartTag w:uri="urn:schemas-microsoft-com:office:smarttags" w:element="PostalCode">
          <w:smartTag w:uri="urn:schemas-microsoft-com:office:smarttags" w:element="State">
            <w:r>
              <w:t>California</w:t>
            </w:r>
          </w:smartTag>
        </w:smartTag>
      </w:smartTag>
      <w:r>
        <w:t>.  The Commission has received numerous slamming complaints against Preferred.  Pursuant to standard Commission processes,</w:t>
      </w:r>
      <w:r>
        <w:rPr>
          <w:rStyle w:val="FootnoteReference"/>
        </w:rPr>
        <w:footnoteReference w:id="6"/>
      </w:r>
      <w:r>
        <w:t xml:space="preserve"> the agency’s Consumer &amp; Governmental Affairs Bureau (CGB) served these complaints on Preferred and directed it to respond to the allegations and provide evidence of an authorized change in the subscriber’s selection of a telecommunications service provider.  Recently, CGB issued orders granting consumer complaints against Preferred, finding that the Company failed to provide </w:t>
      </w:r>
      <w:r>
        <w:lastRenderedPageBreak/>
        <w:t>evidence of an authorized carrier change.</w:t>
      </w:r>
      <w:r>
        <w:rPr>
          <w:rStyle w:val="FootnoteReference"/>
        </w:rPr>
        <w:footnoteReference w:id="7"/>
      </w:r>
      <w:r>
        <w:t xml:space="preserve">  The Enforcement Bureau (Bureau) initiated an investigation after reviewing complaints involving Preferred.</w:t>
      </w:r>
      <w:r>
        <w:rPr>
          <w:rStyle w:val="FootnoteReference"/>
        </w:rPr>
        <w:footnoteReference w:id="8"/>
      </w:r>
    </w:p>
    <w:p w:rsidR="00AD7EC5" w:rsidRDefault="00AD7EC5" w:rsidP="00B85381">
      <w:pPr>
        <w:pStyle w:val="Heading1"/>
      </w:pPr>
      <w:r>
        <w:t xml:space="preserve">discussion    </w:t>
      </w:r>
    </w:p>
    <w:p w:rsidR="00AD7EC5" w:rsidRPr="00102E9B" w:rsidRDefault="00AD7EC5" w:rsidP="00102E9B">
      <w:pPr>
        <w:pStyle w:val="Heading3"/>
        <w:numPr>
          <w:ilvl w:val="1"/>
          <w:numId w:val="3"/>
        </w:numPr>
      </w:pPr>
      <w:r>
        <w:t xml:space="preserve">Apparent Violations of Section 201(b)  </w:t>
      </w:r>
    </w:p>
    <w:p w:rsidR="00AD7EC5" w:rsidRDefault="00AD7EC5" w:rsidP="009708B2">
      <w:pPr>
        <w:pStyle w:val="ParaNum"/>
        <w:widowControl/>
        <w:tabs>
          <w:tab w:val="clear" w:pos="1080"/>
          <w:tab w:val="num" w:pos="1440"/>
        </w:tabs>
      </w:pPr>
      <w:r w:rsidRPr="002461F8">
        <w:t xml:space="preserve">Section 201(b) of the Act states, in pertinent part, that “[a]ll charges, practices, classifications, and regulations for and in connection with </w:t>
      </w:r>
      <w:r>
        <w:t xml:space="preserve">[interstate or foreign] </w:t>
      </w:r>
      <w:r w:rsidRPr="002461F8">
        <w:t xml:space="preserve">communication </w:t>
      </w:r>
      <w:r>
        <w:t>service [by wire or radio]</w:t>
      </w:r>
      <w:r w:rsidRPr="002461F8">
        <w:t>, shall be just and reasonable, and any such charge, practice, classification, or regulation that is unjust or unreasonable is declared to be unlawful.”</w:t>
      </w:r>
      <w:r>
        <w:rPr>
          <w:rStyle w:val="FootnoteReference"/>
          <w:color w:val="000000"/>
          <w:szCs w:val="22"/>
        </w:rPr>
        <w:footnoteReference w:id="9"/>
      </w:r>
      <w:r w:rsidRPr="002461F8">
        <w:t xml:space="preserve"> </w:t>
      </w:r>
      <w:r>
        <w:t xml:space="preserve"> The Commission has found that unfair and deceptive marketing practices by interstate common carriers constitute unjust and unreasonable practices under Section 201(b) of the Act.</w:t>
      </w:r>
      <w:r>
        <w:rPr>
          <w:rStyle w:val="FootnoteReference"/>
          <w:color w:val="000000"/>
          <w:szCs w:val="22"/>
        </w:rPr>
        <w:footnoteReference w:id="10"/>
      </w:r>
      <w:r w:rsidRPr="009C5C81">
        <w:rPr>
          <w:color w:val="000000"/>
          <w:szCs w:val="22"/>
        </w:rPr>
        <w:t xml:space="preserve">  In particular, the Commission has found that a carrier violates Section 201(b) </w:t>
      </w:r>
      <w:r>
        <w:rPr>
          <w:color w:val="000000"/>
          <w:szCs w:val="22"/>
        </w:rPr>
        <w:t>by</w:t>
      </w:r>
      <w:r w:rsidRPr="009C5C81">
        <w:rPr>
          <w:color w:val="000000"/>
          <w:szCs w:val="22"/>
        </w:rPr>
        <w:t xml:space="preserve"> effectuat</w:t>
      </w:r>
      <w:r>
        <w:rPr>
          <w:color w:val="000000"/>
          <w:szCs w:val="22"/>
        </w:rPr>
        <w:t>ing</w:t>
      </w:r>
      <w:r w:rsidRPr="009C5C81">
        <w:rPr>
          <w:color w:val="000000"/>
          <w:szCs w:val="22"/>
        </w:rPr>
        <w:t xml:space="preserve"> a change to a consumer’s preferred carrier through deception about its identity, or the nature of its service</w:t>
      </w:r>
      <w:r>
        <w:t>.</w:t>
      </w:r>
      <w:r>
        <w:rPr>
          <w:rStyle w:val="FootnoteReference"/>
        </w:rPr>
        <w:footnoteReference w:id="11"/>
      </w:r>
      <w:r w:rsidRPr="009C5C81">
        <w:rPr>
          <w:color w:val="000000"/>
          <w:szCs w:val="22"/>
        </w:rPr>
        <w:t xml:space="preserve">  </w:t>
      </w:r>
    </w:p>
    <w:p w:rsidR="00AD7EC5" w:rsidRDefault="00AD7EC5" w:rsidP="009C5C81">
      <w:pPr>
        <w:pStyle w:val="ParaNum"/>
        <w:widowControl/>
        <w:tabs>
          <w:tab w:val="clear" w:pos="1080"/>
          <w:tab w:val="num" w:pos="1440"/>
        </w:tabs>
      </w:pPr>
      <w:r>
        <w:t xml:space="preserve">We find that Preferred apparently violated Section 201(b) by engaging in deceptive practices in connection with changes to the preferred carriers </w:t>
      </w:r>
      <w:r w:rsidRPr="00420C30">
        <w:t>of 11 consumers.  Preferred’s telemarketer apparently misrepresented its identity and the nature of the transactions in which it sought to engage 11</w:t>
      </w:r>
      <w:r>
        <w:t xml:space="preserve"> consumers.  The telemarketer claimed to be, or </w:t>
      </w:r>
      <w:r w:rsidR="00D61D2D">
        <w:t xml:space="preserve">be </w:t>
      </w:r>
      <w:r>
        <w:t>affiliated with</w:t>
      </w:r>
      <w:r w:rsidR="004952B9">
        <w:t>,</w:t>
      </w:r>
      <w:r>
        <w:t xml:space="preserve"> the complainant’s current long distance carrier.  We find that these deceptive, fraudulent practices are unjust and unreasonable practices that apparently violate Section 201(b) of the Act. </w:t>
      </w:r>
    </w:p>
    <w:p w:rsidR="00AD7EC5" w:rsidRDefault="00AD7EC5" w:rsidP="005D168C">
      <w:pPr>
        <w:pStyle w:val="ParaNum"/>
        <w:tabs>
          <w:tab w:val="clear" w:pos="1080"/>
          <w:tab w:val="num" w:pos="1440"/>
        </w:tabs>
      </w:pPr>
      <w:r>
        <w:t>In</w:t>
      </w:r>
      <w:r w:rsidRPr="001B2A6A">
        <w:rPr>
          <w:b/>
        </w:rPr>
        <w:t xml:space="preserve"> </w:t>
      </w:r>
      <w:r w:rsidRPr="00420C30">
        <w:t>11</w:t>
      </w:r>
      <w:r>
        <w:t xml:space="preserve"> of the violations on which this NAL is based, the complainants allege that Preferred’s telemarketer claimed to be, or </w:t>
      </w:r>
      <w:r w:rsidR="00D61D2D">
        <w:t xml:space="preserve">be </w:t>
      </w:r>
      <w:r>
        <w:t>affiliated with, the consumer’s current long distance carrier.  For example, Complainant Slotnick observed that “[t]his company stated and reiterated multiple times that they were partnered with AT&amp;T.”</w:t>
      </w:r>
      <w:r>
        <w:rPr>
          <w:rStyle w:val="FootnoteReference"/>
        </w:rPr>
        <w:footnoteReference w:id="12"/>
      </w:r>
      <w:r>
        <w:t xml:space="preserve">  Complainant Russo stated that she “was [c]alled by [Preferred] Long Distance who claimed they were now the authorized billing agent for [AT&amp;T].”</w:t>
      </w:r>
      <w:r>
        <w:rPr>
          <w:rStyle w:val="FootnoteReference"/>
        </w:rPr>
        <w:footnoteReference w:id="13"/>
      </w:r>
      <w:r>
        <w:t xml:space="preserve">  Complainant Tice explained that the Preferred </w:t>
      </w:r>
      <w:r w:rsidRPr="004D51AD">
        <w:t>telemarketer “stated that they were a sub-division of AT&amp;T</w:t>
      </w:r>
      <w:r>
        <w:t>.</w:t>
      </w:r>
      <w:r w:rsidRPr="004D51AD">
        <w:t>”</w:t>
      </w:r>
      <w:r>
        <w:rPr>
          <w:rStyle w:val="FootnoteReference"/>
        </w:rPr>
        <w:footnoteReference w:id="14"/>
      </w:r>
      <w:r w:rsidRPr="004D51AD">
        <w:t xml:space="preserve"> </w:t>
      </w:r>
      <w:r>
        <w:t xml:space="preserve"> The telemarketer told her that “during the verification process the [verifier] would say that [Preferred] is an independent company not affiliated with AT&amp;T . . . . [and] this was true only in the fact that they were separate yet still part of AT&amp;T—a sub-department—and that this was just a technicality required by the FCC.”</w:t>
      </w:r>
      <w:r>
        <w:rPr>
          <w:rStyle w:val="FootnoteReference"/>
        </w:rPr>
        <w:footnoteReference w:id="15"/>
      </w:r>
      <w:r>
        <w:t xml:space="preserve">  Other complainants allege similar instances of misrepresentation.</w:t>
      </w:r>
      <w:r>
        <w:rPr>
          <w:rStyle w:val="FootnoteReference"/>
        </w:rPr>
        <w:footnoteReference w:id="16"/>
      </w:r>
    </w:p>
    <w:p w:rsidR="00AD7EC5" w:rsidRDefault="00AD7EC5" w:rsidP="0028554E">
      <w:pPr>
        <w:pStyle w:val="ParaNum"/>
        <w:tabs>
          <w:tab w:val="clear" w:pos="1080"/>
          <w:tab w:val="num" w:pos="1440"/>
        </w:tabs>
      </w:pPr>
      <w:r w:rsidRPr="002F24C1">
        <w:t>The Commission has ruled that carriers are responsible for the conduct of third parties acting on the carrier’s behalf, including third party marketers.</w:t>
      </w:r>
      <w:r>
        <w:rPr>
          <w:rStyle w:val="FootnoteReference"/>
        </w:rPr>
        <w:footnoteReference w:id="17"/>
      </w:r>
      <w:r>
        <w:t xml:space="preserve">  The Commission has held that l</w:t>
      </w:r>
      <w:r w:rsidRPr="002F24C1">
        <w:t>icensees and other Commission regulatees are responsible for the acts and omissions of their employ</w:t>
      </w:r>
      <w:r>
        <w:t xml:space="preserve">ees and independent contractors, and </w:t>
      </w:r>
      <w:r w:rsidRPr="002F24C1">
        <w:t>consistently refused to excuse licensees from forfeiture penalties where actions of employees or independent contractors have resulted in violations.</w:t>
      </w:r>
      <w:r>
        <w:rPr>
          <w:rStyle w:val="FootnoteReference"/>
        </w:rPr>
        <w:footnoteReference w:id="18"/>
      </w:r>
      <w:r>
        <w:t xml:space="preserve">  Preferred </w:t>
      </w:r>
      <w:r w:rsidRPr="002F24C1">
        <w:t xml:space="preserve">has not provided any evidence that its third party telemarketer was acting outside the scope of its engagement or employment.  Thus, pursuant to Section 217 of the Act, we find the acts of </w:t>
      </w:r>
      <w:r>
        <w:t>Preferred</w:t>
      </w:r>
      <w:r w:rsidRPr="002F24C1">
        <w:t xml:space="preserve">’s third party telemarketer to be the acts of </w:t>
      </w:r>
      <w:r>
        <w:t>Preferred</w:t>
      </w:r>
      <w:r w:rsidRPr="002F24C1">
        <w:t>.</w:t>
      </w:r>
      <w:r>
        <w:t xml:space="preserve"> </w:t>
      </w:r>
    </w:p>
    <w:p w:rsidR="00AD7EC5" w:rsidRDefault="00AD7EC5" w:rsidP="00A546C0">
      <w:pPr>
        <w:pStyle w:val="ParaNum"/>
        <w:widowControl/>
        <w:tabs>
          <w:tab w:val="clear" w:pos="1080"/>
          <w:tab w:val="num" w:pos="1440"/>
        </w:tabs>
      </w:pPr>
      <w:r>
        <w:t xml:space="preserve">Preferred has not produced credible evidence that any of these complainants in fact authorized a change in his or her provider.  Thus, based on the above, we conclude that Preferred apparently violated Section 201(b) of the Act by changing the preferred carriers of </w:t>
      </w:r>
      <w:r w:rsidRPr="00420C30">
        <w:t>11</w:t>
      </w:r>
      <w:r>
        <w:t xml:space="preserve"> complainants identified in the Appendix through making material misrepresentations about Preferred’s identity and/or the purpose of its calls, and therefore without cognizable authorization from such complainants.</w:t>
      </w:r>
    </w:p>
    <w:p w:rsidR="00AD7EC5" w:rsidRPr="00973CC7" w:rsidRDefault="00AD7EC5" w:rsidP="00EB6B75">
      <w:pPr>
        <w:pStyle w:val="ParaNum"/>
        <w:widowControl/>
        <w:numPr>
          <w:ilvl w:val="0"/>
          <w:numId w:val="0"/>
        </w:numPr>
        <w:ind w:left="1440" w:hanging="720"/>
        <w:rPr>
          <w:b/>
        </w:rPr>
      </w:pPr>
      <w:r w:rsidRPr="00973CC7">
        <w:rPr>
          <w:b/>
        </w:rPr>
        <w:t>B.</w:t>
      </w:r>
      <w:r w:rsidRPr="00973CC7">
        <w:rPr>
          <w:b/>
        </w:rPr>
        <w:tab/>
        <w:t>Apparent Violations of Section 258 of the Act and Section 64.1120 of the Commission’s Rules</w:t>
      </w:r>
    </w:p>
    <w:p w:rsidR="00AD7EC5" w:rsidRDefault="00AD7EC5" w:rsidP="00A546C0">
      <w:pPr>
        <w:pStyle w:val="ParaNum"/>
        <w:widowControl/>
        <w:tabs>
          <w:tab w:val="clear" w:pos="1080"/>
          <w:tab w:val="num" w:pos="1440"/>
        </w:tabs>
      </w:pPr>
      <w:r>
        <w:t>In addition to the Section 201(b) violations, we find that Preferred apparently violated Section 258 of the Act and Section 64.1120 of the Commission’s rules.  Section 258 of the Act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Pr>
          <w:rStyle w:val="FootnoteReference"/>
        </w:rPr>
        <w:footnoteReference w:id="19"/>
      </w:r>
      <w:r>
        <w:t xml:space="preserve">  Pursuant to Section 258, the Commission has adopted implementing rules.  Section 64.1120(c) provides that a carrier must verify a change in one of three ways:  (1) obtain the subscriber’s written or electronically signed authorization in a format that meets the requirements of Section 64.1130;</w:t>
      </w:r>
      <w:r>
        <w:rPr>
          <w:rStyle w:val="FootnoteReference"/>
        </w:rPr>
        <w:footnoteReference w:id="20"/>
      </w:r>
      <w:r>
        <w:t xml:space="preserve"> (2) obtain confirmation from the subscriber via a toll-free number provided exclusively for the purpose of confirming orders electronically;</w:t>
      </w:r>
      <w:r>
        <w:rPr>
          <w:rStyle w:val="FootnoteReference"/>
        </w:rPr>
        <w:footnoteReference w:id="21"/>
      </w:r>
      <w:r>
        <w:t xml:space="preserve"> or (3) utilize an independent third party to verify</w:t>
      </w:r>
      <w:r>
        <w:rPr>
          <w:rStyle w:val="FootnoteReference"/>
        </w:rPr>
        <w:footnoteReference w:id="22"/>
      </w:r>
      <w:r>
        <w:t xml:space="preserve"> the subscriber's order in accordance with certain requirements.</w:t>
      </w:r>
      <w:r>
        <w:rPr>
          <w:rStyle w:val="FootnoteReference"/>
        </w:rPr>
        <w:footnoteReference w:id="23"/>
      </w:r>
    </w:p>
    <w:p w:rsidR="00AD7EC5" w:rsidRDefault="00AD7EC5" w:rsidP="00F2233B">
      <w:pPr>
        <w:pStyle w:val="ParaNum"/>
        <w:widowControl/>
        <w:tabs>
          <w:tab w:val="clear" w:pos="1080"/>
          <w:tab w:val="num" w:pos="1440"/>
        </w:tabs>
      </w:pPr>
      <w:r>
        <w:t>Section 64.1120(c)(3) sets forth detailed procedures that carriers who choose to use third party verification must follow.  Among other specific requirements, the carrier’s verifier must confirm “the telephone numbers to be switched,” and must ensure that “any description of interLATA service . . . convey[s] that it encompasses both international and state-to-state calls, as well as some intrastate calls where applicable.”</w:t>
      </w:r>
      <w:r>
        <w:rPr>
          <w:rStyle w:val="FootnoteReference"/>
        </w:rPr>
        <w:footnoteReference w:id="24"/>
      </w:r>
      <w:r>
        <w:t xml:space="preserve">  The requirements were adopted to ensure that consumers understand precisely the service changes they are approving and to increase consumer confidence, decrease the administrative costs for carriers, and alleviate the enforcement burden on the Commission.</w:t>
      </w:r>
      <w:r>
        <w:rPr>
          <w:rStyle w:val="FootnoteReference"/>
        </w:rPr>
        <w:footnoteReference w:id="25"/>
      </w:r>
      <w:r>
        <w:t xml:space="preserve">   </w:t>
      </w:r>
    </w:p>
    <w:p w:rsidR="00AD7EC5" w:rsidRDefault="00AD7EC5" w:rsidP="003304B3">
      <w:pPr>
        <w:pStyle w:val="ParaNum"/>
        <w:widowControl/>
        <w:tabs>
          <w:tab w:val="clear" w:pos="1080"/>
          <w:tab w:val="num" w:pos="1440"/>
        </w:tabs>
      </w:pPr>
      <w:r>
        <w:t xml:space="preserve">We have reviewed the TPV recordings for </w:t>
      </w:r>
      <w:r w:rsidRPr="00420C30">
        <w:t>14</w:t>
      </w:r>
      <w:r>
        <w:t xml:space="preserve"> changes that Preferred provided, and find that they do not satisfy the requirements of the rule.  </w:t>
      </w:r>
      <w:r w:rsidRPr="003304B3">
        <w:rPr>
          <w:szCs w:val="22"/>
        </w:rPr>
        <w:t xml:space="preserve">For example, </w:t>
      </w:r>
      <w:r>
        <w:rPr>
          <w:szCs w:val="22"/>
        </w:rPr>
        <w:t>Complainant Russo’s</w:t>
      </w:r>
      <w:r w:rsidRPr="003304B3">
        <w:rPr>
          <w:szCs w:val="22"/>
        </w:rPr>
        <w:t xml:space="preserve"> TPV failed to obtain separate authorizations for </w:t>
      </w:r>
      <w:r>
        <w:rPr>
          <w:szCs w:val="22"/>
        </w:rPr>
        <w:t>each service sold</w:t>
      </w:r>
      <w:r w:rsidRPr="003304B3">
        <w:rPr>
          <w:szCs w:val="22"/>
        </w:rPr>
        <w:t>;</w:t>
      </w:r>
      <w:r w:rsidRPr="003304B3">
        <w:rPr>
          <w:rStyle w:val="FootnoteReference"/>
          <w:szCs w:val="22"/>
        </w:rPr>
        <w:footnoteReference w:id="26"/>
      </w:r>
      <w:r w:rsidRPr="003304B3">
        <w:rPr>
          <w:szCs w:val="22"/>
        </w:rPr>
        <w:t xml:space="preserve"> </w:t>
      </w:r>
      <w:r>
        <w:rPr>
          <w:szCs w:val="22"/>
        </w:rPr>
        <w:t>Complainant Williams’ TPV included only the call-back portion of the recording, but failed to include any form of verification of the switch;</w:t>
      </w:r>
      <w:r>
        <w:rPr>
          <w:rStyle w:val="FootnoteReference"/>
          <w:szCs w:val="22"/>
        </w:rPr>
        <w:footnoteReference w:id="27"/>
      </w:r>
      <w:r>
        <w:rPr>
          <w:szCs w:val="22"/>
        </w:rPr>
        <w:t xml:space="preserve"> and </w:t>
      </w:r>
      <w:r w:rsidRPr="00420C30">
        <w:rPr>
          <w:szCs w:val="22"/>
        </w:rPr>
        <w:t>13</w:t>
      </w:r>
      <w:r w:rsidRPr="00285AD4">
        <w:rPr>
          <w:b/>
          <w:szCs w:val="22"/>
        </w:rPr>
        <w:t xml:space="preserve"> </w:t>
      </w:r>
      <w:r w:rsidRPr="003304B3">
        <w:rPr>
          <w:szCs w:val="22"/>
        </w:rPr>
        <w:t>TPVs failed to conf</w:t>
      </w:r>
      <w:r>
        <w:rPr>
          <w:szCs w:val="22"/>
        </w:rPr>
        <w:t>irm the telephone numbers to be switched.</w:t>
      </w:r>
      <w:r w:rsidRPr="003304B3">
        <w:rPr>
          <w:rStyle w:val="FootnoteReference"/>
          <w:szCs w:val="22"/>
        </w:rPr>
        <w:footnoteReference w:id="28"/>
      </w:r>
      <w:r w:rsidRPr="003304B3">
        <w:rPr>
          <w:szCs w:val="22"/>
        </w:rPr>
        <w:t xml:space="preserve"> </w:t>
      </w:r>
      <w:r>
        <w:rPr>
          <w:szCs w:val="22"/>
        </w:rPr>
        <w:t xml:space="preserve"> Our rules require that the TPV specifically elicit the “telephone numbers to be switched,” rather than merely verifying numbers associated with a business or residence, or for what purpose the numbers are used.</w:t>
      </w:r>
      <w:r>
        <w:rPr>
          <w:rStyle w:val="FootnoteReference"/>
          <w:szCs w:val="22"/>
        </w:rPr>
        <w:footnoteReference w:id="29"/>
      </w:r>
      <w:r>
        <w:rPr>
          <w:szCs w:val="22"/>
        </w:rPr>
        <w:t xml:space="preserve">  </w:t>
      </w:r>
      <w:r w:rsidRPr="003304B3">
        <w:t>Thus, the</w:t>
      </w:r>
      <w:r>
        <w:t>se</w:t>
      </w:r>
      <w:r w:rsidRPr="003304B3">
        <w:t xml:space="preserve"> verifications failed to comply with Section 64.11</w:t>
      </w:r>
      <w:r w:rsidR="00522B7D">
        <w:t>2</w:t>
      </w:r>
      <w:r w:rsidRPr="003304B3">
        <w:t>0 of our rules.</w:t>
      </w:r>
      <w:r w:rsidRPr="003304B3">
        <w:rPr>
          <w:rStyle w:val="FootnoteReference"/>
        </w:rPr>
        <w:footnoteReference w:id="30"/>
      </w:r>
      <w:r w:rsidRPr="005C5600">
        <w:rPr>
          <w:szCs w:val="22"/>
        </w:rPr>
        <w:t xml:space="preserve"> </w:t>
      </w:r>
      <w:r>
        <w:rPr>
          <w:szCs w:val="22"/>
        </w:rPr>
        <w:t xml:space="preserve"> </w:t>
      </w:r>
      <w:r>
        <w:t>We find that especially where consumers contend that they did not intend to change carriers at all, and that Preferred in fact misled them, enforcement of these rules is crucial to protect consumers.</w:t>
      </w:r>
      <w:r>
        <w:rPr>
          <w:rStyle w:val="FootnoteReference"/>
        </w:rPr>
        <w:footnoteReference w:id="31"/>
      </w:r>
      <w:r>
        <w:t xml:space="preserve">  </w:t>
      </w:r>
    </w:p>
    <w:p w:rsidR="00AD7EC5" w:rsidRDefault="00AD7EC5" w:rsidP="003304B3">
      <w:pPr>
        <w:pStyle w:val="ParaNum"/>
        <w:widowControl/>
        <w:tabs>
          <w:tab w:val="clear" w:pos="1080"/>
          <w:tab w:val="num" w:pos="1440"/>
        </w:tabs>
      </w:pPr>
      <w:r>
        <w:t xml:space="preserve">We also note that one of the complainants also contends that the person with whom Preferred’s telemarketer spoke specifically stated that he did </w:t>
      </w:r>
      <w:r w:rsidRPr="00B04A03">
        <w:rPr>
          <w:i/>
        </w:rPr>
        <w:t>not</w:t>
      </w:r>
      <w:r>
        <w:t xml:space="preserve"> have authority to change the company’s long distance carrier.  Complainant Littleton stated that “[i]n January of 2012 this company called.  They were told that the person answering the phone was not authorized to make changes as the owner was out of town.”</w:t>
      </w:r>
      <w:r>
        <w:rPr>
          <w:rStyle w:val="FootnoteReference"/>
        </w:rPr>
        <w:footnoteReference w:id="32"/>
      </w:r>
      <w:r>
        <w:t xml:space="preserve">  Preferred’s response to this allegation w</w:t>
      </w:r>
      <w:r w:rsidR="00D61D2D">
        <w:t>as</w:t>
      </w:r>
      <w:r>
        <w:t xml:space="preserve"> nonsensical, asserting that if the consumer “lied by saying she has the authority then she committed fraud on our company.”</w:t>
      </w:r>
      <w:r>
        <w:rPr>
          <w:rStyle w:val="FootnoteReference"/>
        </w:rPr>
        <w:footnoteReference w:id="33"/>
      </w:r>
      <w:r w:rsidRPr="00E6158F">
        <w:t xml:space="preserve">  </w:t>
      </w:r>
    </w:p>
    <w:p w:rsidR="00AD7EC5" w:rsidRPr="003304B3" w:rsidRDefault="00AD7EC5" w:rsidP="003304B3">
      <w:pPr>
        <w:pStyle w:val="ParaNum"/>
        <w:widowControl/>
        <w:tabs>
          <w:tab w:val="clear" w:pos="1080"/>
          <w:tab w:val="num" w:pos="1440"/>
        </w:tabs>
      </w:pPr>
      <w:r>
        <w:t xml:space="preserve">We conclude that Preferred apparently violated Section 258(a) of the Act and Section 64.1120(c)(3) of the Commission’s rules by failing to follow all of the Commission’s third party verification requirements with respect to all </w:t>
      </w:r>
      <w:r w:rsidRPr="00294B4C">
        <w:t>14</w:t>
      </w:r>
      <w:r>
        <w:t xml:space="preserve"> complainants.</w:t>
      </w:r>
      <w:r>
        <w:rPr>
          <w:rStyle w:val="FootnoteReference"/>
        </w:rPr>
        <w:footnoteReference w:id="34"/>
      </w:r>
    </w:p>
    <w:p w:rsidR="00AD7EC5" w:rsidRDefault="00AD7EC5" w:rsidP="005F62B5">
      <w:pPr>
        <w:pStyle w:val="Heading1"/>
        <w:widowControl/>
      </w:pPr>
      <w:r>
        <w:t>proposed ForfEIture</w:t>
      </w:r>
    </w:p>
    <w:p w:rsidR="00AD7EC5" w:rsidRDefault="00AD7EC5" w:rsidP="00D20791">
      <w:pPr>
        <w:pStyle w:val="ParaNum"/>
        <w:widowControl/>
        <w:tabs>
          <w:tab w:val="clear" w:pos="1080"/>
          <w:tab w:val="left" w:pos="720"/>
          <w:tab w:val="num" w:pos="1440"/>
        </w:tabs>
      </w:pPr>
      <w:r>
        <w:t>Section</w:t>
      </w:r>
      <w:r w:rsidRPr="002461F8">
        <w:t xml:space="preserve"> 503(b)(1) of the</w:t>
      </w:r>
      <w:r>
        <w:t xml:space="preserve"> Act states that any person who</w:t>
      </w:r>
      <w:r w:rsidRPr="002461F8">
        <w:t xml:space="preserve"> willfully or repeatedly fails to comply with any provision of the Act or any rule, regulation, or order issued by the Commission, shall be liable to the </w:t>
      </w:r>
      <w:r>
        <w:t>United</w:t>
      </w:r>
      <w:r w:rsidRPr="002461F8">
        <w:t xml:space="preserve"> States for a forfeiture penalty.</w:t>
      </w:r>
      <w:r>
        <w:rPr>
          <w:rStyle w:val="FootnoteReference"/>
          <w:color w:val="000000"/>
          <w:szCs w:val="22"/>
        </w:rPr>
        <w:footnoteReference w:id="35"/>
      </w:r>
      <w:r w:rsidRPr="002461F8">
        <w:t xml:space="preserve"> </w:t>
      </w:r>
      <w:r>
        <w:t xml:space="preserve"> Section 503(b)(2)(B) of the Act empowers the Commission to assess a forfeiture of up to $150,000 for each willful or repeated violation of the Act or of any rule, regulation, or order issued by the Commission under the Act.</w:t>
      </w:r>
      <w:r>
        <w:rPr>
          <w:rStyle w:val="FootnoteReference"/>
          <w:color w:val="000000"/>
          <w:szCs w:val="22"/>
        </w:rPr>
        <w:footnoteReference w:id="36"/>
      </w:r>
      <w:r>
        <w:t xml:space="preserve">  For a violation to be willful, it need not be intentional.</w:t>
      </w:r>
      <w:r>
        <w:rPr>
          <w:rStyle w:val="FootnoteReference"/>
        </w:rPr>
        <w:footnoteReference w:id="37"/>
      </w:r>
      <w:r>
        <w:t xml:space="preserve">  In exercising our forfeiture authority, we are required to take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38"/>
      </w:r>
      <w:r>
        <w:t xml:space="preserve">  In addition, the Commission has established forfeiture guidelines, which set forth base penalties for certain violations, and identify criteria that we consider in exercising our discretion to adjust the base upward or downward.</w:t>
      </w:r>
      <w:r>
        <w:rPr>
          <w:rStyle w:val="FootnoteReference"/>
        </w:rPr>
        <w:footnoteReference w:id="39"/>
      </w:r>
      <w:r>
        <w:t xml:space="preserve">  Pursuant to the guidelines, we may adjust a forfeiture upward for violations that are egregious, intentional, or repeated, or that cause substantial harm or generate substantial economic gain for the violator.</w:t>
      </w:r>
      <w:r>
        <w:rPr>
          <w:rStyle w:val="FootnoteReference"/>
        </w:rPr>
        <w:footnoteReference w:id="40"/>
      </w:r>
      <w:r>
        <w:t xml:space="preserve"> </w:t>
      </w:r>
    </w:p>
    <w:p w:rsidR="00AD7EC5" w:rsidRDefault="00AD7EC5" w:rsidP="00D20791">
      <w:pPr>
        <w:pStyle w:val="ParaNum"/>
        <w:widowControl/>
        <w:tabs>
          <w:tab w:val="clear" w:pos="1080"/>
          <w:tab w:val="left" w:pos="720"/>
          <w:tab w:val="num" w:pos="1440"/>
        </w:tabs>
      </w:pPr>
      <w:r>
        <w:t>The Commission’s forfeiture guidelines currently establish a base forfeiture amount of $40,000 for violations of our slamming rules and orders.</w:t>
      </w:r>
      <w:r>
        <w:rPr>
          <w:rStyle w:val="FootnoteReference"/>
        </w:rPr>
        <w:footnoteReference w:id="41"/>
      </w:r>
      <w:r>
        <w:t xml:space="preserve">  In prior enforcement actions, the Commission has warned carriers that misrepresentations such as the ones in the instant case are serious and that future violations may receive significant upward adjustments.  For example, most recently, in the </w:t>
      </w:r>
      <w:r w:rsidRPr="002E633C">
        <w:rPr>
          <w:i/>
        </w:rPr>
        <w:t>Silv NAL</w:t>
      </w:r>
      <w:r>
        <w:t>, the Commission stated that “[c]arriers should be on notice that the Commission considers violations such as the ones discussed herein to be serious and that future violations may receive significant upward adjustments.”</w:t>
      </w:r>
      <w:r>
        <w:rPr>
          <w:rStyle w:val="FootnoteReference"/>
        </w:rPr>
        <w:footnoteReference w:id="42"/>
      </w:r>
      <w:r>
        <w:t xml:space="preserve">  The Commission must take swift and decisive enforcement action, including the imposition of substantial monetary forfeitures, against Preferred and any other carrier found to have engaged in misrepresentations to consumers.  </w:t>
      </w:r>
    </w:p>
    <w:p w:rsidR="00AD7EC5" w:rsidRDefault="00AD7EC5" w:rsidP="009C4BEE">
      <w:pPr>
        <w:pStyle w:val="ParaNum"/>
        <w:widowControl/>
        <w:tabs>
          <w:tab w:val="clear" w:pos="1080"/>
          <w:tab w:val="left" w:pos="720"/>
          <w:tab w:val="num" w:pos="1440"/>
        </w:tabs>
      </w:pPr>
      <w:r>
        <w:t xml:space="preserve">Applying the $40,000 base forfeiture to each of </w:t>
      </w:r>
      <w:r w:rsidRPr="00420C30">
        <w:t>the 14 apparent slamming violations upon which this NAL is based would result in a forfeiture of $560,000.  In this case, however, Preferred’s conduct was particularly egregious, as demonstrated by our conclusion that the company also violated Section 201(b) of the Act in 11 of the 14 cases at issue by misleading</w:t>
      </w:r>
      <w:r>
        <w:t xml:space="preserve"> consumers into believing that Preferred was calling on behalf of their current carrier.  We therefore find that a significant upward adjustment is appropriate here.</w:t>
      </w:r>
      <w:r>
        <w:rPr>
          <w:rStyle w:val="FootnoteReference"/>
        </w:rPr>
        <w:footnoteReference w:id="43"/>
      </w:r>
      <w:r>
        <w:t xml:space="preserve">  In light of Preferred’s repeated egregious conduct, and given that we specifically addressed in the </w:t>
      </w:r>
      <w:r w:rsidRPr="00AB3F17">
        <w:rPr>
          <w:i/>
        </w:rPr>
        <w:t>Silv NAL</w:t>
      </w:r>
      <w:r>
        <w:t xml:space="preserve"> two years ago the very kind of misrepresentation at issue here, </w:t>
      </w:r>
      <w:r w:rsidRPr="00D91A7E">
        <w:t>we</w:t>
      </w:r>
      <w:r>
        <w:t xml:space="preserve"> propose to triple the base forfeiture of $40,000 for each of </w:t>
      </w:r>
      <w:r w:rsidRPr="00420C30">
        <w:t>the 11 apparent egregious violations at issue in this NAL—the unauthorized changes involving misrepresentations—making the penalty for each such violation $120,000.  We recognize that this adjustment is greater than that the Commission has imposed in other cases involving similar conduct, but we find that an overall penalty of this magnitude is appropriate given our prior warnings, and the apparently egregious and repeated violations at issue here.  Thus, the total forfeiture we propose for Preferred’s conduct is $1,440,000</w:t>
      </w:r>
      <w:r>
        <w:t>.</w:t>
      </w:r>
      <w:r>
        <w:rPr>
          <w:rStyle w:val="FootnoteReference"/>
        </w:rPr>
        <w:footnoteReference w:id="44"/>
      </w:r>
      <w:r>
        <w:t xml:space="preserve">  </w:t>
      </w:r>
    </w:p>
    <w:p w:rsidR="00AD7EC5" w:rsidRDefault="00AD7EC5" w:rsidP="009C4BEE">
      <w:pPr>
        <w:pStyle w:val="Heading1"/>
      </w:pPr>
      <w:r>
        <w:t>conclusion</w:t>
      </w:r>
    </w:p>
    <w:p w:rsidR="00AD7EC5" w:rsidRDefault="00AD7EC5" w:rsidP="00D20791">
      <w:pPr>
        <w:pStyle w:val="ParaNum"/>
        <w:widowControl/>
        <w:tabs>
          <w:tab w:val="clear" w:pos="1080"/>
          <w:tab w:val="left" w:pos="720"/>
          <w:tab w:val="num" w:pos="1440"/>
        </w:tabs>
      </w:pPr>
      <w:r>
        <w:t>Based on the facts and record before us, we have determined that Preferred Long Distance, Inc. has apparently willfully and repeatedly violated Sections 201(b) and 258 of the Communications Act and Section 64.1120 of the Commission’s rules.</w:t>
      </w:r>
    </w:p>
    <w:p w:rsidR="00AD7EC5" w:rsidRDefault="00AD7EC5" w:rsidP="001513D7">
      <w:pPr>
        <w:pStyle w:val="Heading1"/>
        <w:widowControl/>
      </w:pPr>
      <w:r>
        <w:t>ORDERING CLAUSES</w:t>
      </w:r>
    </w:p>
    <w:p w:rsidR="00AD7EC5" w:rsidRDefault="00AD7EC5" w:rsidP="00D20791">
      <w:pPr>
        <w:pStyle w:val="ParaNum"/>
        <w:widowControl/>
        <w:tabs>
          <w:tab w:val="clear" w:pos="1080"/>
          <w:tab w:val="left" w:pos="720"/>
          <w:tab w:val="num" w:pos="1440"/>
        </w:tabs>
      </w:pPr>
      <w:r>
        <w:t xml:space="preserve">Accordingly, </w:t>
      </w:r>
      <w:r w:rsidRPr="00FE2928">
        <w:rPr>
          <w:b/>
        </w:rPr>
        <w:t>IT IS ORDERED</w:t>
      </w:r>
      <w:r>
        <w:t xml:space="preserve">, pursuant to Section 503(b) of the Communications Act of 1934, as amended, 47 U.S.C. § 503(b), and Section 1.80 of the Commission’s rules, 47 C.F.R. § 1.80, that Preferred Long Distance, Inc. is </w:t>
      </w:r>
      <w:r w:rsidRPr="00B049B7">
        <w:t>hereby</w:t>
      </w:r>
      <w:r w:rsidRPr="00FE2928">
        <w:rPr>
          <w:b/>
        </w:rPr>
        <w:t xml:space="preserve"> NOTIFIED</w:t>
      </w:r>
      <w:r>
        <w:t xml:space="preserve"> of this </w:t>
      </w:r>
      <w:r w:rsidRPr="0069112C">
        <w:rPr>
          <w:b/>
        </w:rPr>
        <w:t>APPARENT LIABILITY FOR FORFEITURE</w:t>
      </w:r>
      <w:r>
        <w:t xml:space="preserve"> in the amount of one million four hundred forty thousand dollars </w:t>
      </w:r>
      <w:r w:rsidRPr="00420C30">
        <w:t>($1,440,000)</w:t>
      </w:r>
      <w:r>
        <w:rPr>
          <w:b/>
        </w:rPr>
        <w:t xml:space="preserve"> </w:t>
      </w:r>
      <w:r>
        <w:t>for willful and repeated violations of Sections 201(b) and 258 of the Act, 47 U.S.C. §§ 201(b), 258, and Section 64.1120 of the Commission’s rules, 47 C.F.R. § 64.1120.</w:t>
      </w:r>
    </w:p>
    <w:p w:rsidR="00AD7EC5" w:rsidRDefault="00AD7EC5" w:rsidP="00D20791">
      <w:pPr>
        <w:pStyle w:val="ParaNum"/>
        <w:widowControl/>
        <w:tabs>
          <w:tab w:val="clear" w:pos="1080"/>
          <w:tab w:val="left" w:pos="720"/>
          <w:tab w:val="num" w:pos="1440"/>
        </w:tabs>
      </w:pPr>
      <w:r w:rsidRPr="00FE2928">
        <w:rPr>
          <w:b/>
        </w:rPr>
        <w:t>IT IS FURTHER ORDERED THAT</w:t>
      </w:r>
      <w:r>
        <w:t>, pursuant to Section 1.80 of the Commission’s rules,</w:t>
      </w:r>
      <w:r>
        <w:rPr>
          <w:rStyle w:val="FootnoteReference"/>
          <w:spacing w:val="-2"/>
        </w:rPr>
        <w:footnoteReference w:id="45"/>
      </w:r>
      <w:r>
        <w:t xml:space="preserve"> within thirty (30) calendar days of the release date of </w:t>
      </w:r>
      <w:r w:rsidRPr="007C03B9">
        <w:t>this Notice of Apparent Liability for Forfeiture</w:t>
      </w:r>
      <w:r>
        <w:t xml:space="preserve">, Preferred Long Distance, Inc. </w:t>
      </w:r>
      <w:r w:rsidRPr="00343B0C">
        <w:rPr>
          <w:b/>
        </w:rPr>
        <w:t>SHALL PAY</w:t>
      </w:r>
      <w:r>
        <w:t xml:space="preserve"> the full amount of the proposed forfeiture or </w:t>
      </w:r>
      <w:r w:rsidRPr="00FE2928">
        <w:rPr>
          <w:b/>
        </w:rPr>
        <w:t>SHALL FILE</w:t>
      </w:r>
      <w:r>
        <w:t xml:space="preserve"> a written statement seeking reduction or cancellation of the proposed forfeiture.</w:t>
      </w:r>
    </w:p>
    <w:p w:rsidR="00AD7EC5" w:rsidRPr="00626BA2" w:rsidRDefault="00AD7EC5" w:rsidP="00D20791">
      <w:pPr>
        <w:pStyle w:val="ParaNum"/>
        <w:widowControl/>
        <w:tabs>
          <w:tab w:val="clear" w:pos="1080"/>
          <w:tab w:val="left" w:pos="720"/>
          <w:tab w:val="num" w:pos="1440"/>
        </w:tabs>
        <w:rPr>
          <w:rFonts w:eastAsia="MS Mincho" w:cs="Arial"/>
        </w:rPr>
      </w:pPr>
      <w:r>
        <w:rPr>
          <w:rFonts w:eastAsia="MS Mincho" w:cs="Arial"/>
        </w:rPr>
        <w:t>P</w:t>
      </w:r>
      <w:r w:rsidRPr="00626BA2">
        <w:rPr>
          <w:rFonts w:eastAsia="MS Mincho" w:cs="Arial"/>
        </w:rPr>
        <w:t xml:space="preserve">ayment </w:t>
      </w:r>
      <w:r>
        <w:rPr>
          <w:rFonts w:eastAsia="MS Mincho" w:cs="Arial"/>
        </w:rPr>
        <w:t xml:space="preserve">of the forfeiture </w:t>
      </w:r>
      <w:r w:rsidRPr="00626BA2">
        <w:rPr>
          <w:rFonts w:eastAsia="MS Mincho" w:cs="Arial"/>
        </w:rPr>
        <w:t>must be made by check or similar instrument, wire transfer, or credit card, and must include the NAL/Account number and FRN referenced above.</w:t>
      </w:r>
      <w:r>
        <w:rPr>
          <w:rFonts w:eastAsia="MS Mincho" w:cs="Arial"/>
        </w:rPr>
        <w:t xml:space="preserve">  </w:t>
      </w:r>
      <w:r>
        <w:rPr>
          <w:rFonts w:eastAsia="MS Mincho"/>
        </w:rPr>
        <w:t>Preferred Long Distance, Inc.</w:t>
      </w:r>
      <w:r w:rsidRPr="00D72D84">
        <w:rPr>
          <w:rFonts w:eastAsia="MS Mincho"/>
        </w:rPr>
        <w:t xml:space="preserve"> shall send electronic notification </w:t>
      </w:r>
      <w:r>
        <w:rPr>
          <w:rFonts w:eastAsia="MS Mincho"/>
        </w:rPr>
        <w:t xml:space="preserve">of payment </w:t>
      </w:r>
      <w:r w:rsidRPr="00D72D84">
        <w:rPr>
          <w:rFonts w:eastAsia="MS Mincho"/>
        </w:rPr>
        <w:t xml:space="preserve">to </w:t>
      </w:r>
      <w:r>
        <w:rPr>
          <w:rFonts w:eastAsia="MS Mincho"/>
        </w:rPr>
        <w:t xml:space="preserve">Johnny Drake at johnny.drake@fcc.gov </w:t>
      </w:r>
      <w:r w:rsidRPr="00D72D84">
        <w:rPr>
          <w:rFonts w:eastAsia="MS Mincho"/>
        </w:rPr>
        <w:t>on the date said payment is made.</w:t>
      </w:r>
      <w:r>
        <w:rPr>
          <w:rFonts w:eastAsia="MS Mincho"/>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46"/>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Below are additional instructions you should follow based on the form of payment you select:</w:t>
      </w:r>
    </w:p>
    <w:p w:rsidR="00AD7EC5" w:rsidRPr="00626BA2" w:rsidRDefault="00AD7EC5" w:rsidP="006620B1">
      <w:pPr>
        <w:pStyle w:val="ParaNum"/>
        <w:numPr>
          <w:ilvl w:val="0"/>
          <w:numId w:val="13"/>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w:t>
      </w:r>
      <w:r>
        <w:rPr>
          <w:rFonts w:eastAsia="MS Mincho"/>
        </w:rPr>
        <w:t>via overnight mail to US Bank—</w:t>
      </w:r>
      <w:r w:rsidRPr="00626BA2">
        <w:rPr>
          <w:rFonts w:eastAsia="MS Mincho"/>
        </w:rPr>
        <w:t xml:space="preserve">Government Lockbox #979088, SL-MO-C2-GL, 1005 Convention Plaza, St. Louis, MO 63101.  </w:t>
      </w:r>
    </w:p>
    <w:p w:rsidR="00AD7EC5" w:rsidRPr="00626BA2" w:rsidRDefault="00AD7EC5" w:rsidP="006620B1">
      <w:pPr>
        <w:pStyle w:val="ParaNum"/>
        <w:numPr>
          <w:ilvl w:val="0"/>
          <w:numId w:val="13"/>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AD7EC5" w:rsidRPr="00626BA2" w:rsidRDefault="00AD7EC5" w:rsidP="006620B1">
      <w:pPr>
        <w:pStyle w:val="ParaNum"/>
        <w:numPr>
          <w:ilvl w:val="0"/>
          <w:numId w:val="13"/>
        </w:numPr>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 xml:space="preserve">sent </w:t>
      </w:r>
      <w:r>
        <w:rPr>
          <w:rFonts w:eastAsia="MS Mincho"/>
        </w:rPr>
        <w:t>via overnight mail to U.S. Bank—G</w:t>
      </w:r>
      <w:r w:rsidRPr="00626BA2">
        <w:rPr>
          <w:rFonts w:eastAsia="MS Mincho"/>
        </w:rPr>
        <w:t xml:space="preserve">overnment Lockbox #979088, SL-MO-C2-GL, 1005 Convention Plaza, St. Louis, MO 63101.  </w:t>
      </w:r>
    </w:p>
    <w:p w:rsidR="00AD7EC5" w:rsidRDefault="00AD7EC5" w:rsidP="00856FAC">
      <w:pPr>
        <w:pStyle w:val="ParaNum"/>
        <w:widowControl/>
        <w:numPr>
          <w:ilvl w:val="0"/>
          <w:numId w:val="0"/>
        </w:numPr>
        <w:tabs>
          <w:tab w:val="left" w:pos="0"/>
        </w:tabs>
        <w:rPr>
          <w:color w:val="000000"/>
          <w:szCs w:val="22"/>
        </w:rPr>
      </w:pPr>
      <w:r>
        <w:rPr>
          <w:rFonts w:eastAsia="MS Mincho"/>
        </w:rPr>
        <w:t>Any r</w:t>
      </w:r>
      <w:r w:rsidRPr="00626BA2">
        <w:rPr>
          <w:rFonts w:eastAsia="MS Mincho"/>
        </w:rPr>
        <w:t xml:space="preserve">equest for full payment </w:t>
      </w:r>
      <w:r w:rsidRPr="009D3176">
        <w:rPr>
          <w:rFonts w:eastAsia="MS Mincho" w:cs="Arial"/>
        </w:rPr>
        <w:t>under</w:t>
      </w:r>
      <w:r w:rsidRPr="00626BA2">
        <w:rPr>
          <w:rFonts w:eastAsia="MS Mincho"/>
        </w:rPr>
        <w:t xml:space="preserve"> an installment plan should be sent to:  Chief Financial Officer—Financial Operations, </w:t>
      </w:r>
      <w:r w:rsidRPr="00BF0439">
        <w:rPr>
          <w:rFonts w:eastAsia="MS Mincho" w:cs="Arial"/>
        </w:rPr>
        <w:t>Federal</w:t>
      </w:r>
      <w:r w:rsidRPr="00626BA2">
        <w:rPr>
          <w:rFonts w:eastAsia="MS Mincho"/>
        </w:rPr>
        <w:t xml:space="preserve"> Communications Com</w:t>
      </w:r>
      <w:r>
        <w:rPr>
          <w:rFonts w:eastAsia="MS Mincho"/>
        </w:rPr>
        <w:t>mission, 445 12th Street, SW, Room 1-A625, Washington, DC</w:t>
      </w:r>
      <w:r w:rsidRPr="00626BA2">
        <w:rPr>
          <w:rFonts w:eastAsia="MS Mincho"/>
        </w:rPr>
        <w:t>  20554.</w:t>
      </w:r>
      <w:r>
        <w:rPr>
          <w:rStyle w:val="FootnoteReference"/>
          <w:rFonts w:eastAsia="MS Mincho"/>
        </w:rPr>
        <w:footnoteReference w:id="47"/>
      </w:r>
      <w:r w:rsidRPr="00626BA2">
        <w:rPr>
          <w:rFonts w:eastAsia="MS Mincho"/>
        </w:rPr>
        <w:t>  If you have questions regarding payment procedures, please contact the Financial Operations Group Help Desk by phone, 1-877-480-3201, or by e</w:t>
      </w:r>
      <w:r>
        <w:rPr>
          <w:rFonts w:eastAsia="MS Mincho"/>
        </w:rPr>
        <w:noBreakHyphen/>
      </w:r>
      <w:r w:rsidRPr="00626BA2">
        <w:rPr>
          <w:rFonts w:eastAsia="MS Mincho"/>
        </w:rPr>
        <w:t>mail,</w:t>
      </w:r>
      <w:r>
        <w:rPr>
          <w:rFonts w:eastAsia="MS Mincho"/>
        </w:rPr>
        <w:t xml:space="preserve"> </w:t>
      </w:r>
      <w:r w:rsidRPr="0090510B">
        <w:rPr>
          <w:rFonts w:eastAsia="MS Mincho" w:cs="Arial"/>
        </w:rPr>
        <w:t>ARINQUIRIES@fcc.gov</w:t>
      </w:r>
      <w:r w:rsidRPr="00626BA2">
        <w:rPr>
          <w:rFonts w:eastAsia="MS Mincho"/>
        </w:rPr>
        <w:t>.</w:t>
      </w:r>
      <w:r>
        <w:rPr>
          <w:rFonts w:eastAsia="MS Mincho"/>
        </w:rPr>
        <w:t xml:space="preserve">  </w:t>
      </w:r>
      <w:r w:rsidRPr="00626BA2">
        <w:rPr>
          <w:rFonts w:eastAsia="MS Mincho"/>
        </w:rPr>
        <w:t> </w:t>
      </w:r>
    </w:p>
    <w:p w:rsidR="00AD7EC5" w:rsidRDefault="00AD7EC5" w:rsidP="00D20791">
      <w:pPr>
        <w:pStyle w:val="ParaNum"/>
        <w:widowControl/>
        <w:tabs>
          <w:tab w:val="clear" w:pos="1080"/>
          <w:tab w:val="left" w:pos="720"/>
          <w:tab w:val="num" w:pos="1440"/>
        </w:tabs>
      </w:pPr>
      <w:r>
        <w:t xml:space="preserve">The response, if any, must be mailed both to </w:t>
      </w:r>
      <w:r>
        <w:rPr>
          <w:spacing w:val="-2"/>
        </w:rPr>
        <w:t>the</w:t>
      </w:r>
      <w:r>
        <w:t xml:space="preserve"> Office of the Secretary, Federal Communications Commission, 445 12</w:t>
      </w:r>
      <w:r>
        <w:rPr>
          <w:vertAlign w:val="superscript"/>
        </w:rPr>
        <w:t>th</w:t>
      </w:r>
      <w:r>
        <w:t xml:space="preserve"> Street, SW, Washington, DC 20554, ATTN:  Enforcement Bureau—Telecommunications Consumers Division, and to Richard A. Hindman, Chief, Telecommunications Consumers Division, Enforcement Bureau, Federal Communications Commission, 445 12</w:t>
      </w:r>
      <w:r>
        <w:rPr>
          <w:vertAlign w:val="superscript"/>
        </w:rPr>
        <w:t>th</w:t>
      </w:r>
      <w:r>
        <w:t xml:space="preserve"> Street, SW, Washington, DC 20554, and must include the NAL/Acct. No. referenced in the caption.</w:t>
      </w:r>
    </w:p>
    <w:p w:rsidR="00AD7EC5" w:rsidRDefault="00AD7EC5" w:rsidP="00343B0C">
      <w:pPr>
        <w:pStyle w:val="ParaNum"/>
        <w:widowControl/>
        <w:tabs>
          <w:tab w:val="clear" w:pos="1080"/>
          <w:tab w:val="num" w:pos="1440"/>
        </w:tabs>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737E56" w:rsidRPr="00737E56" w:rsidRDefault="00737E56" w:rsidP="00737E56">
      <w:pPr>
        <w:pStyle w:val="ParaNum"/>
        <w:widowControl/>
        <w:numPr>
          <w:ilvl w:val="0"/>
          <w:numId w:val="0"/>
        </w:numPr>
        <w:ind w:left="720"/>
        <w:rPr>
          <w:szCs w:val="22"/>
        </w:rPr>
      </w:pPr>
    </w:p>
    <w:p w:rsidR="00737E56" w:rsidRPr="00737E56" w:rsidRDefault="00737E56" w:rsidP="00737E56">
      <w:pPr>
        <w:pStyle w:val="ParaNum"/>
        <w:widowControl/>
        <w:numPr>
          <w:ilvl w:val="0"/>
          <w:numId w:val="0"/>
        </w:numPr>
        <w:ind w:left="720"/>
        <w:rPr>
          <w:szCs w:val="22"/>
        </w:rPr>
      </w:pPr>
    </w:p>
    <w:p w:rsidR="00737E56" w:rsidRPr="00737E56" w:rsidRDefault="00737E56" w:rsidP="00737E56">
      <w:pPr>
        <w:pStyle w:val="ParaNum"/>
        <w:widowControl/>
        <w:numPr>
          <w:ilvl w:val="0"/>
          <w:numId w:val="0"/>
        </w:numPr>
        <w:ind w:left="720"/>
        <w:rPr>
          <w:szCs w:val="22"/>
        </w:rPr>
      </w:pPr>
    </w:p>
    <w:p w:rsidR="00737E56" w:rsidRPr="00737E56" w:rsidRDefault="00737E56" w:rsidP="00737E56">
      <w:pPr>
        <w:pStyle w:val="ParaNum"/>
        <w:widowControl/>
        <w:numPr>
          <w:ilvl w:val="0"/>
          <w:numId w:val="0"/>
        </w:numPr>
        <w:ind w:left="720"/>
        <w:rPr>
          <w:szCs w:val="22"/>
        </w:rPr>
      </w:pPr>
    </w:p>
    <w:p w:rsidR="00737E56" w:rsidRPr="00737E56" w:rsidRDefault="00737E56" w:rsidP="00737E56">
      <w:pPr>
        <w:pStyle w:val="ParaNum"/>
        <w:widowControl/>
        <w:numPr>
          <w:ilvl w:val="0"/>
          <w:numId w:val="0"/>
        </w:numPr>
        <w:ind w:left="720"/>
        <w:rPr>
          <w:szCs w:val="22"/>
        </w:rPr>
      </w:pPr>
    </w:p>
    <w:p w:rsidR="00AD7EC5" w:rsidRDefault="00AD7EC5" w:rsidP="00343B0C">
      <w:pPr>
        <w:pStyle w:val="ParaNum"/>
        <w:widowControl/>
        <w:tabs>
          <w:tab w:val="clear" w:pos="1080"/>
          <w:tab w:val="num" w:pos="1440"/>
        </w:tabs>
        <w:rPr>
          <w:szCs w:val="22"/>
        </w:rPr>
      </w:pPr>
      <w:r w:rsidRPr="00FE2928">
        <w:rPr>
          <w:b/>
        </w:rPr>
        <w:t>IT IS FURTHER ORDERED</w:t>
      </w:r>
      <w:r>
        <w:t xml:space="preserve"> that a copy of this </w:t>
      </w:r>
      <w:r w:rsidRPr="005F36F0">
        <w:t>Notice of Apparent Liability for Forfeiture</w:t>
      </w:r>
      <w:r>
        <w:t xml:space="preserve"> shall be sent by Certified Mail Return Receipt Requested and First Class Mail to the Company at 16830 Ventura Blvd, Suite 350, Encino, CA  91436.</w:t>
      </w:r>
    </w:p>
    <w:p w:rsidR="00AD7EC5" w:rsidRDefault="00AD7EC5" w:rsidP="005F62B5">
      <w:pPr>
        <w:pStyle w:val="ParaNum"/>
        <w:numPr>
          <w:ilvl w:val="0"/>
          <w:numId w:val="0"/>
        </w:numPr>
        <w:rPr>
          <w:szCs w:val="22"/>
        </w:rPr>
      </w:pPr>
      <w:r>
        <w:rPr>
          <w:szCs w:val="22"/>
        </w:rPr>
        <w:t xml:space="preserve">              </w:t>
      </w:r>
      <w:r>
        <w:rPr>
          <w:szCs w:val="22"/>
        </w:rPr>
        <w:tab/>
      </w:r>
    </w:p>
    <w:p w:rsidR="00AD7EC5" w:rsidRDefault="00AD7EC5" w:rsidP="005F62B5">
      <w:pPr>
        <w:pStyle w:val="ParaNum"/>
        <w:numPr>
          <w:ilvl w:val="0"/>
          <w:numId w:val="0"/>
        </w:numPr>
        <w:rPr>
          <w:szCs w:val="22"/>
        </w:rPr>
      </w:pPr>
      <w:r>
        <w:rPr>
          <w:szCs w:val="22"/>
        </w:rPr>
        <w:tab/>
      </w:r>
      <w:r>
        <w:rPr>
          <w:szCs w:val="22"/>
        </w:rPr>
        <w:tab/>
      </w:r>
      <w:r>
        <w:rPr>
          <w:szCs w:val="22"/>
        </w:rPr>
        <w:tab/>
      </w:r>
      <w:r>
        <w:rPr>
          <w:szCs w:val="22"/>
        </w:rPr>
        <w:tab/>
      </w:r>
      <w:r>
        <w:rPr>
          <w:szCs w:val="22"/>
        </w:rPr>
        <w:tab/>
        <w:t>FEDERAL COMMUNICATIONS COMMISSION</w:t>
      </w:r>
    </w:p>
    <w:p w:rsidR="00AD7EC5" w:rsidRDefault="00AD7EC5" w:rsidP="005F62B5">
      <w:pPr>
        <w:pStyle w:val="ParaNum"/>
        <w:numPr>
          <w:ilvl w:val="0"/>
          <w:numId w:val="0"/>
        </w:numPr>
        <w:rPr>
          <w:szCs w:val="22"/>
        </w:rPr>
      </w:pPr>
    </w:p>
    <w:p w:rsidR="00AD7EC5" w:rsidRDefault="00AD7EC5" w:rsidP="005F62B5">
      <w:pPr>
        <w:pStyle w:val="ParaNum"/>
        <w:numPr>
          <w:ilvl w:val="0"/>
          <w:numId w:val="0"/>
        </w:numPr>
        <w:rPr>
          <w:szCs w:val="22"/>
        </w:rPr>
      </w:pPr>
    </w:p>
    <w:p w:rsidR="00AD7EC5" w:rsidRDefault="00AD7EC5" w:rsidP="005F62B5">
      <w:pPr>
        <w:pStyle w:val="ParaNum"/>
        <w:numPr>
          <w:ilvl w:val="0"/>
          <w:numId w:val="0"/>
        </w:numPr>
        <w:rPr>
          <w:szCs w:val="22"/>
        </w:rPr>
        <w:sectPr w:rsidR="00AD7EC5" w:rsidSect="001C189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r>
        <w:rPr>
          <w:szCs w:val="22"/>
        </w:rPr>
        <w:tab/>
      </w:r>
      <w:r>
        <w:rPr>
          <w:szCs w:val="22"/>
        </w:rPr>
        <w:tab/>
      </w:r>
      <w:r>
        <w:rPr>
          <w:szCs w:val="22"/>
        </w:rPr>
        <w:tab/>
      </w:r>
      <w:r>
        <w:rPr>
          <w:szCs w:val="22"/>
        </w:rPr>
        <w:tab/>
      </w:r>
      <w:r>
        <w:rPr>
          <w:szCs w:val="22"/>
        </w:rPr>
        <w:tab/>
        <w:t xml:space="preserve">Marlene H. Dortch                                                                                    </w:t>
      </w:r>
      <w:r>
        <w:rPr>
          <w:szCs w:val="22"/>
        </w:rPr>
        <w:tab/>
        <w:t xml:space="preserve">                                                    Secretary</w:t>
      </w:r>
    </w:p>
    <w:p w:rsidR="00AD7EC5" w:rsidRDefault="00AD7EC5" w:rsidP="00F4246E">
      <w:pPr>
        <w:pStyle w:val="Heading2"/>
      </w:pPr>
      <w:r>
        <w:t>APPENDIX</w:t>
      </w:r>
    </w:p>
    <w:p w:rsidR="00AD7EC5" w:rsidRDefault="00AD7EC5" w:rsidP="00725D99">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3236"/>
        <w:gridCol w:w="2918"/>
      </w:tblGrid>
      <w:tr w:rsidR="00AD7EC5" w:rsidTr="004675C2">
        <w:tc>
          <w:tcPr>
            <w:tcW w:w="3422" w:type="dxa"/>
          </w:tcPr>
          <w:p w:rsidR="00AD7EC5" w:rsidRPr="00151239" w:rsidRDefault="00AD7EC5" w:rsidP="004675C2">
            <w:pPr>
              <w:pStyle w:val="ParaNum"/>
              <w:numPr>
                <w:ilvl w:val="0"/>
                <w:numId w:val="0"/>
              </w:numPr>
              <w:rPr>
                <w:b/>
                <w:szCs w:val="22"/>
              </w:rPr>
            </w:pPr>
            <w:r w:rsidRPr="00151239">
              <w:rPr>
                <w:b/>
                <w:szCs w:val="22"/>
              </w:rPr>
              <w:t>Complainant</w:t>
            </w:r>
          </w:p>
        </w:tc>
        <w:tc>
          <w:tcPr>
            <w:tcW w:w="3236" w:type="dxa"/>
          </w:tcPr>
          <w:p w:rsidR="00AD7EC5" w:rsidRPr="00151239" w:rsidRDefault="00AD7EC5" w:rsidP="004675C2">
            <w:pPr>
              <w:pStyle w:val="ParaNum"/>
              <w:numPr>
                <w:ilvl w:val="0"/>
                <w:numId w:val="0"/>
              </w:numPr>
              <w:rPr>
                <w:b/>
                <w:szCs w:val="22"/>
              </w:rPr>
            </w:pPr>
            <w:r w:rsidRPr="00151239">
              <w:rPr>
                <w:b/>
                <w:szCs w:val="22"/>
              </w:rPr>
              <w:t>Date of slam</w:t>
            </w:r>
          </w:p>
        </w:tc>
        <w:tc>
          <w:tcPr>
            <w:tcW w:w="2918" w:type="dxa"/>
          </w:tcPr>
          <w:p w:rsidR="00AD7EC5" w:rsidRPr="00151239" w:rsidRDefault="00AD7EC5" w:rsidP="004675C2">
            <w:pPr>
              <w:pStyle w:val="ParaNum"/>
              <w:numPr>
                <w:ilvl w:val="0"/>
                <w:numId w:val="0"/>
              </w:numPr>
              <w:rPr>
                <w:b/>
                <w:szCs w:val="22"/>
              </w:rPr>
            </w:pPr>
            <w:r w:rsidRPr="00151239">
              <w:rPr>
                <w:b/>
                <w:szCs w:val="22"/>
              </w:rPr>
              <w:t>Violation</w:t>
            </w:r>
            <w:r w:rsidR="00E42658">
              <w:rPr>
                <w:b/>
                <w:szCs w:val="22"/>
              </w:rPr>
              <w:t>(s)</w:t>
            </w:r>
          </w:p>
        </w:tc>
      </w:tr>
      <w:tr w:rsidR="00AD7EC5" w:rsidTr="004675C2">
        <w:tc>
          <w:tcPr>
            <w:tcW w:w="3422" w:type="dxa"/>
          </w:tcPr>
          <w:p w:rsidR="00AD7EC5" w:rsidRPr="004675C2" w:rsidRDefault="00AD7EC5" w:rsidP="009C6879">
            <w:pPr>
              <w:rPr>
                <w:szCs w:val="22"/>
              </w:rPr>
            </w:pPr>
            <w:r w:rsidRPr="004675C2">
              <w:rPr>
                <w:szCs w:val="22"/>
              </w:rPr>
              <w:t>A. Burton</w:t>
            </w:r>
          </w:p>
          <w:p w:rsidR="00AD7EC5" w:rsidRPr="004675C2" w:rsidRDefault="00AD7EC5" w:rsidP="009C6879">
            <w:pPr>
              <w:rPr>
                <w:rFonts w:ascii="Calibri" w:hAnsi="Calibri"/>
                <w:szCs w:val="22"/>
              </w:rPr>
            </w:pPr>
            <w:r w:rsidRPr="004675C2">
              <w:rPr>
                <w:szCs w:val="22"/>
              </w:rPr>
              <w:t>12-S3321288</w:t>
            </w:r>
          </w:p>
        </w:tc>
        <w:tc>
          <w:tcPr>
            <w:tcW w:w="3236" w:type="dxa"/>
          </w:tcPr>
          <w:p w:rsidR="00AD7EC5" w:rsidRPr="00151239" w:rsidRDefault="00AD7EC5" w:rsidP="004675C2">
            <w:pPr>
              <w:pStyle w:val="ParaNum"/>
              <w:numPr>
                <w:ilvl w:val="0"/>
                <w:numId w:val="0"/>
              </w:numPr>
              <w:rPr>
                <w:rFonts w:ascii="Calibri" w:hAnsi="Calibri"/>
                <w:szCs w:val="22"/>
              </w:rPr>
            </w:pPr>
            <w:r w:rsidRPr="00151239">
              <w:rPr>
                <w:szCs w:val="22"/>
              </w:rPr>
              <w:t>1/9/12</w:t>
            </w:r>
          </w:p>
        </w:tc>
        <w:tc>
          <w:tcPr>
            <w:tcW w:w="2918" w:type="dxa"/>
          </w:tcPr>
          <w:p w:rsidR="00AD7EC5" w:rsidRPr="00151239" w:rsidRDefault="00AD7EC5" w:rsidP="004675C2">
            <w:pPr>
              <w:pStyle w:val="ParaNum"/>
              <w:numPr>
                <w:ilvl w:val="0"/>
                <w:numId w:val="0"/>
              </w:numPr>
              <w:rPr>
                <w:szCs w:val="22"/>
              </w:rPr>
            </w:pPr>
            <w:r w:rsidRPr="00151239">
              <w:rPr>
                <w:szCs w:val="22"/>
              </w:rPr>
              <w:t>Sections 201(b) and 258</w:t>
            </w:r>
          </w:p>
        </w:tc>
      </w:tr>
      <w:tr w:rsidR="00AD7EC5" w:rsidTr="004675C2">
        <w:tc>
          <w:tcPr>
            <w:tcW w:w="3422" w:type="dxa"/>
          </w:tcPr>
          <w:p w:rsidR="00AD7EC5" w:rsidRPr="004675C2" w:rsidRDefault="00AD7EC5" w:rsidP="009C6879">
            <w:pPr>
              <w:rPr>
                <w:szCs w:val="22"/>
              </w:rPr>
            </w:pPr>
            <w:r w:rsidRPr="004675C2">
              <w:rPr>
                <w:szCs w:val="22"/>
              </w:rPr>
              <w:t>F. Littleton</w:t>
            </w:r>
          </w:p>
          <w:p w:rsidR="00AD7EC5" w:rsidRPr="004675C2" w:rsidRDefault="00AD7EC5" w:rsidP="009C6879">
            <w:pPr>
              <w:rPr>
                <w:rFonts w:ascii="Calibri" w:hAnsi="Calibri"/>
                <w:szCs w:val="22"/>
              </w:rPr>
            </w:pPr>
            <w:r w:rsidRPr="004675C2">
              <w:rPr>
                <w:szCs w:val="22"/>
              </w:rPr>
              <w:t>12-S3409767</w:t>
            </w:r>
          </w:p>
        </w:tc>
        <w:tc>
          <w:tcPr>
            <w:tcW w:w="3236" w:type="dxa"/>
          </w:tcPr>
          <w:p w:rsidR="00AD7EC5" w:rsidRPr="00151239" w:rsidRDefault="00AD7EC5" w:rsidP="004675C2">
            <w:pPr>
              <w:pStyle w:val="ParaNum"/>
              <w:numPr>
                <w:ilvl w:val="0"/>
                <w:numId w:val="0"/>
              </w:numPr>
              <w:rPr>
                <w:rFonts w:ascii="Calibri" w:hAnsi="Calibri"/>
                <w:szCs w:val="22"/>
              </w:rPr>
            </w:pPr>
            <w:r w:rsidRPr="00151239">
              <w:rPr>
                <w:szCs w:val="22"/>
              </w:rPr>
              <w:t>1/16/12</w:t>
            </w:r>
          </w:p>
        </w:tc>
        <w:tc>
          <w:tcPr>
            <w:tcW w:w="2918" w:type="dxa"/>
          </w:tcPr>
          <w:p w:rsidR="00AD7EC5" w:rsidRPr="00151239" w:rsidRDefault="00AD7EC5" w:rsidP="004675C2">
            <w:pPr>
              <w:pStyle w:val="ParaNum"/>
              <w:numPr>
                <w:ilvl w:val="0"/>
                <w:numId w:val="0"/>
              </w:numPr>
              <w:rPr>
                <w:szCs w:val="22"/>
              </w:rPr>
            </w:pPr>
            <w:r w:rsidRPr="00151239">
              <w:rPr>
                <w:szCs w:val="22"/>
              </w:rPr>
              <w:t>Section 258</w:t>
            </w:r>
          </w:p>
        </w:tc>
      </w:tr>
      <w:tr w:rsidR="00AD7EC5" w:rsidTr="004675C2">
        <w:tc>
          <w:tcPr>
            <w:tcW w:w="3422" w:type="dxa"/>
          </w:tcPr>
          <w:p w:rsidR="00AD7EC5" w:rsidRPr="004675C2" w:rsidRDefault="00AD7EC5" w:rsidP="009C6879">
            <w:pPr>
              <w:rPr>
                <w:szCs w:val="22"/>
              </w:rPr>
            </w:pPr>
            <w:r w:rsidRPr="004675C2">
              <w:rPr>
                <w:szCs w:val="22"/>
              </w:rPr>
              <w:t>A. Russo</w:t>
            </w:r>
          </w:p>
          <w:p w:rsidR="00AD7EC5" w:rsidRPr="004675C2" w:rsidRDefault="00AD7EC5" w:rsidP="009C6879">
            <w:pPr>
              <w:rPr>
                <w:rFonts w:ascii="Calibri" w:hAnsi="Calibri"/>
                <w:szCs w:val="22"/>
              </w:rPr>
            </w:pPr>
            <w:r w:rsidRPr="004675C2">
              <w:rPr>
                <w:szCs w:val="22"/>
              </w:rPr>
              <w:t>12-S3353014</w:t>
            </w:r>
          </w:p>
        </w:tc>
        <w:tc>
          <w:tcPr>
            <w:tcW w:w="3236" w:type="dxa"/>
          </w:tcPr>
          <w:p w:rsidR="00AD7EC5" w:rsidRPr="00151239" w:rsidRDefault="00AD7EC5" w:rsidP="004675C2">
            <w:pPr>
              <w:pStyle w:val="ParaNum"/>
              <w:numPr>
                <w:ilvl w:val="0"/>
                <w:numId w:val="0"/>
              </w:numPr>
              <w:rPr>
                <w:rFonts w:ascii="Calibri" w:hAnsi="Calibri"/>
                <w:szCs w:val="22"/>
              </w:rPr>
            </w:pPr>
            <w:r w:rsidRPr="00151239">
              <w:rPr>
                <w:szCs w:val="22"/>
              </w:rPr>
              <w:t>1/30/12</w:t>
            </w:r>
          </w:p>
        </w:tc>
        <w:tc>
          <w:tcPr>
            <w:tcW w:w="2918" w:type="dxa"/>
          </w:tcPr>
          <w:p w:rsidR="00AD7EC5" w:rsidRPr="00151239" w:rsidRDefault="00AD7EC5" w:rsidP="004675C2">
            <w:pPr>
              <w:pStyle w:val="ParaNum"/>
              <w:numPr>
                <w:ilvl w:val="0"/>
                <w:numId w:val="0"/>
              </w:numPr>
              <w:rPr>
                <w:szCs w:val="22"/>
              </w:rPr>
            </w:pPr>
            <w:r w:rsidRPr="00151239">
              <w:rPr>
                <w:szCs w:val="22"/>
              </w:rPr>
              <w:t>Sections 201(b) and 258</w:t>
            </w:r>
          </w:p>
        </w:tc>
      </w:tr>
      <w:tr w:rsidR="00AD7EC5" w:rsidTr="004675C2">
        <w:tc>
          <w:tcPr>
            <w:tcW w:w="3422" w:type="dxa"/>
          </w:tcPr>
          <w:p w:rsidR="00AD7EC5" w:rsidRPr="004675C2" w:rsidRDefault="00AD7EC5" w:rsidP="009C6879">
            <w:pPr>
              <w:rPr>
                <w:szCs w:val="22"/>
              </w:rPr>
            </w:pPr>
            <w:r w:rsidRPr="004675C2">
              <w:rPr>
                <w:szCs w:val="22"/>
              </w:rPr>
              <w:t>J. Slotnick</w:t>
            </w:r>
          </w:p>
          <w:p w:rsidR="00AD7EC5" w:rsidRPr="004675C2" w:rsidRDefault="00AD7EC5" w:rsidP="009C6879">
            <w:pPr>
              <w:rPr>
                <w:rFonts w:ascii="Calibri" w:hAnsi="Calibri"/>
                <w:szCs w:val="22"/>
              </w:rPr>
            </w:pPr>
            <w:r w:rsidRPr="004675C2">
              <w:rPr>
                <w:szCs w:val="22"/>
              </w:rPr>
              <w:t>12-S3399206</w:t>
            </w:r>
          </w:p>
        </w:tc>
        <w:tc>
          <w:tcPr>
            <w:tcW w:w="3236" w:type="dxa"/>
          </w:tcPr>
          <w:p w:rsidR="00AD7EC5" w:rsidRPr="00151239" w:rsidRDefault="00AD7EC5" w:rsidP="004675C2">
            <w:pPr>
              <w:pStyle w:val="ParaNum"/>
              <w:numPr>
                <w:ilvl w:val="0"/>
                <w:numId w:val="0"/>
              </w:numPr>
              <w:rPr>
                <w:rFonts w:ascii="Calibri" w:hAnsi="Calibri"/>
                <w:szCs w:val="22"/>
              </w:rPr>
            </w:pPr>
            <w:r w:rsidRPr="00151239">
              <w:rPr>
                <w:szCs w:val="22"/>
              </w:rPr>
              <w:t>2/7/12</w:t>
            </w:r>
          </w:p>
        </w:tc>
        <w:tc>
          <w:tcPr>
            <w:tcW w:w="2918" w:type="dxa"/>
          </w:tcPr>
          <w:p w:rsidR="00AD7EC5" w:rsidRPr="00151239" w:rsidRDefault="00AD7EC5" w:rsidP="004675C2">
            <w:pPr>
              <w:pStyle w:val="ParaNum"/>
              <w:numPr>
                <w:ilvl w:val="0"/>
                <w:numId w:val="0"/>
              </w:numPr>
              <w:rPr>
                <w:szCs w:val="22"/>
              </w:rPr>
            </w:pPr>
            <w:r w:rsidRPr="00151239">
              <w:rPr>
                <w:szCs w:val="22"/>
              </w:rPr>
              <w:t>Sections 201(b) and 258</w:t>
            </w:r>
          </w:p>
        </w:tc>
      </w:tr>
      <w:tr w:rsidR="00AD7EC5" w:rsidTr="004675C2">
        <w:tc>
          <w:tcPr>
            <w:tcW w:w="3422" w:type="dxa"/>
          </w:tcPr>
          <w:p w:rsidR="00AD7EC5" w:rsidRPr="004675C2" w:rsidRDefault="00AD7EC5" w:rsidP="009C6879">
            <w:pPr>
              <w:rPr>
                <w:szCs w:val="22"/>
              </w:rPr>
            </w:pPr>
            <w:r w:rsidRPr="004675C2">
              <w:rPr>
                <w:szCs w:val="22"/>
              </w:rPr>
              <w:t>D. Smith</w:t>
            </w:r>
          </w:p>
          <w:p w:rsidR="00AD7EC5" w:rsidRPr="004675C2" w:rsidRDefault="00AD7EC5" w:rsidP="009C6879">
            <w:pPr>
              <w:rPr>
                <w:rFonts w:ascii="Calibri" w:hAnsi="Calibri"/>
                <w:szCs w:val="22"/>
              </w:rPr>
            </w:pPr>
            <w:r w:rsidRPr="004675C2">
              <w:rPr>
                <w:szCs w:val="22"/>
              </w:rPr>
              <w:t>12-S3373425</w:t>
            </w:r>
          </w:p>
        </w:tc>
        <w:tc>
          <w:tcPr>
            <w:tcW w:w="3236" w:type="dxa"/>
          </w:tcPr>
          <w:p w:rsidR="00AD7EC5" w:rsidRPr="00151239" w:rsidRDefault="00AD7EC5" w:rsidP="004675C2">
            <w:pPr>
              <w:pStyle w:val="ParaNum"/>
              <w:numPr>
                <w:ilvl w:val="0"/>
                <w:numId w:val="0"/>
              </w:numPr>
              <w:rPr>
                <w:rFonts w:ascii="Calibri" w:hAnsi="Calibri"/>
                <w:szCs w:val="22"/>
              </w:rPr>
            </w:pPr>
            <w:r w:rsidRPr="00151239">
              <w:rPr>
                <w:szCs w:val="22"/>
              </w:rPr>
              <w:t>2/20/12</w:t>
            </w:r>
          </w:p>
        </w:tc>
        <w:tc>
          <w:tcPr>
            <w:tcW w:w="2918" w:type="dxa"/>
          </w:tcPr>
          <w:p w:rsidR="00AD7EC5" w:rsidRPr="00151239" w:rsidRDefault="00AD7EC5" w:rsidP="004675C2">
            <w:pPr>
              <w:pStyle w:val="ParaNum"/>
              <w:numPr>
                <w:ilvl w:val="0"/>
                <w:numId w:val="0"/>
              </w:numPr>
              <w:rPr>
                <w:szCs w:val="22"/>
              </w:rPr>
            </w:pPr>
            <w:r w:rsidRPr="00151239">
              <w:rPr>
                <w:szCs w:val="22"/>
              </w:rPr>
              <w:t>Sections 201(b) and 258</w:t>
            </w:r>
          </w:p>
        </w:tc>
      </w:tr>
      <w:tr w:rsidR="00AD7EC5" w:rsidTr="004675C2">
        <w:tc>
          <w:tcPr>
            <w:tcW w:w="3422" w:type="dxa"/>
          </w:tcPr>
          <w:p w:rsidR="00AD7EC5" w:rsidRPr="004675C2" w:rsidRDefault="00AD7EC5" w:rsidP="00EB6378">
            <w:pPr>
              <w:rPr>
                <w:szCs w:val="22"/>
              </w:rPr>
            </w:pPr>
            <w:r w:rsidRPr="004675C2">
              <w:rPr>
                <w:szCs w:val="22"/>
              </w:rPr>
              <w:t>W. Legler</w:t>
            </w:r>
          </w:p>
          <w:p w:rsidR="00AD7EC5" w:rsidRPr="004675C2" w:rsidRDefault="00AD7EC5" w:rsidP="009C6879">
            <w:pPr>
              <w:rPr>
                <w:rFonts w:ascii="Calibri" w:hAnsi="Calibri"/>
                <w:szCs w:val="22"/>
              </w:rPr>
            </w:pPr>
            <w:r w:rsidRPr="004675C2">
              <w:rPr>
                <w:szCs w:val="22"/>
              </w:rPr>
              <w:t xml:space="preserve">12-S003492 </w:t>
            </w:r>
          </w:p>
        </w:tc>
        <w:tc>
          <w:tcPr>
            <w:tcW w:w="3236" w:type="dxa"/>
          </w:tcPr>
          <w:p w:rsidR="00AD7EC5" w:rsidRPr="00151239" w:rsidRDefault="00AD7EC5" w:rsidP="004675C2">
            <w:pPr>
              <w:pStyle w:val="ParaNum"/>
              <w:numPr>
                <w:ilvl w:val="0"/>
                <w:numId w:val="0"/>
              </w:numPr>
              <w:rPr>
                <w:rFonts w:ascii="Calibri" w:hAnsi="Calibri"/>
                <w:szCs w:val="22"/>
              </w:rPr>
            </w:pPr>
            <w:r w:rsidRPr="00151239">
              <w:rPr>
                <w:szCs w:val="22"/>
              </w:rPr>
              <w:t>3/30/12</w:t>
            </w:r>
          </w:p>
        </w:tc>
        <w:tc>
          <w:tcPr>
            <w:tcW w:w="2918" w:type="dxa"/>
          </w:tcPr>
          <w:p w:rsidR="00AD7EC5" w:rsidRPr="00151239" w:rsidRDefault="00AD7EC5" w:rsidP="004675C2">
            <w:pPr>
              <w:pStyle w:val="ParaNum"/>
              <w:numPr>
                <w:ilvl w:val="0"/>
                <w:numId w:val="0"/>
              </w:numPr>
              <w:rPr>
                <w:szCs w:val="22"/>
              </w:rPr>
            </w:pPr>
            <w:r w:rsidRPr="00151239">
              <w:rPr>
                <w:szCs w:val="22"/>
              </w:rPr>
              <w:t>Sections 201(b) and 258</w:t>
            </w:r>
          </w:p>
        </w:tc>
      </w:tr>
      <w:tr w:rsidR="00AD7EC5" w:rsidTr="004675C2">
        <w:tc>
          <w:tcPr>
            <w:tcW w:w="3422" w:type="dxa"/>
          </w:tcPr>
          <w:p w:rsidR="00AD7EC5" w:rsidRDefault="00AD7EC5" w:rsidP="00EB6378">
            <w:pPr>
              <w:rPr>
                <w:szCs w:val="22"/>
              </w:rPr>
            </w:pPr>
            <w:r>
              <w:rPr>
                <w:szCs w:val="22"/>
              </w:rPr>
              <w:t>G. Busch</w:t>
            </w:r>
          </w:p>
          <w:p w:rsidR="00AD7EC5" w:rsidRPr="004675C2" w:rsidRDefault="00AD7EC5" w:rsidP="00EB6378">
            <w:pPr>
              <w:rPr>
                <w:szCs w:val="22"/>
              </w:rPr>
            </w:pPr>
            <w:r>
              <w:rPr>
                <w:szCs w:val="22"/>
              </w:rPr>
              <w:t>12-S3473516</w:t>
            </w:r>
          </w:p>
        </w:tc>
        <w:tc>
          <w:tcPr>
            <w:tcW w:w="3236" w:type="dxa"/>
          </w:tcPr>
          <w:p w:rsidR="00AD7EC5" w:rsidRPr="00151239" w:rsidRDefault="00AD7EC5" w:rsidP="004675C2">
            <w:pPr>
              <w:pStyle w:val="ParaNum"/>
              <w:numPr>
                <w:ilvl w:val="0"/>
                <w:numId w:val="0"/>
              </w:numPr>
              <w:rPr>
                <w:szCs w:val="22"/>
              </w:rPr>
            </w:pPr>
            <w:r w:rsidRPr="00151239">
              <w:rPr>
                <w:szCs w:val="22"/>
              </w:rPr>
              <w:t>4/27/12</w:t>
            </w:r>
          </w:p>
        </w:tc>
        <w:tc>
          <w:tcPr>
            <w:tcW w:w="2918" w:type="dxa"/>
          </w:tcPr>
          <w:p w:rsidR="00AD7EC5" w:rsidRPr="00151239" w:rsidRDefault="00AD7EC5" w:rsidP="004675C2">
            <w:pPr>
              <w:pStyle w:val="ParaNum"/>
              <w:numPr>
                <w:ilvl w:val="0"/>
                <w:numId w:val="0"/>
              </w:numPr>
              <w:rPr>
                <w:szCs w:val="22"/>
              </w:rPr>
            </w:pPr>
            <w:r w:rsidRPr="00151239">
              <w:rPr>
                <w:szCs w:val="22"/>
              </w:rPr>
              <w:t>Sections 201(b) and 258</w:t>
            </w:r>
          </w:p>
        </w:tc>
      </w:tr>
      <w:tr w:rsidR="00AD7EC5" w:rsidTr="004675C2">
        <w:tc>
          <w:tcPr>
            <w:tcW w:w="3422" w:type="dxa"/>
          </w:tcPr>
          <w:p w:rsidR="00AD7EC5" w:rsidRPr="004675C2" w:rsidRDefault="00AD7EC5" w:rsidP="00AE7064">
            <w:pPr>
              <w:rPr>
                <w:szCs w:val="22"/>
              </w:rPr>
            </w:pPr>
            <w:r w:rsidRPr="004675C2">
              <w:rPr>
                <w:szCs w:val="22"/>
              </w:rPr>
              <w:t>P. Almon</w:t>
            </w:r>
          </w:p>
          <w:p w:rsidR="00AD7EC5" w:rsidRPr="004675C2" w:rsidRDefault="00AD7EC5" w:rsidP="00AE7064">
            <w:pPr>
              <w:rPr>
                <w:rFonts w:ascii="Calibri" w:hAnsi="Calibri"/>
                <w:szCs w:val="22"/>
              </w:rPr>
            </w:pPr>
            <w:r w:rsidRPr="004675C2">
              <w:rPr>
                <w:szCs w:val="22"/>
              </w:rPr>
              <w:t>12-S3454906</w:t>
            </w:r>
          </w:p>
        </w:tc>
        <w:tc>
          <w:tcPr>
            <w:tcW w:w="3236" w:type="dxa"/>
          </w:tcPr>
          <w:p w:rsidR="00AD7EC5" w:rsidRPr="00151239" w:rsidRDefault="00AD7EC5" w:rsidP="004675C2">
            <w:pPr>
              <w:pStyle w:val="ParaNum"/>
              <w:numPr>
                <w:ilvl w:val="0"/>
                <w:numId w:val="0"/>
              </w:numPr>
              <w:rPr>
                <w:rFonts w:ascii="Calibri" w:hAnsi="Calibri"/>
                <w:szCs w:val="22"/>
              </w:rPr>
            </w:pPr>
            <w:r w:rsidRPr="00151239">
              <w:rPr>
                <w:szCs w:val="22"/>
              </w:rPr>
              <w:t>5/11/12</w:t>
            </w:r>
          </w:p>
        </w:tc>
        <w:tc>
          <w:tcPr>
            <w:tcW w:w="2918" w:type="dxa"/>
          </w:tcPr>
          <w:p w:rsidR="00AD7EC5" w:rsidRPr="00151239" w:rsidRDefault="00AD7EC5" w:rsidP="004675C2">
            <w:pPr>
              <w:pStyle w:val="ParaNum"/>
              <w:numPr>
                <w:ilvl w:val="0"/>
                <w:numId w:val="0"/>
              </w:numPr>
              <w:rPr>
                <w:szCs w:val="22"/>
              </w:rPr>
            </w:pPr>
            <w:r w:rsidRPr="00151239">
              <w:rPr>
                <w:szCs w:val="22"/>
              </w:rPr>
              <w:t>Sections 201(b) and 258</w:t>
            </w:r>
          </w:p>
        </w:tc>
      </w:tr>
      <w:tr w:rsidR="00AD7EC5" w:rsidTr="004675C2">
        <w:tc>
          <w:tcPr>
            <w:tcW w:w="3422" w:type="dxa"/>
          </w:tcPr>
          <w:p w:rsidR="00AD7EC5" w:rsidRPr="004675C2" w:rsidRDefault="00AD7EC5" w:rsidP="009C6879">
            <w:pPr>
              <w:rPr>
                <w:szCs w:val="22"/>
              </w:rPr>
            </w:pPr>
            <w:r w:rsidRPr="004675C2">
              <w:rPr>
                <w:szCs w:val="22"/>
              </w:rPr>
              <w:t>D. Williams</w:t>
            </w:r>
          </w:p>
          <w:p w:rsidR="00AD7EC5" w:rsidRPr="004675C2" w:rsidRDefault="00AD7EC5" w:rsidP="009C6879">
            <w:pPr>
              <w:rPr>
                <w:rFonts w:ascii="Calibri" w:hAnsi="Calibri"/>
                <w:szCs w:val="22"/>
              </w:rPr>
            </w:pPr>
            <w:r w:rsidRPr="004675C2">
              <w:rPr>
                <w:szCs w:val="22"/>
              </w:rPr>
              <w:t>12-S3413396</w:t>
            </w:r>
          </w:p>
        </w:tc>
        <w:tc>
          <w:tcPr>
            <w:tcW w:w="3236" w:type="dxa"/>
          </w:tcPr>
          <w:p w:rsidR="00AD7EC5" w:rsidRPr="004675C2" w:rsidRDefault="00AD7EC5" w:rsidP="009C6879">
            <w:pPr>
              <w:rPr>
                <w:rFonts w:ascii="Calibri" w:hAnsi="Calibri"/>
                <w:szCs w:val="22"/>
              </w:rPr>
            </w:pPr>
            <w:r w:rsidRPr="004675C2">
              <w:rPr>
                <w:szCs w:val="22"/>
              </w:rPr>
              <w:t>6/1/12</w:t>
            </w:r>
          </w:p>
        </w:tc>
        <w:tc>
          <w:tcPr>
            <w:tcW w:w="2918" w:type="dxa"/>
          </w:tcPr>
          <w:p w:rsidR="00AD7EC5" w:rsidRPr="004675C2" w:rsidRDefault="00AD7EC5" w:rsidP="009C6879">
            <w:pPr>
              <w:rPr>
                <w:szCs w:val="22"/>
              </w:rPr>
            </w:pPr>
            <w:r w:rsidRPr="004675C2">
              <w:rPr>
                <w:szCs w:val="22"/>
              </w:rPr>
              <w:t>Sections 201(b) and 258</w:t>
            </w:r>
          </w:p>
        </w:tc>
      </w:tr>
      <w:tr w:rsidR="00AD7EC5" w:rsidTr="004675C2">
        <w:tc>
          <w:tcPr>
            <w:tcW w:w="3422" w:type="dxa"/>
          </w:tcPr>
          <w:p w:rsidR="00AD7EC5" w:rsidRDefault="00AD7EC5" w:rsidP="009C6879">
            <w:pPr>
              <w:rPr>
                <w:szCs w:val="22"/>
              </w:rPr>
            </w:pPr>
            <w:r>
              <w:rPr>
                <w:szCs w:val="22"/>
              </w:rPr>
              <w:t>J. Dyer</w:t>
            </w:r>
          </w:p>
          <w:p w:rsidR="00AD7EC5" w:rsidRPr="004675C2" w:rsidRDefault="00AD7EC5" w:rsidP="009C6879">
            <w:pPr>
              <w:rPr>
                <w:szCs w:val="22"/>
              </w:rPr>
            </w:pPr>
            <w:r>
              <w:rPr>
                <w:szCs w:val="22"/>
              </w:rPr>
              <w:t>12-S3488150</w:t>
            </w:r>
          </w:p>
        </w:tc>
        <w:tc>
          <w:tcPr>
            <w:tcW w:w="3236" w:type="dxa"/>
          </w:tcPr>
          <w:p w:rsidR="00AD7EC5" w:rsidRPr="004675C2" w:rsidRDefault="00AD7EC5" w:rsidP="009C6879">
            <w:pPr>
              <w:rPr>
                <w:szCs w:val="22"/>
              </w:rPr>
            </w:pPr>
            <w:r>
              <w:rPr>
                <w:szCs w:val="22"/>
              </w:rPr>
              <w:t>7/13/12</w:t>
            </w:r>
          </w:p>
        </w:tc>
        <w:tc>
          <w:tcPr>
            <w:tcW w:w="2918" w:type="dxa"/>
          </w:tcPr>
          <w:p w:rsidR="00AD7EC5" w:rsidRPr="004675C2" w:rsidRDefault="00AD7EC5" w:rsidP="009C6879">
            <w:pPr>
              <w:rPr>
                <w:szCs w:val="22"/>
              </w:rPr>
            </w:pPr>
            <w:r w:rsidRPr="004675C2">
              <w:rPr>
                <w:szCs w:val="22"/>
              </w:rPr>
              <w:t>Sections 201(b) and 258</w:t>
            </w:r>
          </w:p>
        </w:tc>
      </w:tr>
      <w:tr w:rsidR="00AD7EC5" w:rsidTr="004675C2">
        <w:tc>
          <w:tcPr>
            <w:tcW w:w="3422" w:type="dxa"/>
          </w:tcPr>
          <w:p w:rsidR="00AD7EC5" w:rsidRPr="004675C2" w:rsidRDefault="00AD7EC5" w:rsidP="009C6879">
            <w:pPr>
              <w:rPr>
                <w:szCs w:val="22"/>
              </w:rPr>
            </w:pPr>
            <w:r w:rsidRPr="004675C2">
              <w:rPr>
                <w:szCs w:val="22"/>
              </w:rPr>
              <w:t>B. Schneider</w:t>
            </w:r>
          </w:p>
          <w:p w:rsidR="00AD7EC5" w:rsidRPr="004675C2" w:rsidRDefault="00AD7EC5" w:rsidP="009C6879">
            <w:pPr>
              <w:rPr>
                <w:szCs w:val="22"/>
              </w:rPr>
            </w:pPr>
            <w:r w:rsidRPr="004675C2">
              <w:rPr>
                <w:szCs w:val="22"/>
              </w:rPr>
              <w:t xml:space="preserve">12-S003459 </w:t>
            </w:r>
          </w:p>
        </w:tc>
        <w:tc>
          <w:tcPr>
            <w:tcW w:w="3236" w:type="dxa"/>
          </w:tcPr>
          <w:p w:rsidR="00AD7EC5" w:rsidRPr="004675C2" w:rsidRDefault="00AD7EC5" w:rsidP="008A39BA">
            <w:pPr>
              <w:rPr>
                <w:szCs w:val="22"/>
              </w:rPr>
            </w:pPr>
            <w:r w:rsidRPr="004675C2">
              <w:rPr>
                <w:szCs w:val="22"/>
              </w:rPr>
              <w:t>7/23/12</w:t>
            </w:r>
          </w:p>
        </w:tc>
        <w:tc>
          <w:tcPr>
            <w:tcW w:w="2918" w:type="dxa"/>
          </w:tcPr>
          <w:p w:rsidR="00AD7EC5" w:rsidRPr="004675C2" w:rsidRDefault="00AD7EC5" w:rsidP="009C6879">
            <w:pPr>
              <w:rPr>
                <w:szCs w:val="22"/>
              </w:rPr>
            </w:pPr>
            <w:r w:rsidRPr="004675C2">
              <w:rPr>
                <w:szCs w:val="22"/>
              </w:rPr>
              <w:t>Sections 201(b) and 258</w:t>
            </w:r>
          </w:p>
        </w:tc>
      </w:tr>
      <w:tr w:rsidR="00AD7EC5" w:rsidTr="004675C2">
        <w:tc>
          <w:tcPr>
            <w:tcW w:w="3422" w:type="dxa"/>
          </w:tcPr>
          <w:p w:rsidR="00AD7EC5" w:rsidRPr="004675C2" w:rsidRDefault="00AD7EC5" w:rsidP="009C6879">
            <w:pPr>
              <w:rPr>
                <w:szCs w:val="22"/>
              </w:rPr>
            </w:pPr>
            <w:r w:rsidRPr="004675C2">
              <w:rPr>
                <w:szCs w:val="22"/>
              </w:rPr>
              <w:t>J. Ariza</w:t>
            </w:r>
          </w:p>
          <w:p w:rsidR="00AD7EC5" w:rsidRPr="004675C2" w:rsidRDefault="00AD7EC5" w:rsidP="009C6879">
            <w:pPr>
              <w:rPr>
                <w:szCs w:val="22"/>
              </w:rPr>
            </w:pPr>
            <w:r w:rsidRPr="004675C2">
              <w:rPr>
                <w:szCs w:val="22"/>
              </w:rPr>
              <w:t xml:space="preserve">12-S003483 </w:t>
            </w:r>
          </w:p>
        </w:tc>
        <w:tc>
          <w:tcPr>
            <w:tcW w:w="3236" w:type="dxa"/>
          </w:tcPr>
          <w:p w:rsidR="00AD7EC5" w:rsidRPr="004675C2" w:rsidRDefault="00AD7EC5" w:rsidP="009C6879">
            <w:pPr>
              <w:rPr>
                <w:szCs w:val="22"/>
              </w:rPr>
            </w:pPr>
            <w:r w:rsidRPr="004675C2">
              <w:rPr>
                <w:szCs w:val="22"/>
              </w:rPr>
              <w:t>6/14/12</w:t>
            </w:r>
          </w:p>
        </w:tc>
        <w:tc>
          <w:tcPr>
            <w:tcW w:w="2918" w:type="dxa"/>
          </w:tcPr>
          <w:p w:rsidR="00AD7EC5" w:rsidRPr="004675C2" w:rsidRDefault="00AD7EC5" w:rsidP="009C6879">
            <w:pPr>
              <w:rPr>
                <w:szCs w:val="22"/>
              </w:rPr>
            </w:pPr>
            <w:r w:rsidRPr="004675C2">
              <w:rPr>
                <w:szCs w:val="22"/>
              </w:rPr>
              <w:t>Section 258</w:t>
            </w:r>
          </w:p>
        </w:tc>
      </w:tr>
      <w:tr w:rsidR="00AD7EC5" w:rsidTr="004675C2">
        <w:tc>
          <w:tcPr>
            <w:tcW w:w="3422" w:type="dxa"/>
          </w:tcPr>
          <w:p w:rsidR="00AD7EC5" w:rsidRDefault="00AD7EC5" w:rsidP="009C6879">
            <w:pPr>
              <w:rPr>
                <w:szCs w:val="22"/>
              </w:rPr>
            </w:pPr>
            <w:r>
              <w:rPr>
                <w:szCs w:val="22"/>
              </w:rPr>
              <w:t>B. Littmann</w:t>
            </w:r>
          </w:p>
          <w:p w:rsidR="00AD7EC5" w:rsidRPr="004675C2" w:rsidRDefault="00AD7EC5" w:rsidP="009C6879">
            <w:pPr>
              <w:rPr>
                <w:szCs w:val="22"/>
              </w:rPr>
            </w:pPr>
            <w:r>
              <w:rPr>
                <w:szCs w:val="22"/>
              </w:rPr>
              <w:t>12-S3486508</w:t>
            </w:r>
          </w:p>
        </w:tc>
        <w:tc>
          <w:tcPr>
            <w:tcW w:w="3236" w:type="dxa"/>
          </w:tcPr>
          <w:p w:rsidR="00AD7EC5" w:rsidRPr="004675C2" w:rsidRDefault="00AD7EC5" w:rsidP="009C6879">
            <w:pPr>
              <w:rPr>
                <w:szCs w:val="22"/>
              </w:rPr>
            </w:pPr>
            <w:r>
              <w:rPr>
                <w:szCs w:val="22"/>
              </w:rPr>
              <w:t>8/6/12</w:t>
            </w:r>
          </w:p>
        </w:tc>
        <w:tc>
          <w:tcPr>
            <w:tcW w:w="2918" w:type="dxa"/>
          </w:tcPr>
          <w:p w:rsidR="00AD7EC5" w:rsidRPr="004675C2" w:rsidRDefault="00AD7EC5" w:rsidP="009C6879">
            <w:pPr>
              <w:rPr>
                <w:szCs w:val="22"/>
              </w:rPr>
            </w:pPr>
            <w:r w:rsidRPr="004675C2">
              <w:rPr>
                <w:szCs w:val="22"/>
              </w:rPr>
              <w:t>Section 258</w:t>
            </w:r>
          </w:p>
        </w:tc>
      </w:tr>
      <w:tr w:rsidR="00AD7EC5" w:rsidTr="004675C2">
        <w:tc>
          <w:tcPr>
            <w:tcW w:w="3422" w:type="dxa"/>
          </w:tcPr>
          <w:p w:rsidR="00AD7EC5" w:rsidRPr="004675C2" w:rsidRDefault="00AD7EC5" w:rsidP="009C6879">
            <w:pPr>
              <w:rPr>
                <w:szCs w:val="22"/>
              </w:rPr>
            </w:pPr>
            <w:r>
              <w:rPr>
                <w:szCs w:val="22"/>
              </w:rPr>
              <w:t xml:space="preserve">M. </w:t>
            </w:r>
            <w:r w:rsidRPr="004675C2">
              <w:rPr>
                <w:szCs w:val="22"/>
              </w:rPr>
              <w:t>Tice</w:t>
            </w:r>
          </w:p>
          <w:p w:rsidR="00AD7EC5" w:rsidRPr="004675C2" w:rsidRDefault="00AD7EC5" w:rsidP="009C6879">
            <w:pPr>
              <w:rPr>
                <w:szCs w:val="22"/>
              </w:rPr>
            </w:pPr>
            <w:r w:rsidRPr="004675C2">
              <w:rPr>
                <w:szCs w:val="22"/>
              </w:rPr>
              <w:t>12-S003505</w:t>
            </w:r>
          </w:p>
        </w:tc>
        <w:tc>
          <w:tcPr>
            <w:tcW w:w="3236" w:type="dxa"/>
          </w:tcPr>
          <w:p w:rsidR="00AD7EC5" w:rsidRPr="004675C2" w:rsidRDefault="00AD7EC5" w:rsidP="00C56081">
            <w:pPr>
              <w:rPr>
                <w:szCs w:val="22"/>
              </w:rPr>
            </w:pPr>
            <w:r w:rsidRPr="004675C2">
              <w:rPr>
                <w:szCs w:val="22"/>
              </w:rPr>
              <w:t>8/14/12</w:t>
            </w:r>
          </w:p>
        </w:tc>
        <w:tc>
          <w:tcPr>
            <w:tcW w:w="2918" w:type="dxa"/>
          </w:tcPr>
          <w:p w:rsidR="00AD7EC5" w:rsidRPr="004675C2" w:rsidRDefault="00AD7EC5" w:rsidP="009C6879">
            <w:pPr>
              <w:rPr>
                <w:szCs w:val="22"/>
              </w:rPr>
            </w:pPr>
            <w:r w:rsidRPr="004675C2">
              <w:rPr>
                <w:szCs w:val="22"/>
              </w:rPr>
              <w:t>Sections 201(b) and 258</w:t>
            </w:r>
          </w:p>
        </w:tc>
      </w:tr>
    </w:tbl>
    <w:p w:rsidR="00AD7EC5" w:rsidRPr="00725D99" w:rsidRDefault="00AD7EC5" w:rsidP="00725D99">
      <w:pPr>
        <w:pStyle w:val="ParaNum"/>
        <w:numPr>
          <w:ilvl w:val="0"/>
          <w:numId w:val="0"/>
        </w:numPr>
        <w:ind w:firstLine="720"/>
      </w:pPr>
    </w:p>
    <w:p w:rsidR="00AD7EC5" w:rsidRPr="00D20791" w:rsidRDefault="00AD7EC5" w:rsidP="00C2501D">
      <w:pPr>
        <w:pStyle w:val="ParaNum"/>
        <w:numPr>
          <w:ilvl w:val="0"/>
          <w:numId w:val="0"/>
        </w:numPr>
        <w:ind w:left="720"/>
      </w:pPr>
    </w:p>
    <w:p w:rsidR="00AD7EC5" w:rsidRPr="00D20791" w:rsidRDefault="00AD7EC5">
      <w:pPr>
        <w:pStyle w:val="ParaNum"/>
        <w:numPr>
          <w:ilvl w:val="0"/>
          <w:numId w:val="0"/>
        </w:numPr>
        <w:ind w:left="720"/>
      </w:pPr>
    </w:p>
    <w:sectPr w:rsidR="00AD7EC5" w:rsidRPr="00D20791" w:rsidSect="005561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A6" w:rsidRDefault="007B2FA6">
      <w:pPr>
        <w:spacing w:line="20" w:lineRule="exact"/>
      </w:pPr>
    </w:p>
  </w:endnote>
  <w:endnote w:type="continuationSeparator" w:id="0">
    <w:p w:rsidR="007B2FA6" w:rsidRDefault="007B2FA6">
      <w:r>
        <w:t xml:space="preserve"> </w:t>
      </w:r>
    </w:p>
  </w:endnote>
  <w:endnote w:type="continuationNotice" w:id="1">
    <w:p w:rsidR="007B2FA6" w:rsidRDefault="007B2F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pPr>
      <w:pStyle w:val="Footer"/>
      <w:framePr w:wrap="around" w:vAnchor="text" w:hAnchor="margin" w:xAlign="center" w:y="1"/>
    </w:pPr>
    <w:r>
      <w:fldChar w:fldCharType="begin"/>
    </w:r>
    <w:r>
      <w:instrText xml:space="preserve">PAGE  </w:instrText>
    </w:r>
    <w:r>
      <w:fldChar w:fldCharType="end"/>
    </w:r>
  </w:p>
  <w:p w:rsidR="008101D9" w:rsidRDefault="00810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pPr>
      <w:pStyle w:val="Footer"/>
      <w:jc w:val="center"/>
      <w:rPr>
        <w:noProof/>
      </w:rPr>
    </w:pPr>
    <w:r>
      <w:fldChar w:fldCharType="begin"/>
    </w:r>
    <w:r>
      <w:instrText xml:space="preserve"> PAGE   \* MERGEFORMAT </w:instrText>
    </w:r>
    <w:r>
      <w:fldChar w:fldCharType="separate"/>
    </w:r>
    <w:r w:rsidR="001C189B">
      <w:rPr>
        <w:noProof/>
      </w:rPr>
      <w:t>2</w:t>
    </w:r>
    <w:r>
      <w:rPr>
        <w:noProof/>
      </w:rPr>
      <w:fldChar w:fldCharType="end"/>
    </w:r>
  </w:p>
  <w:p w:rsidR="008101D9" w:rsidRDefault="008101D9" w:rsidP="000E5363">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09" w:rsidRDefault="00C375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rsidP="0055614C">
    <w:pPr>
      <w:pStyle w:val="Footer"/>
      <w:framePr w:wrap="around" w:vAnchor="text" w:hAnchor="margin" w:xAlign="center" w:y="1"/>
    </w:pPr>
    <w:r>
      <w:fldChar w:fldCharType="begin"/>
    </w:r>
    <w:r>
      <w:instrText xml:space="preserve">PAGE  </w:instrText>
    </w:r>
    <w:r>
      <w:fldChar w:fldCharType="end"/>
    </w:r>
  </w:p>
  <w:p w:rsidR="008101D9" w:rsidRDefault="008101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rsidP="0055614C">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8101D9" w:rsidRDefault="008101D9">
    <w:pPr>
      <w:spacing w:before="140" w:line="100" w:lineRule="exact"/>
      <w:rPr>
        <w:sz w:val="10"/>
      </w:rPr>
    </w:pPr>
  </w:p>
  <w:p w:rsidR="008101D9" w:rsidRDefault="008101D9">
    <w:pPr>
      <w:suppressAutoHyphens/>
      <w:spacing w:line="227" w:lineRule="auto"/>
    </w:pPr>
  </w:p>
  <w:p w:rsidR="008101D9" w:rsidRDefault="008101D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A6" w:rsidRDefault="007B2FA6">
      <w:r>
        <w:separator/>
      </w:r>
    </w:p>
  </w:footnote>
  <w:footnote w:type="continuationSeparator" w:id="0">
    <w:p w:rsidR="007B2FA6" w:rsidRDefault="007B2FA6">
      <w:pPr>
        <w:rPr>
          <w:sz w:val="20"/>
        </w:rPr>
      </w:pPr>
      <w:r>
        <w:rPr>
          <w:sz w:val="20"/>
        </w:rPr>
        <w:t xml:space="preserve">(Continued from previous page)  </w:t>
      </w:r>
      <w:r>
        <w:rPr>
          <w:sz w:val="20"/>
        </w:rPr>
        <w:separator/>
      </w:r>
    </w:p>
  </w:footnote>
  <w:footnote w:type="continuationNotice" w:id="1">
    <w:p w:rsidR="007B2FA6" w:rsidRDefault="007B2FA6">
      <w:pPr>
        <w:rPr>
          <w:sz w:val="20"/>
        </w:rPr>
      </w:pPr>
      <w:r>
        <w:rPr>
          <w:sz w:val="20"/>
        </w:rPr>
        <w:t>(continued….)</w:t>
      </w:r>
    </w:p>
  </w:footnote>
  <w:footnote w:id="2">
    <w:p w:rsidR="008101D9" w:rsidRDefault="008101D9" w:rsidP="00A26202">
      <w:pPr>
        <w:pStyle w:val="FootnoteText"/>
      </w:pPr>
      <w:r>
        <w:rPr>
          <w:rStyle w:val="FootnoteReference"/>
        </w:rPr>
        <w:footnoteRef/>
      </w:r>
      <w:r>
        <w:t xml:space="preserve"> According to the Commission’s records and publicly available information, Preferred’s offices are located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16830 Ventura Boulevard, Suite 350</w:t>
              </w:r>
            </w:smartTag>
          </w:smartTag>
          <w:r>
            <w:t xml:space="preserve">, </w:t>
          </w:r>
          <w:smartTag w:uri="urn:schemas-microsoft-com:office:smarttags" w:element="City">
            <w:r>
              <w:t>Encino</w:t>
            </w:r>
          </w:smartTag>
          <w:r>
            <w:t xml:space="preserve"> </w:t>
          </w:r>
          <w:smartTag w:uri="urn:schemas-microsoft-com:office:smarttags" w:element="State">
            <w:r>
              <w:t>CA</w:t>
            </w:r>
          </w:smartTag>
          <w:r>
            <w:t xml:space="preserve"> </w:t>
          </w:r>
          <w:smartTag w:uri="urn:schemas-microsoft-com:office:smarttags" w:element="PostalCode">
            <w:r>
              <w:t>91436</w:t>
            </w:r>
          </w:smartTag>
        </w:smartTag>
      </w:smartTag>
      <w:r>
        <w:t xml:space="preserve">. </w:t>
      </w:r>
    </w:p>
  </w:footnote>
  <w:footnote w:id="3">
    <w:p w:rsidR="008101D9" w:rsidRDefault="008101D9" w:rsidP="00627119">
      <w:pPr>
        <w:pStyle w:val="FootnoteText"/>
      </w:pPr>
      <w:r>
        <w:rPr>
          <w:rStyle w:val="FootnoteReference"/>
        </w:rPr>
        <w:footnoteRef/>
      </w:r>
      <w:r>
        <w:t xml:space="preserve"> 47 U.S.C. §§ 201(b), 258.</w:t>
      </w:r>
    </w:p>
  </w:footnote>
  <w:footnote w:id="4">
    <w:p w:rsidR="008101D9" w:rsidRDefault="008101D9" w:rsidP="00627119">
      <w:pPr>
        <w:pStyle w:val="FootnoteText"/>
      </w:pPr>
      <w:r>
        <w:rPr>
          <w:rStyle w:val="FootnoteReference"/>
        </w:rPr>
        <w:footnoteRef/>
      </w:r>
      <w:r>
        <w:t xml:space="preserve"> 47 C.F.R. § 64.1120.</w:t>
      </w:r>
    </w:p>
  </w:footnote>
  <w:footnote w:id="5">
    <w:p w:rsidR="008101D9" w:rsidRDefault="008101D9">
      <w:pPr>
        <w:pStyle w:val="FootnoteText"/>
      </w:pPr>
      <w:r>
        <w:rPr>
          <w:rStyle w:val="FootnoteReference"/>
        </w:rPr>
        <w:footnoteRef/>
      </w:r>
      <w:r>
        <w:t xml:space="preserve"> The Appendix to this NAL identifies the consumers on whose complaints it is based, along with the dates each instance of slamming occurred and apparent violations involved.</w:t>
      </w:r>
    </w:p>
  </w:footnote>
  <w:footnote w:id="6">
    <w:p w:rsidR="008101D9" w:rsidRDefault="008101D9" w:rsidP="00B851FD">
      <w:pPr>
        <w:pStyle w:val="FootnoteText"/>
      </w:pPr>
      <w:r>
        <w:rPr>
          <w:rStyle w:val="FootnoteReference"/>
        </w:rPr>
        <w:footnoteRef/>
      </w:r>
      <w:r>
        <w:t xml:space="preserve"> </w:t>
      </w:r>
      <w:r w:rsidRPr="00EA16F2">
        <w:rPr>
          <w:i/>
        </w:rPr>
        <w:t>See</w:t>
      </w:r>
      <w:r>
        <w:t xml:space="preserve"> 47 C.F.R. § 64.1150(c), (d).</w:t>
      </w:r>
    </w:p>
  </w:footnote>
  <w:footnote w:id="7">
    <w:p w:rsidR="008101D9" w:rsidRDefault="008101D9" w:rsidP="00B30C82">
      <w:pPr>
        <w:pStyle w:val="FootnoteText"/>
        <w:tabs>
          <w:tab w:val="left" w:pos="2250"/>
        </w:tabs>
      </w:pPr>
      <w:r>
        <w:rPr>
          <w:rStyle w:val="FootnoteReference"/>
        </w:rPr>
        <w:footnoteRef/>
      </w:r>
      <w:r>
        <w:t xml:space="preserve"> </w:t>
      </w:r>
      <w:r w:rsidRPr="009B52F5">
        <w:rPr>
          <w:i/>
        </w:rPr>
        <w:t>See</w:t>
      </w:r>
      <w:r>
        <w:rPr>
          <w:i/>
        </w:rPr>
        <w:t xml:space="preserve">, e.g., </w:t>
      </w:r>
      <w:r w:rsidRPr="00E64A23">
        <w:rPr>
          <w:i/>
        </w:rPr>
        <w:t>Preferred Long Distance, Inc., Complaint Regarding Unauthorized Change of Subscribers’ Telecommunications Carrier</w:t>
      </w:r>
      <w:r w:rsidR="003E3D9C">
        <w:t>, Order, DA 12-1900</w:t>
      </w:r>
      <w:r w:rsidRPr="00E64A23">
        <w:t xml:space="preserve"> (rel. Nov. 28, 2012) (granting </w:t>
      </w:r>
      <w:r>
        <w:t xml:space="preserve">slamming </w:t>
      </w:r>
      <w:r w:rsidRPr="00E64A23">
        <w:t>complaints filed by G. Busch, B. Littmann, and J. Dyer</w:t>
      </w:r>
      <w:r>
        <w:t>)</w:t>
      </w:r>
      <w:r w:rsidRPr="00E64A23">
        <w:t xml:space="preserve">; </w:t>
      </w:r>
      <w:r w:rsidRPr="00E64A23">
        <w:rPr>
          <w:i/>
        </w:rPr>
        <w:t xml:space="preserve"> Preferred Long Distance, Inc., Complaint Regarding Unauthorized Change of Subscriber’s Telecommunications</w:t>
      </w:r>
      <w:r w:rsidRPr="00A06888">
        <w:rPr>
          <w:i/>
        </w:rPr>
        <w:t xml:space="preserve"> Carrier</w:t>
      </w:r>
      <w:r>
        <w:t xml:space="preserve">, Order, </w:t>
      </w:r>
      <w:r w:rsidR="008569DF">
        <w:t>27 FCC Rcd 13381</w:t>
      </w:r>
      <w:r>
        <w:t xml:space="preserve"> (</w:t>
      </w:r>
      <w:r w:rsidR="008569DF">
        <w:t>CGB</w:t>
      </w:r>
      <w:r>
        <w:t xml:space="preserve"> 2012) (granting slamming complaint filed by M. Tice); </w:t>
      </w:r>
      <w:r>
        <w:rPr>
          <w:i/>
        </w:rPr>
        <w:t>Pre</w:t>
      </w:r>
      <w:r w:rsidRPr="00A06888">
        <w:rPr>
          <w:i/>
        </w:rPr>
        <w:t>ferred Long Distance, Inc., Complaint</w:t>
      </w:r>
      <w:r>
        <w:rPr>
          <w:i/>
        </w:rPr>
        <w:t>s</w:t>
      </w:r>
      <w:r w:rsidRPr="00A06888">
        <w:rPr>
          <w:i/>
        </w:rPr>
        <w:t xml:space="preserve"> Regarding Unauthorized Change of Subscribers</w:t>
      </w:r>
      <w:r>
        <w:rPr>
          <w:i/>
        </w:rPr>
        <w:t>’</w:t>
      </w:r>
      <w:r w:rsidRPr="00A06888">
        <w:rPr>
          <w:i/>
        </w:rPr>
        <w:t xml:space="preserve"> Telecommunications Carrier</w:t>
      </w:r>
      <w:r>
        <w:t xml:space="preserve">, Order, </w:t>
      </w:r>
      <w:r w:rsidR="001A3F92">
        <w:t>27 FCC Rcd 13333</w:t>
      </w:r>
      <w:r>
        <w:t xml:space="preserve"> (</w:t>
      </w:r>
      <w:r w:rsidR="001A3F92">
        <w:t>CGB</w:t>
      </w:r>
      <w:r>
        <w:t xml:space="preserve"> 2012) (granting two slamming complaints, including the complaint filed by W. Legler); </w:t>
      </w:r>
      <w:r>
        <w:rPr>
          <w:i/>
        </w:rPr>
        <w:t>Pre</w:t>
      </w:r>
      <w:r w:rsidRPr="00A06888">
        <w:rPr>
          <w:i/>
        </w:rPr>
        <w:t>ferred Long Distance, Inc., Complaint</w:t>
      </w:r>
      <w:r>
        <w:rPr>
          <w:i/>
        </w:rPr>
        <w:t>s</w:t>
      </w:r>
      <w:r w:rsidRPr="00A06888">
        <w:rPr>
          <w:i/>
        </w:rPr>
        <w:t xml:space="preserve"> Regarding Unauthorized Change of Subscribers</w:t>
      </w:r>
      <w:r>
        <w:rPr>
          <w:i/>
        </w:rPr>
        <w:t>’</w:t>
      </w:r>
      <w:r w:rsidRPr="00A06888">
        <w:rPr>
          <w:i/>
        </w:rPr>
        <w:t xml:space="preserve"> Telecommunications Carrier</w:t>
      </w:r>
      <w:r>
        <w:t xml:space="preserve">, Order, </w:t>
      </w:r>
      <w:r w:rsidR="001A3F92">
        <w:t>27 FCC Rcd 13328</w:t>
      </w:r>
      <w:r>
        <w:t xml:space="preserve"> (</w:t>
      </w:r>
      <w:r w:rsidR="001A3F92">
        <w:t>CGB</w:t>
      </w:r>
      <w:r>
        <w:t xml:space="preserve"> 2012) (granting slamming complaints filed by B. Schneider, J. Ariza, and P. Almon); </w:t>
      </w:r>
      <w:r>
        <w:rPr>
          <w:i/>
        </w:rPr>
        <w:t>Pre</w:t>
      </w:r>
      <w:r w:rsidRPr="00A06888">
        <w:rPr>
          <w:i/>
        </w:rPr>
        <w:t>ferred Long Distance, Inc., Complaint</w:t>
      </w:r>
      <w:r>
        <w:rPr>
          <w:i/>
        </w:rPr>
        <w:t>s</w:t>
      </w:r>
      <w:r w:rsidRPr="00A06888">
        <w:rPr>
          <w:i/>
        </w:rPr>
        <w:t xml:space="preserve"> Regarding Unauthorized Change of Subscribers</w:t>
      </w:r>
      <w:r>
        <w:rPr>
          <w:i/>
        </w:rPr>
        <w:t>’</w:t>
      </w:r>
      <w:r w:rsidRPr="00A06888">
        <w:rPr>
          <w:i/>
        </w:rPr>
        <w:t xml:space="preserve"> </w:t>
      </w:r>
      <w:smartTag w:uri="urn:schemas-microsoft-com:office:smarttags" w:element="PersonName">
        <w:r w:rsidRPr="00A06888">
          <w:rPr>
            <w:i/>
          </w:rPr>
          <w:t>Telecommunications</w:t>
        </w:r>
      </w:smartTag>
      <w:r w:rsidRPr="00A06888">
        <w:rPr>
          <w:i/>
        </w:rPr>
        <w:t xml:space="preserve"> Carrier</w:t>
      </w:r>
      <w:r>
        <w:t xml:space="preserve">, Order, 27 FCC Rcd 9026 (CGB 2012) (granting six slamming complaints, including the complaint filed by A. Russo); </w:t>
      </w:r>
      <w:r>
        <w:rPr>
          <w:i/>
        </w:rPr>
        <w:t>Pre</w:t>
      </w:r>
      <w:r w:rsidRPr="00A06888">
        <w:rPr>
          <w:i/>
        </w:rPr>
        <w:t>ferred Long Distance, Inc., Complaint</w:t>
      </w:r>
      <w:r>
        <w:rPr>
          <w:i/>
        </w:rPr>
        <w:t>s</w:t>
      </w:r>
      <w:r w:rsidRPr="00A06888">
        <w:rPr>
          <w:i/>
        </w:rPr>
        <w:t xml:space="preserve"> Regarding Unauthorized Change of Subscribers</w:t>
      </w:r>
      <w:r>
        <w:rPr>
          <w:i/>
        </w:rPr>
        <w:t>’</w:t>
      </w:r>
      <w:r w:rsidRPr="00A06888">
        <w:rPr>
          <w:i/>
        </w:rPr>
        <w:t xml:space="preserve"> </w:t>
      </w:r>
      <w:smartTag w:uri="urn:schemas-microsoft-com:office:smarttags" w:element="PersonName">
        <w:r w:rsidRPr="00A06888">
          <w:rPr>
            <w:i/>
          </w:rPr>
          <w:t>Telecommunications</w:t>
        </w:r>
      </w:smartTag>
      <w:r w:rsidRPr="00A06888">
        <w:rPr>
          <w:i/>
        </w:rPr>
        <w:t xml:space="preserve"> Carrier</w:t>
      </w:r>
      <w:r>
        <w:t xml:space="preserve">, Order, 27 FCC Rcd 9021 (CGB 2012) (granting 21 slamming complaints including the complaints filed by A. Burton, D. Smith, J. Slotnick, F. Littleton, and D. Williams). </w:t>
      </w:r>
    </w:p>
  </w:footnote>
  <w:footnote w:id="8">
    <w:p w:rsidR="008101D9" w:rsidRDefault="008101D9">
      <w:pPr>
        <w:pStyle w:val="FootnoteText"/>
      </w:pPr>
      <w:r>
        <w:rPr>
          <w:rStyle w:val="FootnoteReference"/>
        </w:rPr>
        <w:footnoteRef/>
      </w:r>
      <w:r>
        <w:t xml:space="preserve"> </w:t>
      </w:r>
      <w:r w:rsidRPr="00A1623E">
        <w:rPr>
          <w:i/>
        </w:rPr>
        <w:t>See</w:t>
      </w:r>
      <w:r>
        <w:t xml:space="preserve"> Appendix.</w:t>
      </w:r>
      <w:r w:rsidRPr="0050192B">
        <w:t xml:space="preserve"> </w:t>
      </w:r>
      <w:r>
        <w:t xml:space="preserve">  </w:t>
      </w:r>
    </w:p>
  </w:footnote>
  <w:footnote w:id="9">
    <w:p w:rsidR="008101D9" w:rsidRDefault="008101D9" w:rsidP="002F3D7B">
      <w:pPr>
        <w:pStyle w:val="FootnoteText"/>
      </w:pPr>
      <w:r>
        <w:rPr>
          <w:rStyle w:val="FootnoteReference"/>
        </w:rPr>
        <w:footnoteRef/>
      </w:r>
      <w:r>
        <w:t xml:space="preserve"> </w:t>
      </w:r>
      <w:r w:rsidRPr="007D2353">
        <w:t xml:space="preserve"> </w:t>
      </w:r>
      <w:r>
        <w:t>47 U.S.C. § 201(b).</w:t>
      </w:r>
      <w:r w:rsidRPr="007543A0">
        <w:rPr>
          <w:i/>
        </w:rPr>
        <w:t xml:space="preserve"> </w:t>
      </w:r>
    </w:p>
  </w:footnote>
  <w:footnote w:id="10">
    <w:p w:rsidR="008101D9" w:rsidRDefault="008101D9" w:rsidP="009C5C81">
      <w:pPr>
        <w:pStyle w:val="FootnoteText"/>
      </w:pPr>
      <w:r>
        <w:rPr>
          <w:rStyle w:val="FootnoteReference"/>
        </w:rPr>
        <w:footnoteRef/>
      </w:r>
      <w:r>
        <w:t xml:space="preserve"> </w:t>
      </w:r>
      <w:r>
        <w:rPr>
          <w:i/>
        </w:rPr>
        <w:t>See, e.g.,</w:t>
      </w:r>
      <w:r>
        <w:t xml:space="preserve"> </w:t>
      </w:r>
      <w:r>
        <w:rPr>
          <w:i/>
        </w:rPr>
        <w:t xml:space="preserve">Business Discount Plan, Inc., </w:t>
      </w:r>
      <w:r w:rsidRPr="00251704">
        <w:t>Order of Forfeiture</w:t>
      </w:r>
      <w:r>
        <w:t xml:space="preserve">, </w:t>
      </w:r>
      <w:r w:rsidRPr="00AE0AB7">
        <w:t>15</w:t>
      </w:r>
      <w:r>
        <w:t xml:space="preserve"> FCC Rcd 14461 (2000) (</w:t>
      </w:r>
      <w:r w:rsidRPr="00251704">
        <w:rPr>
          <w:i/>
        </w:rPr>
        <w:t>BDP Forfeiture Order</w:t>
      </w:r>
      <w:r>
        <w:t xml:space="preserve">) (finding that the company violated Section 201(b) by using unjust and unreasonable telemarketing practices such as misrepresenting the nature of its service offerings); </w:t>
      </w:r>
      <w:smartTag w:uri="urn:schemas-microsoft-com:office:smarttags" w:element="PersonName">
        <w:r>
          <w:rPr>
            <w:i/>
          </w:rPr>
          <w:t>Telecommunications</w:t>
        </w:r>
      </w:smartTag>
      <w:r>
        <w:rPr>
          <w:i/>
        </w:rPr>
        <w:t xml:space="preserve"> Research &amp; Action Center &amp; Consumer Action</w:t>
      </w:r>
      <w:r>
        <w:t>, Memorandum Opinion and Order, 4 FCC Rcd 2157 (Com.Car.Bur. 1989) (</w:t>
      </w:r>
      <w:r>
        <w:rPr>
          <w:i/>
        </w:rPr>
        <w:t>TRAC</w:t>
      </w:r>
      <w:r>
        <w:t>) (recognizing that Section 201(b) provides a cause of action against carriers for failing to convey sufficient information about their rates, practices, and range of services)</w:t>
      </w:r>
      <w:r>
        <w:rPr>
          <w:i/>
        </w:rPr>
        <w:t xml:space="preserve">.  </w:t>
      </w:r>
      <w:r>
        <w:t xml:space="preserve">  </w:t>
      </w:r>
      <w:r>
        <w:rPr>
          <w:i/>
        </w:rPr>
        <w:t xml:space="preserve"> </w:t>
      </w:r>
    </w:p>
  </w:footnote>
  <w:footnote w:id="11">
    <w:p w:rsidR="008101D9" w:rsidRDefault="008101D9" w:rsidP="009C5C81">
      <w:pPr>
        <w:pStyle w:val="FootnoteText"/>
      </w:pPr>
      <w:r>
        <w:rPr>
          <w:rStyle w:val="FootnoteReference"/>
        </w:rPr>
        <w:footnoteRef/>
      </w:r>
      <w:r>
        <w:t xml:space="preserve"> </w:t>
      </w:r>
      <w:r w:rsidRPr="002801E8">
        <w:rPr>
          <w:i/>
        </w:rPr>
        <w:t>See</w:t>
      </w:r>
      <w:r>
        <w:t xml:space="preserve"> </w:t>
      </w:r>
      <w:r>
        <w:rPr>
          <w:i/>
        </w:rPr>
        <w:t xml:space="preserve">Silv Communication Inc., </w:t>
      </w:r>
      <w:r>
        <w:t>Notice of Apparent Liability for Forfeiture, 25 FCC Rcd 5178 (2010) (</w:t>
      </w:r>
      <w:r>
        <w:rPr>
          <w:i/>
        </w:rPr>
        <w:t>Silv NAL</w:t>
      </w:r>
      <w:r>
        <w:t xml:space="preserve">).  </w:t>
      </w:r>
    </w:p>
  </w:footnote>
  <w:footnote w:id="12">
    <w:p w:rsidR="008101D9" w:rsidRDefault="008101D9">
      <w:pPr>
        <w:pStyle w:val="FootnoteText"/>
      </w:pPr>
      <w:r>
        <w:rPr>
          <w:rStyle w:val="FootnoteReference"/>
        </w:rPr>
        <w:footnoteRef/>
      </w:r>
      <w:r>
        <w:t xml:space="preserve"> Complaint from J. Slotnick.</w:t>
      </w:r>
      <w:r w:rsidRPr="00E879AE">
        <w:rPr>
          <w:i/>
        </w:rPr>
        <w:t xml:space="preserve"> </w:t>
      </w:r>
      <w:r>
        <w:rPr>
          <w:i/>
        </w:rPr>
        <w:t xml:space="preserve"> </w:t>
      </w:r>
    </w:p>
  </w:footnote>
  <w:footnote w:id="13">
    <w:p w:rsidR="008101D9" w:rsidRDefault="008101D9">
      <w:pPr>
        <w:pStyle w:val="FootnoteText"/>
      </w:pPr>
      <w:r>
        <w:rPr>
          <w:rStyle w:val="FootnoteReference"/>
        </w:rPr>
        <w:footnoteRef/>
      </w:r>
      <w:r>
        <w:t xml:space="preserve"> Complaint from A. Russo.</w:t>
      </w:r>
      <w:r w:rsidRPr="003E2232">
        <w:rPr>
          <w:i/>
        </w:rPr>
        <w:t xml:space="preserve"> </w:t>
      </w:r>
      <w:r>
        <w:rPr>
          <w:i/>
        </w:rPr>
        <w:t xml:space="preserve"> </w:t>
      </w:r>
    </w:p>
  </w:footnote>
  <w:footnote w:id="14">
    <w:p w:rsidR="008101D9" w:rsidRDefault="008101D9">
      <w:pPr>
        <w:pStyle w:val="FootnoteText"/>
      </w:pPr>
      <w:r>
        <w:rPr>
          <w:rStyle w:val="FootnoteReference"/>
        </w:rPr>
        <w:footnoteRef/>
      </w:r>
      <w:r>
        <w:t xml:space="preserve"> Complaint from M. Tice.</w:t>
      </w:r>
    </w:p>
  </w:footnote>
  <w:footnote w:id="15">
    <w:p w:rsidR="008101D9" w:rsidRDefault="008101D9">
      <w:pPr>
        <w:pStyle w:val="FootnoteText"/>
      </w:pPr>
      <w:r>
        <w:rPr>
          <w:rStyle w:val="FootnoteReference"/>
        </w:rPr>
        <w:footnoteRef/>
      </w:r>
      <w:r>
        <w:t xml:space="preserve"> </w:t>
      </w:r>
      <w:smartTag w:uri="urn:schemas-microsoft-com:office:smarttags" w:element="State">
        <w:smartTag w:uri="urn:schemas-microsoft-com:office:smarttags" w:element="place">
          <w:r w:rsidRPr="004D51AD">
            <w:rPr>
              <w:i/>
            </w:rPr>
            <w:t>Id.</w:t>
          </w:r>
        </w:smartTag>
      </w:smartTag>
    </w:p>
  </w:footnote>
  <w:footnote w:id="16">
    <w:p w:rsidR="008101D9" w:rsidRDefault="008101D9">
      <w:pPr>
        <w:pStyle w:val="FootnoteText"/>
      </w:pPr>
      <w:r>
        <w:rPr>
          <w:rStyle w:val="FootnoteReference"/>
        </w:rPr>
        <w:footnoteRef/>
      </w:r>
      <w:r>
        <w:t xml:space="preserve"> </w:t>
      </w:r>
      <w:r>
        <w:rPr>
          <w:i/>
        </w:rPr>
        <w:t>S</w:t>
      </w:r>
      <w:r w:rsidRPr="00475756">
        <w:rPr>
          <w:i/>
        </w:rPr>
        <w:t>ee</w:t>
      </w:r>
      <w:r>
        <w:rPr>
          <w:i/>
        </w:rPr>
        <w:t xml:space="preserve"> </w:t>
      </w:r>
      <w:r>
        <w:t>Complaint from P. Almon (“This company represented themselves as our carrier, AT&amp;T</w:t>
      </w:r>
      <w:r w:rsidR="00F476F0">
        <w:t>.</w:t>
      </w:r>
      <w:r>
        <w:t>”); Complaint from A. Burton (“A representative called saying she was with AT&amp;T and since we only had one line they had a separate company called Preferred that would be taking over small business accounts with less than 45 lines</w:t>
      </w:r>
      <w:r w:rsidRPr="00887360">
        <w:t>.”); Complaint from G. Busch (“Carrier deceived me by misstating their association with AT&amp;T.”); Complaint from J. Dyer (“Preferred called and said they were a division of AT&amp;T</w:t>
      </w:r>
      <w:r w:rsidR="00F476F0">
        <w:t>.</w:t>
      </w:r>
      <w:r w:rsidRPr="00887360">
        <w:t>”);</w:t>
      </w:r>
      <w:r>
        <w:t xml:space="preserve"> Complaint from W. Legler (</w:t>
      </w:r>
      <w:r w:rsidR="00F476F0">
        <w:t>T</w:t>
      </w:r>
      <w:r>
        <w:t>elemarketer said they were “associated with AT&amp;T</w:t>
      </w:r>
      <w:r w:rsidR="00F476F0">
        <w:t>.</w:t>
      </w:r>
      <w:r>
        <w:t>”); Complaint from B. Schneider (“Preferred Long Distance called on behalf of AT&amp;T</w:t>
      </w:r>
      <w:r w:rsidR="00F476F0">
        <w:t>.</w:t>
      </w:r>
      <w:r>
        <w:t xml:space="preserve">”); Complaint from D. Smith (“I received a phone call on February 28, 2012 from a representative of Preferred Long Distance, Inc. He identified himself as representing AT&amp;T.”); Complaint from D. Williams (“I was told by Preferred that they were with AT&amp;T.”).  Section 503(b)(6) empowers the Commission to propose a forfeiture penalty for violations that occurred within one year preceding the issuance of an NAL.  Thus, this NAL is based on the complaints of consumers, identified in the Appendix, who allege to have been slammed within the past year.  The Commission has reviewed similar complaints during the course of this investigation.  </w:t>
      </w:r>
      <w:r>
        <w:rPr>
          <w:i/>
        </w:rPr>
        <w:t>See, e.g.</w:t>
      </w:r>
      <w:r>
        <w:t>,</w:t>
      </w:r>
      <w:r>
        <w:rPr>
          <w:i/>
        </w:rPr>
        <w:t xml:space="preserve"> </w:t>
      </w:r>
      <w:r w:rsidRPr="00887360">
        <w:t xml:space="preserve">Complaint from M. Carter (“Preferred Long Distance called to offer discounts to [my] phone bill.  Caller identified himself as Jason with AT&amp;T . . . . I asked many times ‘You’re </w:t>
      </w:r>
      <w:r w:rsidRPr="00887360">
        <w:rPr>
          <w:u w:val="single"/>
        </w:rPr>
        <w:t>with</w:t>
      </w:r>
      <w:r w:rsidRPr="00887360">
        <w:t xml:space="preserve"> AT&amp;T’ and Jason replied ‘Yes.’”)</w:t>
      </w:r>
      <w:r>
        <w:t xml:space="preserve">; </w:t>
      </w:r>
      <w:r w:rsidR="00B72203">
        <w:t>Complaint from B. Jellinek (T</w:t>
      </w:r>
      <w:r w:rsidRPr="00887360">
        <w:t>elemarketer</w:t>
      </w:r>
      <w:r>
        <w:t xml:space="preserve"> “stated they were chosen by AT&amp;T to be [her] local &amp; long distance provider.”)</w:t>
      </w:r>
      <w:r w:rsidR="00B72203">
        <w:t>.</w:t>
      </w:r>
    </w:p>
  </w:footnote>
  <w:footnote w:id="17">
    <w:p w:rsidR="008101D9" w:rsidRDefault="008101D9">
      <w:pPr>
        <w:pStyle w:val="FootnoteText"/>
      </w:pPr>
      <w:r>
        <w:rPr>
          <w:rStyle w:val="FootnoteReference"/>
        </w:rPr>
        <w:footnoteRef/>
      </w:r>
      <w:r>
        <w:t xml:space="preserve"> </w:t>
      </w:r>
      <w:r w:rsidRPr="002F24C1">
        <w:rPr>
          <w:i/>
        </w:rPr>
        <w:t>See Long Distance Direct, Inc</w:t>
      </w:r>
      <w:r w:rsidRPr="002F24C1">
        <w:t xml:space="preserve">., Memorandum Opinion and Order, 15 FCC Rcd 3297, 3300, para. 9 (2000); 47 U.S.C. § 217.  </w:t>
      </w:r>
    </w:p>
  </w:footnote>
  <w:footnote w:id="18">
    <w:p w:rsidR="008101D9" w:rsidRDefault="008101D9">
      <w:pPr>
        <w:pStyle w:val="FootnoteText"/>
      </w:pPr>
      <w:r>
        <w:rPr>
          <w:rStyle w:val="FootnoteReference"/>
        </w:rPr>
        <w:footnoteRef/>
      </w:r>
      <w:r>
        <w:t xml:space="preserve"> </w:t>
      </w:r>
      <w:r w:rsidRPr="0028554E">
        <w:rPr>
          <w:i/>
        </w:rPr>
        <w:t>See Eure Family Limited Partnership</w:t>
      </w:r>
      <w:r w:rsidRPr="002F24C1">
        <w:t>, Memorandu</w:t>
      </w:r>
      <w:r w:rsidR="00B72203">
        <w:t>m Opinion and Order, 17 FCC Rcd</w:t>
      </w:r>
      <w:r w:rsidRPr="002F24C1">
        <w:t xml:space="preserve"> 21861, 21863-21864, para. 7 (2002) (</w:t>
      </w:r>
      <w:r w:rsidRPr="0028554E">
        <w:rPr>
          <w:i/>
        </w:rPr>
        <w:t>citing American Paging, Inc. of Virginia</w:t>
      </w:r>
      <w:r w:rsidRPr="002F24C1">
        <w:t xml:space="preserve">, Memorandum Opinion and Order, 12 FCC Rcd 10417, 10420, para. 11 (Wireless Bur., Enf. and Cons. Inf. Div., 1997), </w:t>
      </w:r>
      <w:r w:rsidRPr="0028554E">
        <w:rPr>
          <w:i/>
        </w:rPr>
        <w:t>quoting Triad Broadcasting Company, I</w:t>
      </w:r>
      <w:r w:rsidRPr="00B72203">
        <w:rPr>
          <w:i/>
        </w:rPr>
        <w:t>nc</w:t>
      </w:r>
      <w:r w:rsidRPr="002F24C1">
        <w:t>., Memorandum Opinion and Order, 96 FCC 2d 1235, 1244, para. 21 (1984))</w:t>
      </w:r>
      <w:r>
        <w:t>.</w:t>
      </w:r>
    </w:p>
  </w:footnote>
  <w:footnote w:id="19">
    <w:p w:rsidR="008101D9" w:rsidRDefault="008101D9" w:rsidP="00A546C0">
      <w:pPr>
        <w:pStyle w:val="FootnoteText"/>
      </w:pPr>
      <w:r>
        <w:rPr>
          <w:rStyle w:val="FootnoteReference"/>
        </w:rPr>
        <w:footnoteRef/>
      </w:r>
      <w:r>
        <w:t xml:space="preserve"> 47 U.S.C. § 258(a).  The Commission has found that a submitting carrier violates Section 258 of the Act when it effectuates a change in a consumer’s preferred carrier through engaging in deceptive practices, such as misrepresentations about its identity, designed to prevent the consumer from understanding that the submitting carrier is, in fact, seeking to change the consumer’s preferred carrier.  </w:t>
      </w:r>
      <w:r w:rsidRPr="00F3094C">
        <w:rPr>
          <w:i/>
        </w:rPr>
        <w:t xml:space="preserve">See </w:t>
      </w:r>
      <w:r w:rsidRPr="000C278D">
        <w:rPr>
          <w:i/>
        </w:rPr>
        <w:t>BDP Forfeiture Order</w:t>
      </w:r>
      <w:r>
        <w:t xml:space="preserve">, </w:t>
      </w:r>
      <w:r w:rsidRPr="00AE0AB7">
        <w:t>15</w:t>
      </w:r>
      <w:r>
        <w:t xml:space="preserve"> FCC Rcd at 14467, para. 12 (the Commission found that “BDP knew, or should have known, that consumers acting reasonably under these circumstances would be misled or confused by BDP’s telemarketing calls and that therefore, consumers were not authorizing a PIC change.”).</w:t>
      </w:r>
    </w:p>
  </w:footnote>
  <w:footnote w:id="20">
    <w:p w:rsidR="008101D9" w:rsidRDefault="008101D9" w:rsidP="00A546C0">
      <w:pPr>
        <w:pStyle w:val="FootnoteText"/>
      </w:pPr>
      <w:r>
        <w:rPr>
          <w:rStyle w:val="FootnoteReference"/>
        </w:rPr>
        <w:footnoteRef/>
      </w:r>
      <w:r>
        <w:t xml:space="preserve"> 47 C.F.R. § 64.1120(c)(1).    </w:t>
      </w:r>
    </w:p>
  </w:footnote>
  <w:footnote w:id="21">
    <w:p w:rsidR="008101D9" w:rsidRDefault="008101D9" w:rsidP="00A546C0">
      <w:pPr>
        <w:pStyle w:val="FootnoteText"/>
      </w:pPr>
      <w:r>
        <w:rPr>
          <w:rStyle w:val="FootnoteReference"/>
        </w:rPr>
        <w:footnoteRef/>
      </w:r>
      <w:r>
        <w:t xml:space="preserve"> 47 C.F.R. § 64.1120(c)(2).  </w:t>
      </w:r>
    </w:p>
  </w:footnote>
  <w:footnote w:id="22">
    <w:p w:rsidR="008101D9" w:rsidRDefault="008101D9">
      <w:pPr>
        <w:pStyle w:val="FootnoteText"/>
      </w:pPr>
      <w:r>
        <w:rPr>
          <w:rStyle w:val="FootnoteReference"/>
        </w:rPr>
        <w:footnoteRef/>
      </w:r>
      <w:r>
        <w:t xml:space="preserve"> Third part</w:t>
      </w:r>
      <w:r w:rsidR="00B72203">
        <w:t>y verification or TPV</w:t>
      </w:r>
      <w:r>
        <w:t>, is one of the methods a carrier may use to verify and record a consumer’s authorization to change his or her preferred long distance carrier.  In general, the TPV procedures involve verification of a consumer’s oral authorization to change preferred carriers by an independent third party and must strictly comply with Section 64.1120(c)(3) of the Commission’s rules, 47 C.F.R.</w:t>
      </w:r>
      <w:r w:rsidRPr="00477A36">
        <w:t xml:space="preserve"> </w:t>
      </w:r>
      <w:r>
        <w:t>§ 64.1120(c)(3).</w:t>
      </w:r>
    </w:p>
  </w:footnote>
  <w:footnote w:id="23">
    <w:p w:rsidR="008101D9" w:rsidRDefault="008101D9" w:rsidP="00A546C0">
      <w:pPr>
        <w:pStyle w:val="FootnoteText"/>
      </w:pPr>
      <w:r>
        <w:rPr>
          <w:rStyle w:val="FootnoteReference"/>
        </w:rPr>
        <w:footnoteRef/>
      </w:r>
      <w:r>
        <w:t xml:space="preserve"> 47 C.F.R. § 64.1120(c)(3).  </w:t>
      </w:r>
    </w:p>
  </w:footnote>
  <w:footnote w:id="24">
    <w:p w:rsidR="008101D9" w:rsidRDefault="008101D9" w:rsidP="00F2233B">
      <w:pPr>
        <w:pStyle w:val="FootnoteText"/>
      </w:pPr>
      <w:r>
        <w:rPr>
          <w:rStyle w:val="FootnoteReference"/>
        </w:rPr>
        <w:footnoteRef/>
      </w:r>
      <w:r>
        <w:t xml:space="preserve"> 47 C.F.R. § 64.1120(c)(3)(iii).  A l</w:t>
      </w:r>
      <w:r w:rsidRPr="004F1699">
        <w:t>ocal access and transport area</w:t>
      </w:r>
      <w:r>
        <w:t xml:space="preserve">, or LATA, can </w:t>
      </w:r>
      <w:r w:rsidRPr="004F1699">
        <w:t>cross over state boundaries</w:t>
      </w:r>
      <w:r>
        <w:t xml:space="preserve">.  Some states have more than one LATA. </w:t>
      </w:r>
      <w:r w:rsidRPr="004F1699">
        <w:t xml:space="preserve"> LATAs </w:t>
      </w:r>
      <w:r>
        <w:t xml:space="preserve">can </w:t>
      </w:r>
      <w:r w:rsidRPr="004F1699">
        <w:t xml:space="preserve">exist in multiple area codes and </w:t>
      </w:r>
      <w:r>
        <w:t>an area</w:t>
      </w:r>
      <w:r w:rsidRPr="004F1699">
        <w:t xml:space="preserve"> code </w:t>
      </w:r>
      <w:r>
        <w:t>can be</w:t>
      </w:r>
      <w:r w:rsidRPr="004F1699">
        <w:t xml:space="preserve"> in </w:t>
      </w:r>
      <w:r>
        <w:t>more than one</w:t>
      </w:r>
      <w:r w:rsidRPr="004F1699">
        <w:t xml:space="preserve"> LATA.</w:t>
      </w:r>
      <w:r>
        <w:t xml:space="preserve">  An intrastate call can be an interLATA toll call.</w:t>
      </w:r>
    </w:p>
  </w:footnote>
  <w:footnote w:id="25">
    <w:p w:rsidR="008101D9" w:rsidRDefault="008101D9" w:rsidP="00F2233B">
      <w:pPr>
        <w:pStyle w:val="FootnoteText"/>
      </w:pPr>
      <w:r>
        <w:rPr>
          <w:rStyle w:val="FootnoteReference"/>
        </w:rPr>
        <w:footnoteRef/>
      </w:r>
      <w:r>
        <w:t xml:space="preserve"> </w:t>
      </w:r>
      <w:r>
        <w:rPr>
          <w:i/>
        </w:rPr>
        <w:t xml:space="preserve">See Implementation of the Subscriber Carrier Selection Changes Provisions of the </w:t>
      </w:r>
      <w:smartTag w:uri="urn:schemas-microsoft-com:office:smarttags" w:element="PersonName">
        <w:r>
          <w:rPr>
            <w:i/>
          </w:rPr>
          <w:t>Telecommunications</w:t>
        </w:r>
      </w:smartTag>
      <w:r>
        <w:rPr>
          <w:i/>
        </w:rPr>
        <w:t xml:space="preserve"> Act of 1996; Policies and Rules Concerning Unauthorized Changes of Consumers’ Long Distance Carriers</w:t>
      </w:r>
      <w:r>
        <w:t>, CC Docket No. 94-129, Fourth Report and Or</w:t>
      </w:r>
      <w:r w:rsidR="00731E7F">
        <w:t xml:space="preserve">der, 23 FCC Rcd 493, 493, para. </w:t>
      </w:r>
      <w:r>
        <w:t>1 (2008) (</w:t>
      </w:r>
      <w:r w:rsidRPr="006B631C">
        <w:rPr>
          <w:i/>
        </w:rPr>
        <w:t>Fourth Report and Order</w:t>
      </w:r>
      <w:r>
        <w:t>).</w:t>
      </w:r>
      <w:r w:rsidRPr="004F3083">
        <w:rPr>
          <w:i/>
        </w:rPr>
        <w:t xml:space="preserve"> </w:t>
      </w:r>
      <w:r>
        <w:rPr>
          <w:i/>
        </w:rPr>
        <w:t xml:space="preserve"> </w:t>
      </w:r>
      <w:r w:rsidRPr="002235DA">
        <w:rPr>
          <w:i/>
        </w:rPr>
        <w:t xml:space="preserve">See also Consumer Telcom, Inc., Complaints Regarding Unauthorized Change of Subscriber’s </w:t>
      </w:r>
      <w:smartTag w:uri="urn:schemas-microsoft-com:office:smarttags" w:element="PersonName">
        <w:r w:rsidRPr="002235DA">
          <w:rPr>
            <w:i/>
          </w:rPr>
          <w:t>Telecommunications</w:t>
        </w:r>
      </w:smartTag>
      <w:r w:rsidRPr="002235DA">
        <w:rPr>
          <w:i/>
        </w:rPr>
        <w:t xml:space="preserve"> Carrier</w:t>
      </w:r>
      <w:r>
        <w:t>, Order on Reconsideration, 27 FCC Rcd 5340, 5341-42, para. 5 (CGB 2012) (reiterating that any description of the carrier change transaction must not be misleading).</w:t>
      </w:r>
    </w:p>
  </w:footnote>
  <w:footnote w:id="26">
    <w:p w:rsidR="008101D9" w:rsidRDefault="008101D9">
      <w:pPr>
        <w:pStyle w:val="FootnoteText"/>
      </w:pPr>
      <w:r>
        <w:rPr>
          <w:rStyle w:val="FootnoteReference"/>
        </w:rPr>
        <w:footnoteRef/>
      </w:r>
      <w:r w:rsidR="00731E7F">
        <w:t xml:space="preserve"> Complaint from A. Russo; </w:t>
      </w:r>
      <w:r w:rsidRPr="008E1E2C">
        <w:rPr>
          <w:i/>
        </w:rPr>
        <w:t>Preferred Long Distance, Inc., Complaint</w:t>
      </w:r>
      <w:r>
        <w:rPr>
          <w:i/>
        </w:rPr>
        <w:t>s</w:t>
      </w:r>
      <w:r w:rsidRPr="008E1E2C">
        <w:rPr>
          <w:i/>
        </w:rPr>
        <w:t xml:space="preserve"> Regarding Unauthorized Change of Subscriber’s Telecommunications Carrier</w:t>
      </w:r>
      <w:r>
        <w:t>, Order, 27 FCC Rcd 9026 (CGB 2012).</w:t>
      </w:r>
      <w:r w:rsidR="00731E7F" w:rsidRPr="00731E7F">
        <w:rPr>
          <w:i/>
        </w:rPr>
        <w:t xml:space="preserve"> </w:t>
      </w:r>
      <w:r w:rsidR="00731E7F">
        <w:rPr>
          <w:i/>
        </w:rPr>
        <w:t xml:space="preserve"> </w:t>
      </w:r>
      <w:r w:rsidR="00731E7F" w:rsidRPr="000A534F">
        <w:rPr>
          <w:i/>
        </w:rPr>
        <w:t>See</w:t>
      </w:r>
      <w:r w:rsidR="00731E7F">
        <w:t xml:space="preserve"> 47 C.F.R. § 64.1120(c)(3)(iii).  </w:t>
      </w:r>
    </w:p>
  </w:footnote>
  <w:footnote w:id="27">
    <w:p w:rsidR="008101D9" w:rsidRDefault="008101D9">
      <w:pPr>
        <w:pStyle w:val="FootnoteText"/>
      </w:pPr>
      <w:r>
        <w:rPr>
          <w:rStyle w:val="FootnoteReference"/>
        </w:rPr>
        <w:footnoteRef/>
      </w:r>
      <w:r>
        <w:t xml:space="preserve"> Complaint from D. Williams.</w:t>
      </w:r>
    </w:p>
  </w:footnote>
  <w:footnote w:id="28">
    <w:p w:rsidR="008101D9" w:rsidRDefault="008101D9">
      <w:pPr>
        <w:pStyle w:val="FootnoteText"/>
      </w:pPr>
      <w:r>
        <w:rPr>
          <w:rStyle w:val="FootnoteReference"/>
        </w:rPr>
        <w:footnoteRef/>
      </w:r>
      <w:r>
        <w:t xml:space="preserve"> </w:t>
      </w:r>
      <w:r w:rsidRPr="007611F1">
        <w:t xml:space="preserve">Complaint from P. Almon; Complaint from J. Ariza; Complaint from A. Burton; Complaint from G. Busch; Complaint from J. Dyer; Complaint from W. Legler; Complaint from F. Littleton; Complaint from B. Littmann; Complaint from B. Schneider; Complaint from J. Slotnick; Complaint from D. Smith; Complaint from M. Tice; Complaint from D. Williams. </w:t>
      </w:r>
      <w:r w:rsidRPr="007611F1">
        <w:rPr>
          <w:i/>
        </w:rPr>
        <w:t xml:space="preserve"> See Preferred Long Distance, Inc., Complaint Regarding Unauthorized Change of Subscribers’ Telecommunications Carrier</w:t>
      </w:r>
      <w:r w:rsidRPr="007611F1">
        <w:t xml:space="preserve">, Order, DA 12-1900 (rel. Nov. 28, 2012); </w:t>
      </w:r>
      <w:r w:rsidRPr="007611F1">
        <w:rPr>
          <w:i/>
        </w:rPr>
        <w:t>Preferred Long Distance, Inc</w:t>
      </w:r>
      <w:r w:rsidRPr="00A06888">
        <w:rPr>
          <w:i/>
        </w:rPr>
        <w:t>., Complaint Regarding Unauthorized Change of Subscribe</w:t>
      </w:r>
      <w:r>
        <w:rPr>
          <w:i/>
        </w:rPr>
        <w:t>r’s</w:t>
      </w:r>
      <w:r w:rsidRPr="00A06888">
        <w:rPr>
          <w:i/>
        </w:rPr>
        <w:t xml:space="preserve"> Telecommunications Carrier</w:t>
      </w:r>
      <w:r>
        <w:t xml:space="preserve">, Order, </w:t>
      </w:r>
      <w:r w:rsidR="00731E7F">
        <w:t>27 FCC Rcd 13381</w:t>
      </w:r>
      <w:r>
        <w:t xml:space="preserve"> (</w:t>
      </w:r>
      <w:r w:rsidR="00731E7F">
        <w:t>CGB</w:t>
      </w:r>
      <w:r>
        <w:t xml:space="preserve"> 2012); </w:t>
      </w:r>
      <w:r w:rsidRPr="008E1E2C">
        <w:rPr>
          <w:i/>
        </w:rPr>
        <w:t>Preferred Long Distance, Inc., Complaint</w:t>
      </w:r>
      <w:r>
        <w:rPr>
          <w:i/>
        </w:rPr>
        <w:t>s</w:t>
      </w:r>
      <w:r w:rsidRPr="008E1E2C">
        <w:rPr>
          <w:i/>
        </w:rPr>
        <w:t xml:space="preserve"> Regarding Unauthorized Change of Subscriber’s Telecommunications Carrier</w:t>
      </w:r>
      <w:r>
        <w:t xml:space="preserve">, Order, </w:t>
      </w:r>
      <w:r w:rsidR="00546AB3">
        <w:t>27 FCC Rcd 13333</w:t>
      </w:r>
      <w:r>
        <w:t xml:space="preserve"> (</w:t>
      </w:r>
      <w:r w:rsidR="00546AB3">
        <w:t>CGB</w:t>
      </w:r>
      <w:r>
        <w:t xml:space="preserve"> 2012); </w:t>
      </w:r>
      <w:r w:rsidRPr="008E1E2C">
        <w:rPr>
          <w:i/>
        </w:rPr>
        <w:t>Preferred Long Distance, Inc., Complaint</w:t>
      </w:r>
      <w:r>
        <w:rPr>
          <w:i/>
        </w:rPr>
        <w:t>s</w:t>
      </w:r>
      <w:r w:rsidRPr="008E1E2C">
        <w:rPr>
          <w:i/>
        </w:rPr>
        <w:t xml:space="preserve"> Regarding Unauthorized Change of Subscriber’s Telecommunications Carrier</w:t>
      </w:r>
      <w:r>
        <w:t xml:space="preserve">, Order, </w:t>
      </w:r>
      <w:r w:rsidR="00546AB3">
        <w:t>27 FCC Rcd 13328</w:t>
      </w:r>
      <w:r>
        <w:t xml:space="preserve"> (</w:t>
      </w:r>
      <w:r w:rsidR="00546AB3">
        <w:t>CGB</w:t>
      </w:r>
      <w:r>
        <w:t xml:space="preserve"> 2012); </w:t>
      </w:r>
      <w:r w:rsidRPr="008E1E2C">
        <w:rPr>
          <w:i/>
        </w:rPr>
        <w:t>Preferred Long Distance, Inc., Complaint</w:t>
      </w:r>
      <w:r>
        <w:rPr>
          <w:i/>
        </w:rPr>
        <w:t>s</w:t>
      </w:r>
      <w:r w:rsidRPr="008E1E2C">
        <w:rPr>
          <w:i/>
        </w:rPr>
        <w:t xml:space="preserve"> Regarding Unauthorized Change of Subscriber’s </w:t>
      </w:r>
      <w:smartTag w:uri="urn:schemas-microsoft-com:office:smarttags" w:element="PersonName">
        <w:r w:rsidRPr="008E1E2C">
          <w:rPr>
            <w:i/>
          </w:rPr>
          <w:t>Telecommunications</w:t>
        </w:r>
      </w:smartTag>
      <w:r w:rsidRPr="008E1E2C">
        <w:rPr>
          <w:i/>
        </w:rPr>
        <w:t xml:space="preserve"> Carrier</w:t>
      </w:r>
      <w:r>
        <w:t>, Order, 27 FCC Rcd 9021 (CGB 2012).</w:t>
      </w:r>
    </w:p>
  </w:footnote>
  <w:footnote w:id="29">
    <w:p w:rsidR="008101D9" w:rsidRDefault="008101D9">
      <w:pPr>
        <w:pStyle w:val="FootnoteText"/>
      </w:pPr>
      <w:r>
        <w:rPr>
          <w:rStyle w:val="FootnoteReference"/>
        </w:rPr>
        <w:footnoteRef/>
      </w:r>
      <w:r>
        <w:t xml:space="preserve"> 47 C.F.R. § 64.1120(c)(3)(iii).</w:t>
      </w:r>
    </w:p>
  </w:footnote>
  <w:footnote w:id="30">
    <w:p w:rsidR="008101D9" w:rsidRDefault="008101D9" w:rsidP="00C00471">
      <w:pPr>
        <w:pStyle w:val="FootnoteText"/>
      </w:pPr>
      <w:r>
        <w:rPr>
          <w:rStyle w:val="FootnoteReference"/>
        </w:rPr>
        <w:footnoteRef/>
      </w:r>
      <w:r>
        <w:t xml:space="preserve"> </w:t>
      </w:r>
      <w:r w:rsidRPr="00B049B7">
        <w:rPr>
          <w:i/>
        </w:rPr>
        <w:t>See</w:t>
      </w:r>
      <w:r>
        <w:t xml:space="preserve"> 47 C.F.R. § 64.1120(c)(3).</w:t>
      </w:r>
    </w:p>
  </w:footnote>
  <w:footnote w:id="31">
    <w:p w:rsidR="008101D9" w:rsidRDefault="008101D9" w:rsidP="005C5600">
      <w:pPr>
        <w:pStyle w:val="FootnoteText"/>
      </w:pPr>
      <w:r>
        <w:rPr>
          <w:rStyle w:val="FootnoteReference"/>
        </w:rPr>
        <w:footnoteRef/>
      </w:r>
      <w:r>
        <w:t xml:space="preserve"> </w:t>
      </w:r>
      <w:r w:rsidRPr="00545C97">
        <w:rPr>
          <w:i/>
        </w:rPr>
        <w:t xml:space="preserve">See Silv </w:t>
      </w:r>
      <w:r>
        <w:rPr>
          <w:i/>
        </w:rPr>
        <w:t>NAL</w:t>
      </w:r>
      <w:r>
        <w:t xml:space="preserve">, 25 FCC Rcd at 5184, para. 12. </w:t>
      </w:r>
    </w:p>
  </w:footnote>
  <w:footnote w:id="32">
    <w:p w:rsidR="008101D9" w:rsidRDefault="008101D9" w:rsidP="00F2507E">
      <w:pPr>
        <w:widowControl/>
        <w:rPr>
          <w:sz w:val="20"/>
        </w:rPr>
      </w:pPr>
      <w:r>
        <w:rPr>
          <w:rStyle w:val="FootnoteReference"/>
        </w:rPr>
        <w:footnoteRef/>
      </w:r>
      <w:r>
        <w:t xml:space="preserve"> </w:t>
      </w:r>
      <w:r w:rsidRPr="00F2507E">
        <w:rPr>
          <w:sz w:val="20"/>
        </w:rPr>
        <w:t xml:space="preserve">Complaint from F. Littleton.  </w:t>
      </w:r>
      <w:r>
        <w:rPr>
          <w:sz w:val="20"/>
        </w:rPr>
        <w:t xml:space="preserve">Bureau staff is aware of additional situations where the complainants argue that Preferred was specifically told by the person who purportedly authorized the carrier change switch that such person, in fact, was </w:t>
      </w:r>
      <w:r w:rsidRPr="00F2507E">
        <w:rPr>
          <w:i/>
          <w:sz w:val="20"/>
        </w:rPr>
        <w:t>not</w:t>
      </w:r>
      <w:r>
        <w:rPr>
          <w:sz w:val="20"/>
        </w:rPr>
        <w:t xml:space="preserve"> authorized to make the switch.   </w:t>
      </w:r>
      <w:r w:rsidRPr="00F2507E">
        <w:rPr>
          <w:i/>
          <w:sz w:val="20"/>
        </w:rPr>
        <w:t>See</w:t>
      </w:r>
      <w:r>
        <w:rPr>
          <w:i/>
          <w:sz w:val="20"/>
        </w:rPr>
        <w:t>,</w:t>
      </w:r>
      <w:r w:rsidRPr="00F2507E">
        <w:rPr>
          <w:i/>
          <w:sz w:val="20"/>
        </w:rPr>
        <w:t xml:space="preserve"> </w:t>
      </w:r>
      <w:r>
        <w:rPr>
          <w:i/>
          <w:sz w:val="20"/>
        </w:rPr>
        <w:t>e.g.,</w:t>
      </w:r>
      <w:r w:rsidRPr="00F2507E">
        <w:rPr>
          <w:sz w:val="20"/>
        </w:rPr>
        <w:t xml:space="preserve"> Complaint from L. Sakuma (“the employee . . . stated that he . . . was just a worker…” and has no authority to make any decisions).  The Bureau staff reviewed the TPV for the Sakuma complaint.  The TPV contains the statement from the employee that he was a cashier and does not have an affirmative response—or any response at all—to the specific question asked by the telemarketer to the employee as to whether the employee had the authority to agree to the carrier change.</w:t>
      </w:r>
    </w:p>
    <w:p w:rsidR="008101D9" w:rsidRDefault="008101D9" w:rsidP="00F2507E">
      <w:pPr>
        <w:widowControl/>
      </w:pPr>
    </w:p>
  </w:footnote>
  <w:footnote w:id="33">
    <w:p w:rsidR="008101D9" w:rsidRDefault="008101D9">
      <w:pPr>
        <w:pStyle w:val="FootnoteText"/>
      </w:pPr>
      <w:r w:rsidRPr="00F2507E">
        <w:rPr>
          <w:rStyle w:val="FootnoteReference"/>
          <w:sz w:val="20"/>
        </w:rPr>
        <w:footnoteRef/>
      </w:r>
      <w:r w:rsidRPr="00F2507E">
        <w:t xml:space="preserve"> </w:t>
      </w:r>
      <w:r w:rsidRPr="00F2507E">
        <w:rPr>
          <w:i/>
        </w:rPr>
        <w:t>See</w:t>
      </w:r>
      <w:r w:rsidRPr="00F2507E">
        <w:t xml:space="preserve"> Letter from Keith Nussbaum, Regulatory Contact, Preferred Long Distanc</w:t>
      </w:r>
      <w:r w:rsidR="00B72203">
        <w:t>e, Inc., to the FCC Consumer &amp;</w:t>
      </w:r>
      <w:r w:rsidRPr="00F2507E">
        <w:t xml:space="preserve"> Governmental Affairs Bureau (June 5, 2012) regarding the Complaint from F. Littleton.</w:t>
      </w:r>
    </w:p>
  </w:footnote>
  <w:footnote w:id="34">
    <w:p w:rsidR="008101D9" w:rsidRDefault="008101D9" w:rsidP="005C5600">
      <w:pPr>
        <w:pStyle w:val="FootnoteText"/>
      </w:pPr>
      <w:r>
        <w:rPr>
          <w:rStyle w:val="FootnoteReference"/>
        </w:rPr>
        <w:footnoteRef/>
      </w:r>
      <w:r>
        <w:t xml:space="preserve"> </w:t>
      </w:r>
      <w:r w:rsidRPr="00072E65">
        <w:rPr>
          <w:i/>
        </w:rPr>
        <w:t>See, e.g., New Century Telecom, Inc</w:t>
      </w:r>
      <w:r>
        <w:t xml:space="preserve">., </w:t>
      </w:r>
      <w:r w:rsidRPr="00347E0C">
        <w:rPr>
          <w:i/>
        </w:rPr>
        <w:t>Complaints regarding Unauthorized Change of Subscriber’s Telecommunications Carrier</w:t>
      </w:r>
      <w:r>
        <w:t xml:space="preserve">, Order, 25 FCC Rcd 5911, 5913, para. 4 (CGB 2010) (finding that TPV recordings did not include references to intrastate interLATA service and concluding that verifier did not obtain authorization to switch interLATA service); </w:t>
      </w:r>
      <w:r w:rsidRPr="00347E0C">
        <w:rPr>
          <w:i/>
        </w:rPr>
        <w:t xml:space="preserve">United Telecom, Inc., </w:t>
      </w:r>
      <w:r w:rsidRPr="000D35CF">
        <w:rPr>
          <w:i/>
        </w:rPr>
        <w:t>Complaint Regarding Unauthorized Change of Subscriber’s Telecommunications Carrier</w:t>
      </w:r>
      <w:r>
        <w:t xml:space="preserve">, Order, 27 FCC Rcd 5758 (CGB 2012).  </w:t>
      </w:r>
    </w:p>
  </w:footnote>
  <w:footnote w:id="35">
    <w:p w:rsidR="008101D9" w:rsidRDefault="008101D9" w:rsidP="00FA6E10">
      <w:pPr>
        <w:pStyle w:val="FootnoteText"/>
      </w:pPr>
      <w:r w:rsidRPr="00AE275A">
        <w:rPr>
          <w:rStyle w:val="FootnoteReference"/>
          <w:color w:val="000000"/>
        </w:rPr>
        <w:footnoteRef/>
      </w:r>
      <w:r w:rsidRPr="00AE275A">
        <w:rPr>
          <w:color w:val="000000"/>
        </w:rPr>
        <w:t xml:space="preserve"> </w:t>
      </w:r>
      <w:hyperlink r:id="rId1" w:tgtFrame="_top" w:history="1">
        <w:r w:rsidRPr="00AE275A">
          <w:rPr>
            <w:rStyle w:val="Hyperlink"/>
            <w:color w:val="000000"/>
            <w:u w:val="none"/>
          </w:rPr>
          <w:t>47 U.S.C. §</w:t>
        </w:r>
        <w:r>
          <w:rPr>
            <w:rStyle w:val="Hyperlink"/>
            <w:color w:val="000000"/>
            <w:u w:val="none"/>
          </w:rPr>
          <w:t xml:space="preserve"> </w:t>
        </w:r>
        <w:r w:rsidRPr="00AE275A">
          <w:rPr>
            <w:rStyle w:val="Hyperlink"/>
            <w:color w:val="000000"/>
            <w:u w:val="none"/>
          </w:rPr>
          <w:t>503(b)(1)(B)</w:t>
        </w:r>
      </w:hyperlink>
      <w:r>
        <w:rPr>
          <w:color w:val="000000"/>
        </w:rPr>
        <w:t xml:space="preserve">; </w:t>
      </w:r>
      <w:r w:rsidRPr="005F36F0">
        <w:rPr>
          <w:i/>
          <w:color w:val="000000"/>
        </w:rPr>
        <w:t>s</w:t>
      </w:r>
      <w:r w:rsidRPr="00AE275A">
        <w:rPr>
          <w:i/>
          <w:color w:val="000000"/>
        </w:rPr>
        <w:t>ee also</w:t>
      </w:r>
      <w:r w:rsidRPr="00AE275A">
        <w:rPr>
          <w:color w:val="000000"/>
        </w:rPr>
        <w:t xml:space="preserve"> </w:t>
      </w:r>
      <w:hyperlink r:id="rId2" w:tgtFrame="_top" w:history="1">
        <w:r w:rsidRPr="00AE275A">
          <w:rPr>
            <w:rStyle w:val="Hyperlink"/>
            <w:color w:val="000000"/>
            <w:u w:val="none"/>
          </w:rPr>
          <w:t>47 C.F.R. § 1.80(a)(2)</w:t>
        </w:r>
      </w:hyperlink>
      <w:r w:rsidRPr="00AE275A">
        <w:rPr>
          <w:color w:val="000000"/>
        </w:rPr>
        <w:t>.</w:t>
      </w:r>
    </w:p>
  </w:footnote>
  <w:footnote w:id="36">
    <w:p w:rsidR="008101D9" w:rsidRDefault="008101D9" w:rsidP="00FA6E10">
      <w:pPr>
        <w:pStyle w:val="FootnoteText"/>
      </w:pPr>
      <w:r w:rsidRPr="003F5DE8">
        <w:rPr>
          <w:rStyle w:val="FootnoteReference"/>
          <w:color w:val="000000"/>
        </w:rPr>
        <w:footnoteRef/>
      </w:r>
      <w:r w:rsidRPr="003F5DE8">
        <w:rPr>
          <w:color w:val="000000"/>
        </w:rPr>
        <w:t xml:space="preserve"> </w:t>
      </w:r>
      <w:hyperlink r:id="rId3" w:tgtFrame="_top" w:history="1">
        <w:r w:rsidRPr="003F5DE8">
          <w:rPr>
            <w:rStyle w:val="Hyperlink"/>
            <w:color w:val="000000"/>
            <w:u w:val="none"/>
          </w:rPr>
          <w:t>47 U.S.C. § 503(b)(2)(B)</w:t>
        </w:r>
      </w:hyperlink>
      <w:r>
        <w:rPr>
          <w:color w:val="000000"/>
        </w:rPr>
        <w:t xml:space="preserve">; </w:t>
      </w:r>
      <w:r w:rsidRPr="005F36F0">
        <w:rPr>
          <w:i/>
          <w:color w:val="000000"/>
        </w:rPr>
        <w:t>s</w:t>
      </w:r>
      <w:r w:rsidRPr="003F5DE8">
        <w:rPr>
          <w:i/>
          <w:color w:val="000000"/>
        </w:rPr>
        <w:t>ee also</w:t>
      </w:r>
      <w:r w:rsidRPr="003F5DE8">
        <w:rPr>
          <w:color w:val="000000"/>
        </w:rPr>
        <w:t xml:space="preserve"> </w:t>
      </w:r>
      <w:hyperlink r:id="rId4" w:tgtFrame="_top" w:history="1">
        <w:r w:rsidRPr="003F5DE8">
          <w:rPr>
            <w:rStyle w:val="Hyperlink"/>
            <w:color w:val="000000"/>
            <w:u w:val="none"/>
          </w:rPr>
          <w:t>47 C.F.R. § 1.80(b)(2)</w:t>
        </w:r>
      </w:hyperlink>
      <w:r w:rsidRPr="003F5DE8">
        <w:rPr>
          <w:color w:val="000000"/>
        </w:rPr>
        <w:t xml:space="preserve">.  </w:t>
      </w:r>
      <w:r w:rsidRPr="004E00FB">
        <w:rPr>
          <w:i/>
          <w:color w:val="000000"/>
        </w:rPr>
        <w:t>See Amendment o</w:t>
      </w:r>
      <w:r>
        <w:rPr>
          <w:i/>
          <w:color w:val="000000"/>
        </w:rPr>
        <w:t xml:space="preserve">f Section 1.80 of the Commission’s Rules, </w:t>
      </w:r>
      <w:r w:rsidRPr="004E00FB">
        <w:rPr>
          <w:i/>
          <w:color w:val="000000"/>
        </w:rPr>
        <w:t>Adjustment of Forfeiture Maxima to Reflect Inflation</w:t>
      </w:r>
      <w:r w:rsidRPr="00536D3A">
        <w:rPr>
          <w:color w:val="000000"/>
        </w:rPr>
        <w:t xml:space="preserve">, </w:t>
      </w:r>
      <w:r>
        <w:rPr>
          <w:color w:val="000000"/>
        </w:rPr>
        <w:t xml:space="preserve">Order, </w:t>
      </w:r>
      <w:r w:rsidRPr="00536D3A">
        <w:rPr>
          <w:color w:val="000000"/>
        </w:rPr>
        <w:t xml:space="preserve">23 FCC Rcd 9845, 9847 (2008) (adjusting the maximum statutory amounts for common carriers from $130,000/$1,300,000 to $150,000/$1,500,000). </w:t>
      </w:r>
    </w:p>
  </w:footnote>
  <w:footnote w:id="37">
    <w:p w:rsidR="008101D9" w:rsidRDefault="008101D9" w:rsidP="005F62B5">
      <w:pPr>
        <w:pStyle w:val="FootnoteText"/>
      </w:pPr>
      <w:r>
        <w:rPr>
          <w:rStyle w:val="FootnoteReference"/>
        </w:rPr>
        <w:footnoteRef/>
      </w:r>
      <w:r>
        <w:t xml:space="preserve"> </w:t>
      </w:r>
      <w:r>
        <w:rPr>
          <w:i/>
        </w:rPr>
        <w:t>Southern California Broadcasting Co.</w:t>
      </w:r>
      <w:r>
        <w:t>, Memorandum Opinion and Order, 6 FCC Rcd 4387, 4388, para. 5 (1991).</w:t>
      </w:r>
    </w:p>
  </w:footnote>
  <w:footnote w:id="38">
    <w:p w:rsidR="008101D9" w:rsidRDefault="008101D9" w:rsidP="005F62B5">
      <w:pPr>
        <w:pStyle w:val="FootnoteText"/>
        <w:tabs>
          <w:tab w:val="left" w:pos="-720"/>
        </w:tabs>
        <w:suppressAutoHyphens/>
        <w:spacing w:after="0"/>
      </w:pPr>
      <w:r>
        <w:rPr>
          <w:rStyle w:val="FootnoteReference"/>
        </w:rPr>
        <w:footnoteRef/>
      </w:r>
      <w:r>
        <w:rPr>
          <w:i/>
        </w:rPr>
        <w:t xml:space="preserve"> See</w:t>
      </w:r>
      <w:r>
        <w:t xml:space="preserve"> 47 U.S.C. § 503(b)(2)(E); </w:t>
      </w:r>
      <w:r>
        <w:rPr>
          <w:i/>
        </w:rPr>
        <w:t>see also The Commission’s Forfeiture Policy Statement and Amendment of Section 1.80 of the Commission’s Rules</w:t>
      </w:r>
      <w:r>
        <w:t>, Report and Order, 12 FCC Rcd 17087, 17100–01, para. 27 (1997) (</w:t>
      </w:r>
      <w:r>
        <w:rPr>
          <w:i/>
        </w:rPr>
        <w:t>Forfeiture Policy Statement</w:t>
      </w:r>
      <w:r>
        <w:t>).</w:t>
      </w:r>
    </w:p>
    <w:p w:rsidR="008101D9" w:rsidRDefault="008101D9" w:rsidP="005F62B5">
      <w:pPr>
        <w:pStyle w:val="FootnoteText"/>
        <w:tabs>
          <w:tab w:val="left" w:pos="-720"/>
        </w:tabs>
        <w:suppressAutoHyphens/>
        <w:spacing w:after="0"/>
      </w:pPr>
    </w:p>
  </w:footnote>
  <w:footnote w:id="39">
    <w:p w:rsidR="008101D9" w:rsidRDefault="008101D9" w:rsidP="005F62B5">
      <w:pPr>
        <w:pStyle w:val="FootnoteText"/>
      </w:pPr>
      <w:r>
        <w:rPr>
          <w:rStyle w:val="FootnoteReference"/>
        </w:rPr>
        <w:footnoteRef/>
      </w:r>
      <w:r>
        <w:t xml:space="preserve"> 47 C.F.R. § 1.80(b)(</w:t>
      </w:r>
      <w:r w:rsidR="00876E65">
        <w:t>8</w:t>
      </w:r>
      <w:r>
        <w:t>).</w:t>
      </w:r>
    </w:p>
  </w:footnote>
  <w:footnote w:id="40">
    <w:p w:rsidR="008101D9" w:rsidRDefault="008101D9">
      <w:pPr>
        <w:pStyle w:val="FootnoteText"/>
      </w:pPr>
      <w:r>
        <w:rPr>
          <w:rStyle w:val="FootnoteReference"/>
        </w:rPr>
        <w:footnoteRef/>
      </w:r>
      <w:r>
        <w:t xml:space="preserve"> </w:t>
      </w:r>
      <w:r>
        <w:rPr>
          <w:i/>
        </w:rPr>
        <w:t>Id.</w:t>
      </w:r>
    </w:p>
  </w:footnote>
  <w:footnote w:id="41">
    <w:p w:rsidR="008101D9" w:rsidRDefault="008101D9" w:rsidP="005F62B5">
      <w:pPr>
        <w:pStyle w:val="FootnoteText"/>
      </w:pPr>
      <w:r>
        <w:rPr>
          <w:rStyle w:val="FootnoteReference"/>
        </w:rPr>
        <w:footnoteRef/>
      </w:r>
      <w:r>
        <w:t xml:space="preserve"> </w:t>
      </w:r>
      <w:r w:rsidR="00876E65">
        <w:rPr>
          <w:i/>
        </w:rPr>
        <w:t>Id</w:t>
      </w:r>
      <w:r>
        <w:t>.</w:t>
      </w:r>
    </w:p>
  </w:footnote>
  <w:footnote w:id="42">
    <w:p w:rsidR="008101D9" w:rsidRDefault="008101D9" w:rsidP="002E633C">
      <w:pPr>
        <w:pStyle w:val="FootnoteText"/>
      </w:pPr>
      <w:r>
        <w:rPr>
          <w:rStyle w:val="FootnoteReference"/>
        </w:rPr>
        <w:footnoteRef/>
      </w:r>
      <w:r>
        <w:t xml:space="preserve"> </w:t>
      </w:r>
      <w:r>
        <w:rPr>
          <w:i/>
        </w:rPr>
        <w:t xml:space="preserve">Silv NAL, </w:t>
      </w:r>
      <w:r>
        <w:t>25 FCC Rcd at 5186, para. 16.</w:t>
      </w:r>
    </w:p>
  </w:footnote>
  <w:footnote w:id="43">
    <w:p w:rsidR="008101D9" w:rsidRDefault="008101D9" w:rsidP="005F62B5">
      <w:pPr>
        <w:pStyle w:val="FootnoteText"/>
      </w:pPr>
      <w:r>
        <w:rPr>
          <w:rStyle w:val="FootnoteReference"/>
        </w:rPr>
        <w:footnoteRef/>
      </w:r>
      <w:r>
        <w:t xml:space="preserve"> 47 C.F.R. § 1.80(b)(4), Note to paragraph (b)(4):  Section II. Adjustment Criteria for Section 503 Forfeitures; </w:t>
      </w:r>
      <w:r>
        <w:rPr>
          <w:i/>
        </w:rPr>
        <w:t>Forfeiture Policy Statement</w:t>
      </w:r>
      <w:r>
        <w:t>, 12 FCC Rcd at 17117, Appendix A, Section II.</w:t>
      </w:r>
    </w:p>
  </w:footnote>
  <w:footnote w:id="44">
    <w:p w:rsidR="008101D9" w:rsidRDefault="008101D9" w:rsidP="005F62B5">
      <w:pPr>
        <w:pStyle w:val="FootnoteText"/>
      </w:pPr>
      <w:r>
        <w:rPr>
          <w:rStyle w:val="FootnoteReference"/>
        </w:rPr>
        <w:footnoteRef/>
      </w:r>
      <w:r>
        <w:t xml:space="preserve"> BDP’s telemarketer represented that it was affiliated with the customers’ existing carriers.  </w:t>
      </w:r>
      <w:r>
        <w:rPr>
          <w:i/>
        </w:rPr>
        <w:t>BDP</w:t>
      </w:r>
      <w:r>
        <w:t xml:space="preserve">, 15 FCC Rcd at 14468, para. 15.  The Commission found that the telemarketer repeatedly deceived consumers as to BDP’s identity and the nature of its service, and imposed a $40,000 forfeiture for each instance of slamming and an additional $40,000 forfeiture for each instance in which BDP engaged in an unjust and unreasonable telemarketing practice.  </w:t>
      </w:r>
    </w:p>
  </w:footnote>
  <w:footnote w:id="45">
    <w:p w:rsidR="008101D9" w:rsidRDefault="008101D9" w:rsidP="005F62B5">
      <w:pPr>
        <w:pStyle w:val="FootnoteText"/>
      </w:pPr>
      <w:r>
        <w:rPr>
          <w:rStyle w:val="FootnoteReference"/>
        </w:rPr>
        <w:footnoteRef/>
      </w:r>
      <w:r>
        <w:t xml:space="preserve"> 47 C.F.R. § 1.80.</w:t>
      </w:r>
    </w:p>
  </w:footnote>
  <w:footnote w:id="46">
    <w:p w:rsidR="008101D9" w:rsidRDefault="008101D9" w:rsidP="006620B1">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47">
    <w:p w:rsidR="008101D9" w:rsidRDefault="008101D9" w:rsidP="006620B1">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09" w:rsidRDefault="00C37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Pr="002E64E2" w:rsidRDefault="008101D9">
    <w:pPr>
      <w:pStyle w:val="Header"/>
      <w:pBdr>
        <w:bottom w:val="single" w:sz="12" w:space="1" w:color="auto"/>
      </w:pBdr>
      <w:rPr>
        <w:b w:val="0"/>
      </w:rPr>
    </w:pPr>
    <w:r w:rsidRPr="002E64E2">
      <w:tab/>
      <w:t>Federal Communications Commission</w:t>
    </w:r>
    <w:r w:rsidRPr="002E64E2">
      <w:tab/>
      <w:t>FCC 12-159</w:t>
    </w:r>
  </w:p>
  <w:p w:rsidR="008101D9" w:rsidRPr="002E64E2" w:rsidRDefault="008101D9">
    <w:pPr>
      <w:tabs>
        <w:tab w:val="left" w:pos="-720"/>
      </w:tabs>
      <w:suppressAutoHyphens/>
      <w:spacing w:line="19" w:lineRule="exact"/>
      <w:rPr>
        <w:spacing w:val="-2"/>
      </w:rPr>
    </w:pPr>
  </w:p>
  <w:p w:rsidR="008101D9" w:rsidRDefault="008101D9">
    <w:pPr>
      <w:spacing w:after="389" w:line="100" w:lineRule="exact"/>
      <w:rPr>
        <w:sz w:val="10"/>
      </w:rPr>
    </w:pPr>
  </w:p>
  <w:p w:rsidR="008101D9" w:rsidRDefault="008101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pPr>
      <w:pStyle w:val="Header"/>
      <w:pBdr>
        <w:bottom w:val="single" w:sz="12" w:space="1" w:color="auto"/>
      </w:pBdr>
      <w:rPr>
        <w:b w:val="0"/>
      </w:rPr>
    </w:pPr>
    <w:r>
      <w:tab/>
      <w:t>Federal Communications Commission</w:t>
    </w:r>
    <w:r>
      <w:tab/>
      <w:t>FCC</w:t>
    </w:r>
    <w:r w:rsidR="001C189B">
      <w:t xml:space="preserve"> 12-159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pPr>
      <w:pStyle w:val="Header"/>
      <w:pBdr>
        <w:bottom w:val="single" w:sz="12" w:space="1" w:color="auto"/>
      </w:pBdr>
      <w:rPr>
        <w:b w:val="0"/>
      </w:rPr>
    </w:pPr>
    <w:r>
      <w:tab/>
      <w:t>Federal Communications Commission</w:t>
    </w:r>
    <w:r>
      <w:tab/>
      <w:t>FCC 12-xxx</w:t>
    </w:r>
  </w:p>
  <w:p w:rsidR="008101D9" w:rsidRDefault="008101D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8101D9" w:rsidRDefault="008101D9">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9" w:rsidRDefault="008101D9">
    <w:pPr>
      <w:pStyle w:val="Header"/>
      <w:pBdr>
        <w:bottom w:val="single" w:sz="12" w:space="1" w:color="auto"/>
      </w:pBdr>
      <w:rPr>
        <w:b w:val="0"/>
      </w:rPr>
    </w:pPr>
    <w:r>
      <w:tab/>
      <w:t>Federal Communications Commission</w:t>
    </w:r>
    <w:r>
      <w:tab/>
      <w:t>FCC 12-159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DD4"/>
    <w:multiLevelType w:val="hybridMultilevel"/>
    <w:tmpl w:val="B17A08CC"/>
    <w:lvl w:ilvl="0" w:tplc="EB0E013C">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182925"/>
    <w:multiLevelType w:val="singleLevel"/>
    <w:tmpl w:val="C9CAE858"/>
    <w:lvl w:ilvl="0">
      <w:start w:val="1"/>
      <w:numFmt w:val="decimal"/>
      <w:pStyle w:val="ParaNum"/>
      <w:lvlText w:val="%1."/>
      <w:lvlJc w:val="left"/>
      <w:pPr>
        <w:tabs>
          <w:tab w:val="num" w:pos="1080"/>
        </w:tabs>
        <w:ind w:firstLine="720"/>
      </w:pPr>
      <w:rPr>
        <w:rFonts w:cs="Times New Roman"/>
        <w:b w:val="0"/>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8"/>
  </w:num>
  <w:num w:numId="8">
    <w:abstractNumId w:val="4"/>
  </w:num>
  <w:num w:numId="9">
    <w:abstractNumId w:val="4"/>
  </w:num>
  <w:num w:numId="10">
    <w:abstractNumId w:val="8"/>
  </w:num>
  <w:num w:numId="11">
    <w:abstractNumId w:val="8"/>
  </w:num>
  <w:num w:numId="12">
    <w:abstractNumId w:val="7"/>
  </w:num>
  <w:num w:numId="13">
    <w:abstractNumId w:val="5"/>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lvlOverride w:ilvl="0">
      <w:startOverride w:val="1"/>
    </w:lvlOverride>
  </w:num>
  <w:num w:numId="40">
    <w:abstractNumId w:val="8"/>
  </w:num>
  <w:num w:numId="41">
    <w:abstractNumId w:val="8"/>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38"/>
    <w:rsid w:val="000000F5"/>
    <w:rsid w:val="000002BD"/>
    <w:rsid w:val="00000E33"/>
    <w:rsid w:val="00004FB9"/>
    <w:rsid w:val="00006A4F"/>
    <w:rsid w:val="00011119"/>
    <w:rsid w:val="00012069"/>
    <w:rsid w:val="00013D88"/>
    <w:rsid w:val="000210E1"/>
    <w:rsid w:val="00022940"/>
    <w:rsid w:val="0002311D"/>
    <w:rsid w:val="00025235"/>
    <w:rsid w:val="00027CBD"/>
    <w:rsid w:val="00027DDA"/>
    <w:rsid w:val="00031E4A"/>
    <w:rsid w:val="00032CB5"/>
    <w:rsid w:val="000354B5"/>
    <w:rsid w:val="00036039"/>
    <w:rsid w:val="000367AC"/>
    <w:rsid w:val="00036804"/>
    <w:rsid w:val="00037F90"/>
    <w:rsid w:val="000407FF"/>
    <w:rsid w:val="00042255"/>
    <w:rsid w:val="000454A1"/>
    <w:rsid w:val="00050F6F"/>
    <w:rsid w:val="000515A1"/>
    <w:rsid w:val="000525AD"/>
    <w:rsid w:val="000536D3"/>
    <w:rsid w:val="00055A54"/>
    <w:rsid w:val="0005782B"/>
    <w:rsid w:val="0005789C"/>
    <w:rsid w:val="000657CF"/>
    <w:rsid w:val="00065894"/>
    <w:rsid w:val="000710A2"/>
    <w:rsid w:val="000711BB"/>
    <w:rsid w:val="00072B21"/>
    <w:rsid w:val="00072E65"/>
    <w:rsid w:val="00074F6E"/>
    <w:rsid w:val="000768F2"/>
    <w:rsid w:val="00084C4B"/>
    <w:rsid w:val="00084E2E"/>
    <w:rsid w:val="000875BF"/>
    <w:rsid w:val="00091623"/>
    <w:rsid w:val="000948EF"/>
    <w:rsid w:val="0009575B"/>
    <w:rsid w:val="00096085"/>
    <w:rsid w:val="0009631D"/>
    <w:rsid w:val="00096D8C"/>
    <w:rsid w:val="000A3A11"/>
    <w:rsid w:val="000A3B90"/>
    <w:rsid w:val="000A474B"/>
    <w:rsid w:val="000A534F"/>
    <w:rsid w:val="000A7946"/>
    <w:rsid w:val="000B09BF"/>
    <w:rsid w:val="000B2A81"/>
    <w:rsid w:val="000B44F9"/>
    <w:rsid w:val="000B739A"/>
    <w:rsid w:val="000C0B65"/>
    <w:rsid w:val="000C1F07"/>
    <w:rsid w:val="000C278D"/>
    <w:rsid w:val="000C5310"/>
    <w:rsid w:val="000C5BD8"/>
    <w:rsid w:val="000D0784"/>
    <w:rsid w:val="000D10B3"/>
    <w:rsid w:val="000D1937"/>
    <w:rsid w:val="000D35CF"/>
    <w:rsid w:val="000D6DCD"/>
    <w:rsid w:val="000D7CC7"/>
    <w:rsid w:val="000E1A65"/>
    <w:rsid w:val="000E3463"/>
    <w:rsid w:val="000E3D42"/>
    <w:rsid w:val="000E5363"/>
    <w:rsid w:val="000E6890"/>
    <w:rsid w:val="000E75E2"/>
    <w:rsid w:val="000E761C"/>
    <w:rsid w:val="000E7840"/>
    <w:rsid w:val="000F2F11"/>
    <w:rsid w:val="000F304B"/>
    <w:rsid w:val="000F4951"/>
    <w:rsid w:val="000F5114"/>
    <w:rsid w:val="00102586"/>
    <w:rsid w:val="00102E9B"/>
    <w:rsid w:val="00106DDA"/>
    <w:rsid w:val="0010782F"/>
    <w:rsid w:val="00107DE5"/>
    <w:rsid w:val="00112DD8"/>
    <w:rsid w:val="00113F8F"/>
    <w:rsid w:val="00116C42"/>
    <w:rsid w:val="001204D5"/>
    <w:rsid w:val="001213F4"/>
    <w:rsid w:val="00122BD5"/>
    <w:rsid w:val="00123393"/>
    <w:rsid w:val="001257F8"/>
    <w:rsid w:val="0012605F"/>
    <w:rsid w:val="00127D38"/>
    <w:rsid w:val="00132BD8"/>
    <w:rsid w:val="00134645"/>
    <w:rsid w:val="0013525B"/>
    <w:rsid w:val="001453E6"/>
    <w:rsid w:val="0014746F"/>
    <w:rsid w:val="00151239"/>
    <w:rsid w:val="001513D7"/>
    <w:rsid w:val="001516C2"/>
    <w:rsid w:val="00154438"/>
    <w:rsid w:val="001557CC"/>
    <w:rsid w:val="0016001D"/>
    <w:rsid w:val="001646F9"/>
    <w:rsid w:val="00165CE1"/>
    <w:rsid w:val="00175E62"/>
    <w:rsid w:val="00176D56"/>
    <w:rsid w:val="001777A9"/>
    <w:rsid w:val="0018198B"/>
    <w:rsid w:val="00181AD0"/>
    <w:rsid w:val="00182288"/>
    <w:rsid w:val="00182295"/>
    <w:rsid w:val="00193D11"/>
    <w:rsid w:val="00195CBE"/>
    <w:rsid w:val="00196BEB"/>
    <w:rsid w:val="00197914"/>
    <w:rsid w:val="001A26DE"/>
    <w:rsid w:val="001A29F5"/>
    <w:rsid w:val="001A2EA7"/>
    <w:rsid w:val="001A3F92"/>
    <w:rsid w:val="001A52A0"/>
    <w:rsid w:val="001A64D1"/>
    <w:rsid w:val="001A7A06"/>
    <w:rsid w:val="001B2A6A"/>
    <w:rsid w:val="001B5069"/>
    <w:rsid w:val="001B5334"/>
    <w:rsid w:val="001B5656"/>
    <w:rsid w:val="001B5763"/>
    <w:rsid w:val="001B5C98"/>
    <w:rsid w:val="001C189B"/>
    <w:rsid w:val="001C2C38"/>
    <w:rsid w:val="001C49BD"/>
    <w:rsid w:val="001C7656"/>
    <w:rsid w:val="001D1D94"/>
    <w:rsid w:val="001D36F5"/>
    <w:rsid w:val="001D3C2A"/>
    <w:rsid w:val="001D5EBC"/>
    <w:rsid w:val="001D6BCF"/>
    <w:rsid w:val="001E01CA"/>
    <w:rsid w:val="001E0566"/>
    <w:rsid w:val="001E20EB"/>
    <w:rsid w:val="001E251A"/>
    <w:rsid w:val="001E465E"/>
    <w:rsid w:val="001F2A35"/>
    <w:rsid w:val="001F2D4B"/>
    <w:rsid w:val="001F3062"/>
    <w:rsid w:val="00202EAC"/>
    <w:rsid w:val="00202FDA"/>
    <w:rsid w:val="00204D19"/>
    <w:rsid w:val="00204DBB"/>
    <w:rsid w:val="002053E1"/>
    <w:rsid w:val="00206DE0"/>
    <w:rsid w:val="00207657"/>
    <w:rsid w:val="002136BE"/>
    <w:rsid w:val="00213F9D"/>
    <w:rsid w:val="00214339"/>
    <w:rsid w:val="0021750A"/>
    <w:rsid w:val="00220CF5"/>
    <w:rsid w:val="00220E25"/>
    <w:rsid w:val="00221893"/>
    <w:rsid w:val="002229F0"/>
    <w:rsid w:val="002235DA"/>
    <w:rsid w:val="002318B4"/>
    <w:rsid w:val="00232317"/>
    <w:rsid w:val="002344C7"/>
    <w:rsid w:val="00240E82"/>
    <w:rsid w:val="0024147F"/>
    <w:rsid w:val="002461F8"/>
    <w:rsid w:val="002506AF"/>
    <w:rsid w:val="00251704"/>
    <w:rsid w:val="00254962"/>
    <w:rsid w:val="00254CE5"/>
    <w:rsid w:val="00254D2E"/>
    <w:rsid w:val="00265446"/>
    <w:rsid w:val="002656ED"/>
    <w:rsid w:val="00266706"/>
    <w:rsid w:val="00266D70"/>
    <w:rsid w:val="00272D80"/>
    <w:rsid w:val="00273D4F"/>
    <w:rsid w:val="00277043"/>
    <w:rsid w:val="00277B64"/>
    <w:rsid w:val="00277C7E"/>
    <w:rsid w:val="002801E8"/>
    <w:rsid w:val="002823D4"/>
    <w:rsid w:val="00285017"/>
    <w:rsid w:val="0028554E"/>
    <w:rsid w:val="00285AD4"/>
    <w:rsid w:val="002864CC"/>
    <w:rsid w:val="00287DF0"/>
    <w:rsid w:val="0029127B"/>
    <w:rsid w:val="00291E17"/>
    <w:rsid w:val="00294B4C"/>
    <w:rsid w:val="002A2D2E"/>
    <w:rsid w:val="002A481F"/>
    <w:rsid w:val="002A57E8"/>
    <w:rsid w:val="002A74BA"/>
    <w:rsid w:val="002B3E1D"/>
    <w:rsid w:val="002B5D66"/>
    <w:rsid w:val="002B6EA9"/>
    <w:rsid w:val="002B7587"/>
    <w:rsid w:val="002C0300"/>
    <w:rsid w:val="002C06D2"/>
    <w:rsid w:val="002C1D45"/>
    <w:rsid w:val="002C2AFD"/>
    <w:rsid w:val="002C4A50"/>
    <w:rsid w:val="002C6243"/>
    <w:rsid w:val="002D0325"/>
    <w:rsid w:val="002D0C6E"/>
    <w:rsid w:val="002D39D9"/>
    <w:rsid w:val="002D4AC1"/>
    <w:rsid w:val="002E1154"/>
    <w:rsid w:val="002E633C"/>
    <w:rsid w:val="002E6379"/>
    <w:rsid w:val="002E64E2"/>
    <w:rsid w:val="002E6D1F"/>
    <w:rsid w:val="002F1BEC"/>
    <w:rsid w:val="002F24C1"/>
    <w:rsid w:val="002F3D7B"/>
    <w:rsid w:val="002F78C1"/>
    <w:rsid w:val="00300490"/>
    <w:rsid w:val="00304E89"/>
    <w:rsid w:val="003070F8"/>
    <w:rsid w:val="00307DFA"/>
    <w:rsid w:val="00311B01"/>
    <w:rsid w:val="00311CE9"/>
    <w:rsid w:val="00314134"/>
    <w:rsid w:val="003167BA"/>
    <w:rsid w:val="00316E51"/>
    <w:rsid w:val="003222EE"/>
    <w:rsid w:val="003304B3"/>
    <w:rsid w:val="003313D6"/>
    <w:rsid w:val="0034018E"/>
    <w:rsid w:val="00340E98"/>
    <w:rsid w:val="00343749"/>
    <w:rsid w:val="00343B0C"/>
    <w:rsid w:val="00345107"/>
    <w:rsid w:val="00347E0C"/>
    <w:rsid w:val="003509C2"/>
    <w:rsid w:val="003513F4"/>
    <w:rsid w:val="00354157"/>
    <w:rsid w:val="0036236C"/>
    <w:rsid w:val="0036762F"/>
    <w:rsid w:val="0036796A"/>
    <w:rsid w:val="00376075"/>
    <w:rsid w:val="0037659E"/>
    <w:rsid w:val="003768F0"/>
    <w:rsid w:val="00377A7D"/>
    <w:rsid w:val="00383679"/>
    <w:rsid w:val="00383B68"/>
    <w:rsid w:val="00383B7B"/>
    <w:rsid w:val="0038605D"/>
    <w:rsid w:val="003866D2"/>
    <w:rsid w:val="00392A24"/>
    <w:rsid w:val="00394F79"/>
    <w:rsid w:val="00396B59"/>
    <w:rsid w:val="003A0265"/>
    <w:rsid w:val="003A4D46"/>
    <w:rsid w:val="003A5A35"/>
    <w:rsid w:val="003A64C5"/>
    <w:rsid w:val="003B0550"/>
    <w:rsid w:val="003B5109"/>
    <w:rsid w:val="003B694F"/>
    <w:rsid w:val="003B698E"/>
    <w:rsid w:val="003D08F5"/>
    <w:rsid w:val="003D1FBD"/>
    <w:rsid w:val="003D7138"/>
    <w:rsid w:val="003E0FF8"/>
    <w:rsid w:val="003E2232"/>
    <w:rsid w:val="003E3D9C"/>
    <w:rsid w:val="003E5A34"/>
    <w:rsid w:val="003E7E2E"/>
    <w:rsid w:val="003F06A7"/>
    <w:rsid w:val="003F171C"/>
    <w:rsid w:val="003F232D"/>
    <w:rsid w:val="003F5243"/>
    <w:rsid w:val="003F5DE8"/>
    <w:rsid w:val="00412FC5"/>
    <w:rsid w:val="00416C93"/>
    <w:rsid w:val="00420C30"/>
    <w:rsid w:val="00422276"/>
    <w:rsid w:val="0042261B"/>
    <w:rsid w:val="004242F1"/>
    <w:rsid w:val="00427263"/>
    <w:rsid w:val="00432786"/>
    <w:rsid w:val="0043318B"/>
    <w:rsid w:val="004345D1"/>
    <w:rsid w:val="00435EB0"/>
    <w:rsid w:val="00442651"/>
    <w:rsid w:val="004449BE"/>
    <w:rsid w:val="00445A00"/>
    <w:rsid w:val="004476D9"/>
    <w:rsid w:val="00451B0F"/>
    <w:rsid w:val="00460B19"/>
    <w:rsid w:val="0046288A"/>
    <w:rsid w:val="00464534"/>
    <w:rsid w:val="004675C2"/>
    <w:rsid w:val="00472783"/>
    <w:rsid w:val="00473929"/>
    <w:rsid w:val="00475756"/>
    <w:rsid w:val="00477380"/>
    <w:rsid w:val="00477A36"/>
    <w:rsid w:val="0048407E"/>
    <w:rsid w:val="004848E2"/>
    <w:rsid w:val="0048539A"/>
    <w:rsid w:val="00485689"/>
    <w:rsid w:val="00486EC3"/>
    <w:rsid w:val="00490BAD"/>
    <w:rsid w:val="00490FFC"/>
    <w:rsid w:val="004923F1"/>
    <w:rsid w:val="00492C30"/>
    <w:rsid w:val="004933F8"/>
    <w:rsid w:val="004952B9"/>
    <w:rsid w:val="00495950"/>
    <w:rsid w:val="004959B2"/>
    <w:rsid w:val="004959DB"/>
    <w:rsid w:val="00497C57"/>
    <w:rsid w:val="004A10CE"/>
    <w:rsid w:val="004A2FDE"/>
    <w:rsid w:val="004A489B"/>
    <w:rsid w:val="004A6589"/>
    <w:rsid w:val="004B310D"/>
    <w:rsid w:val="004B7938"/>
    <w:rsid w:val="004C051D"/>
    <w:rsid w:val="004C2EE3"/>
    <w:rsid w:val="004C4920"/>
    <w:rsid w:val="004D08D8"/>
    <w:rsid w:val="004D51AD"/>
    <w:rsid w:val="004D726A"/>
    <w:rsid w:val="004E00FB"/>
    <w:rsid w:val="004E1552"/>
    <w:rsid w:val="004E38B7"/>
    <w:rsid w:val="004E43F3"/>
    <w:rsid w:val="004E4A22"/>
    <w:rsid w:val="004E600F"/>
    <w:rsid w:val="004F0E7D"/>
    <w:rsid w:val="004F139C"/>
    <w:rsid w:val="004F1699"/>
    <w:rsid w:val="004F3083"/>
    <w:rsid w:val="004F5010"/>
    <w:rsid w:val="0050192B"/>
    <w:rsid w:val="00505F99"/>
    <w:rsid w:val="00507B3E"/>
    <w:rsid w:val="005113A7"/>
    <w:rsid w:val="00511968"/>
    <w:rsid w:val="00520CEA"/>
    <w:rsid w:val="00520E00"/>
    <w:rsid w:val="00522B7D"/>
    <w:rsid w:val="005261F7"/>
    <w:rsid w:val="005268CB"/>
    <w:rsid w:val="00527484"/>
    <w:rsid w:val="00527998"/>
    <w:rsid w:val="00527CD8"/>
    <w:rsid w:val="00531784"/>
    <w:rsid w:val="00533561"/>
    <w:rsid w:val="00534C0E"/>
    <w:rsid w:val="005368F5"/>
    <w:rsid w:val="00536D3A"/>
    <w:rsid w:val="00543190"/>
    <w:rsid w:val="00544C40"/>
    <w:rsid w:val="00545C97"/>
    <w:rsid w:val="00545FD3"/>
    <w:rsid w:val="00546AB3"/>
    <w:rsid w:val="00547D16"/>
    <w:rsid w:val="00550616"/>
    <w:rsid w:val="00554C84"/>
    <w:rsid w:val="0055614C"/>
    <w:rsid w:val="0056461C"/>
    <w:rsid w:val="005649D0"/>
    <w:rsid w:val="005677AC"/>
    <w:rsid w:val="00567EC0"/>
    <w:rsid w:val="005707DE"/>
    <w:rsid w:val="00571B08"/>
    <w:rsid w:val="005767F9"/>
    <w:rsid w:val="005773BC"/>
    <w:rsid w:val="00577FB2"/>
    <w:rsid w:val="00582679"/>
    <w:rsid w:val="00582829"/>
    <w:rsid w:val="0058557A"/>
    <w:rsid w:val="005A1585"/>
    <w:rsid w:val="005A31C8"/>
    <w:rsid w:val="005A6086"/>
    <w:rsid w:val="005A767E"/>
    <w:rsid w:val="005B0184"/>
    <w:rsid w:val="005B3B5B"/>
    <w:rsid w:val="005B52A8"/>
    <w:rsid w:val="005B6CC3"/>
    <w:rsid w:val="005C3FEF"/>
    <w:rsid w:val="005C46EB"/>
    <w:rsid w:val="005C494F"/>
    <w:rsid w:val="005C5600"/>
    <w:rsid w:val="005C5787"/>
    <w:rsid w:val="005D0D8F"/>
    <w:rsid w:val="005D168C"/>
    <w:rsid w:val="005D61BE"/>
    <w:rsid w:val="005D7053"/>
    <w:rsid w:val="005E0218"/>
    <w:rsid w:val="005E0271"/>
    <w:rsid w:val="005E1667"/>
    <w:rsid w:val="005E2751"/>
    <w:rsid w:val="005E4EA3"/>
    <w:rsid w:val="005E541A"/>
    <w:rsid w:val="005F36F0"/>
    <w:rsid w:val="005F62B5"/>
    <w:rsid w:val="005F794C"/>
    <w:rsid w:val="00601299"/>
    <w:rsid w:val="006021DA"/>
    <w:rsid w:val="006033A8"/>
    <w:rsid w:val="00603B1E"/>
    <w:rsid w:val="006078A6"/>
    <w:rsid w:val="00607BA5"/>
    <w:rsid w:val="006110A0"/>
    <w:rsid w:val="0061204F"/>
    <w:rsid w:val="0061325F"/>
    <w:rsid w:val="00613C13"/>
    <w:rsid w:val="00621E95"/>
    <w:rsid w:val="006261CB"/>
    <w:rsid w:val="00626BA2"/>
    <w:rsid w:val="00626EB6"/>
    <w:rsid w:val="00627119"/>
    <w:rsid w:val="006305CF"/>
    <w:rsid w:val="00630A9B"/>
    <w:rsid w:val="00641E05"/>
    <w:rsid w:val="006449CF"/>
    <w:rsid w:val="00646E67"/>
    <w:rsid w:val="00647A8E"/>
    <w:rsid w:val="00650F81"/>
    <w:rsid w:val="00655D03"/>
    <w:rsid w:val="00656DB5"/>
    <w:rsid w:val="0066082B"/>
    <w:rsid w:val="006609E2"/>
    <w:rsid w:val="00660F3B"/>
    <w:rsid w:val="006620B1"/>
    <w:rsid w:val="00662FCE"/>
    <w:rsid w:val="0066436B"/>
    <w:rsid w:val="006666C7"/>
    <w:rsid w:val="00666FA8"/>
    <w:rsid w:val="00667BE4"/>
    <w:rsid w:val="00667E27"/>
    <w:rsid w:val="00670AAE"/>
    <w:rsid w:val="00677A93"/>
    <w:rsid w:val="006805F6"/>
    <w:rsid w:val="00683F84"/>
    <w:rsid w:val="00687413"/>
    <w:rsid w:val="0069112C"/>
    <w:rsid w:val="006951B4"/>
    <w:rsid w:val="00697A94"/>
    <w:rsid w:val="006A28EC"/>
    <w:rsid w:val="006A3096"/>
    <w:rsid w:val="006A6A81"/>
    <w:rsid w:val="006A6FBE"/>
    <w:rsid w:val="006B004D"/>
    <w:rsid w:val="006B01B6"/>
    <w:rsid w:val="006B631C"/>
    <w:rsid w:val="006B7F0F"/>
    <w:rsid w:val="006C0C3B"/>
    <w:rsid w:val="006D2D10"/>
    <w:rsid w:val="006D2D82"/>
    <w:rsid w:val="006E16B0"/>
    <w:rsid w:val="006E78D5"/>
    <w:rsid w:val="006E7D0F"/>
    <w:rsid w:val="006F2F4B"/>
    <w:rsid w:val="006F33B4"/>
    <w:rsid w:val="006F57A1"/>
    <w:rsid w:val="006F7393"/>
    <w:rsid w:val="006F7D1A"/>
    <w:rsid w:val="00700814"/>
    <w:rsid w:val="0070224F"/>
    <w:rsid w:val="00702746"/>
    <w:rsid w:val="0070369C"/>
    <w:rsid w:val="007055F5"/>
    <w:rsid w:val="007115F7"/>
    <w:rsid w:val="00713209"/>
    <w:rsid w:val="00717382"/>
    <w:rsid w:val="00720E09"/>
    <w:rsid w:val="00723D3D"/>
    <w:rsid w:val="0072426F"/>
    <w:rsid w:val="007249B0"/>
    <w:rsid w:val="00724D40"/>
    <w:rsid w:val="00725D99"/>
    <w:rsid w:val="00727A65"/>
    <w:rsid w:val="00731E7F"/>
    <w:rsid w:val="0073228D"/>
    <w:rsid w:val="00733A2C"/>
    <w:rsid w:val="00734648"/>
    <w:rsid w:val="007348E3"/>
    <w:rsid w:val="00734BAB"/>
    <w:rsid w:val="00737E56"/>
    <w:rsid w:val="00740D54"/>
    <w:rsid w:val="0074101B"/>
    <w:rsid w:val="00741653"/>
    <w:rsid w:val="0074672F"/>
    <w:rsid w:val="00751487"/>
    <w:rsid w:val="00751677"/>
    <w:rsid w:val="007517C6"/>
    <w:rsid w:val="007543A0"/>
    <w:rsid w:val="007551F4"/>
    <w:rsid w:val="00757EDF"/>
    <w:rsid w:val="00760090"/>
    <w:rsid w:val="007611F1"/>
    <w:rsid w:val="00764BCE"/>
    <w:rsid w:val="00766FAE"/>
    <w:rsid w:val="00771A66"/>
    <w:rsid w:val="00772229"/>
    <w:rsid w:val="00772CFD"/>
    <w:rsid w:val="00776563"/>
    <w:rsid w:val="0077677A"/>
    <w:rsid w:val="007810C4"/>
    <w:rsid w:val="007827B1"/>
    <w:rsid w:val="007831CD"/>
    <w:rsid w:val="00784996"/>
    <w:rsid w:val="00785689"/>
    <w:rsid w:val="00785DB9"/>
    <w:rsid w:val="007874A2"/>
    <w:rsid w:val="00787D15"/>
    <w:rsid w:val="00793B9E"/>
    <w:rsid w:val="0079754B"/>
    <w:rsid w:val="007A1E6D"/>
    <w:rsid w:val="007A368C"/>
    <w:rsid w:val="007A4951"/>
    <w:rsid w:val="007A5AFE"/>
    <w:rsid w:val="007A5E9A"/>
    <w:rsid w:val="007B0999"/>
    <w:rsid w:val="007B193C"/>
    <w:rsid w:val="007B2BA5"/>
    <w:rsid w:val="007B2FA6"/>
    <w:rsid w:val="007B302E"/>
    <w:rsid w:val="007B3C2B"/>
    <w:rsid w:val="007B4C17"/>
    <w:rsid w:val="007B7294"/>
    <w:rsid w:val="007B7752"/>
    <w:rsid w:val="007C03B9"/>
    <w:rsid w:val="007C04DC"/>
    <w:rsid w:val="007C1270"/>
    <w:rsid w:val="007C1863"/>
    <w:rsid w:val="007C364C"/>
    <w:rsid w:val="007C59D8"/>
    <w:rsid w:val="007C766A"/>
    <w:rsid w:val="007D0641"/>
    <w:rsid w:val="007D072B"/>
    <w:rsid w:val="007D12C0"/>
    <w:rsid w:val="007D2353"/>
    <w:rsid w:val="007D2E67"/>
    <w:rsid w:val="007D446A"/>
    <w:rsid w:val="007D4EEF"/>
    <w:rsid w:val="007D532C"/>
    <w:rsid w:val="007E302B"/>
    <w:rsid w:val="007E449E"/>
    <w:rsid w:val="007E613A"/>
    <w:rsid w:val="007F0BF0"/>
    <w:rsid w:val="007F0FF1"/>
    <w:rsid w:val="007F2064"/>
    <w:rsid w:val="007F6871"/>
    <w:rsid w:val="00800FD8"/>
    <w:rsid w:val="00805931"/>
    <w:rsid w:val="00805C28"/>
    <w:rsid w:val="00806DED"/>
    <w:rsid w:val="008101D9"/>
    <w:rsid w:val="0081198B"/>
    <w:rsid w:val="0081254C"/>
    <w:rsid w:val="00814F19"/>
    <w:rsid w:val="00821A96"/>
    <w:rsid w:val="00822CE0"/>
    <w:rsid w:val="00824DC1"/>
    <w:rsid w:val="008279C9"/>
    <w:rsid w:val="00830B3A"/>
    <w:rsid w:val="00830CC4"/>
    <w:rsid w:val="00835A28"/>
    <w:rsid w:val="00837B58"/>
    <w:rsid w:val="00841AB1"/>
    <w:rsid w:val="00843930"/>
    <w:rsid w:val="00847035"/>
    <w:rsid w:val="00850C86"/>
    <w:rsid w:val="00851636"/>
    <w:rsid w:val="00852A3C"/>
    <w:rsid w:val="00853246"/>
    <w:rsid w:val="00854CB2"/>
    <w:rsid w:val="008569DF"/>
    <w:rsid w:val="00856FAC"/>
    <w:rsid w:val="00861A0A"/>
    <w:rsid w:val="00862915"/>
    <w:rsid w:val="00865D42"/>
    <w:rsid w:val="0086681B"/>
    <w:rsid w:val="00874A34"/>
    <w:rsid w:val="00876E65"/>
    <w:rsid w:val="00876E80"/>
    <w:rsid w:val="008812DC"/>
    <w:rsid w:val="00882EC8"/>
    <w:rsid w:val="008864D8"/>
    <w:rsid w:val="00887305"/>
    <w:rsid w:val="00887360"/>
    <w:rsid w:val="00890016"/>
    <w:rsid w:val="008917E8"/>
    <w:rsid w:val="008918C5"/>
    <w:rsid w:val="00893744"/>
    <w:rsid w:val="00893B19"/>
    <w:rsid w:val="00895B5A"/>
    <w:rsid w:val="008A03B7"/>
    <w:rsid w:val="008A1E45"/>
    <w:rsid w:val="008A39BA"/>
    <w:rsid w:val="008A3A19"/>
    <w:rsid w:val="008A3D38"/>
    <w:rsid w:val="008A4118"/>
    <w:rsid w:val="008A438F"/>
    <w:rsid w:val="008A4B15"/>
    <w:rsid w:val="008A7557"/>
    <w:rsid w:val="008B417E"/>
    <w:rsid w:val="008B548B"/>
    <w:rsid w:val="008B565D"/>
    <w:rsid w:val="008B64C6"/>
    <w:rsid w:val="008B67D4"/>
    <w:rsid w:val="008B7A19"/>
    <w:rsid w:val="008C1072"/>
    <w:rsid w:val="008C12E2"/>
    <w:rsid w:val="008C3423"/>
    <w:rsid w:val="008C3595"/>
    <w:rsid w:val="008C560B"/>
    <w:rsid w:val="008C7053"/>
    <w:rsid w:val="008C77DA"/>
    <w:rsid w:val="008D1FE7"/>
    <w:rsid w:val="008D2888"/>
    <w:rsid w:val="008D2E95"/>
    <w:rsid w:val="008D63AE"/>
    <w:rsid w:val="008D795A"/>
    <w:rsid w:val="008E0579"/>
    <w:rsid w:val="008E1E2C"/>
    <w:rsid w:val="008E3504"/>
    <w:rsid w:val="008E47B8"/>
    <w:rsid w:val="008E76C4"/>
    <w:rsid w:val="008F02A6"/>
    <w:rsid w:val="008F34AC"/>
    <w:rsid w:val="008F61F6"/>
    <w:rsid w:val="0090378C"/>
    <w:rsid w:val="0090510B"/>
    <w:rsid w:val="00905F49"/>
    <w:rsid w:val="0091135E"/>
    <w:rsid w:val="0091252D"/>
    <w:rsid w:val="00917A2B"/>
    <w:rsid w:val="0092088D"/>
    <w:rsid w:val="00921803"/>
    <w:rsid w:val="00921F74"/>
    <w:rsid w:val="0092335C"/>
    <w:rsid w:val="00923A78"/>
    <w:rsid w:val="00926503"/>
    <w:rsid w:val="00931AAC"/>
    <w:rsid w:val="00934E65"/>
    <w:rsid w:val="009439EB"/>
    <w:rsid w:val="00945798"/>
    <w:rsid w:val="0095196B"/>
    <w:rsid w:val="00953972"/>
    <w:rsid w:val="00954240"/>
    <w:rsid w:val="00955289"/>
    <w:rsid w:val="00956270"/>
    <w:rsid w:val="00960966"/>
    <w:rsid w:val="00965A22"/>
    <w:rsid w:val="00965AC6"/>
    <w:rsid w:val="009663AD"/>
    <w:rsid w:val="00967EE2"/>
    <w:rsid w:val="00970559"/>
    <w:rsid w:val="009708B2"/>
    <w:rsid w:val="00971C72"/>
    <w:rsid w:val="00973CC7"/>
    <w:rsid w:val="0097448D"/>
    <w:rsid w:val="00975C84"/>
    <w:rsid w:val="00976999"/>
    <w:rsid w:val="00976EE8"/>
    <w:rsid w:val="00980C2D"/>
    <w:rsid w:val="00981328"/>
    <w:rsid w:val="00983B5A"/>
    <w:rsid w:val="00984C0E"/>
    <w:rsid w:val="00985F9A"/>
    <w:rsid w:val="00990418"/>
    <w:rsid w:val="009914FC"/>
    <w:rsid w:val="00993814"/>
    <w:rsid w:val="009A0B9B"/>
    <w:rsid w:val="009A1C0C"/>
    <w:rsid w:val="009A2C20"/>
    <w:rsid w:val="009A3847"/>
    <w:rsid w:val="009A4B83"/>
    <w:rsid w:val="009A6047"/>
    <w:rsid w:val="009B0BD0"/>
    <w:rsid w:val="009B290B"/>
    <w:rsid w:val="009B52F5"/>
    <w:rsid w:val="009B58AB"/>
    <w:rsid w:val="009B673C"/>
    <w:rsid w:val="009C4BEE"/>
    <w:rsid w:val="009C4E58"/>
    <w:rsid w:val="009C556F"/>
    <w:rsid w:val="009C5C81"/>
    <w:rsid w:val="009C6879"/>
    <w:rsid w:val="009D3176"/>
    <w:rsid w:val="009D54D8"/>
    <w:rsid w:val="009D70E7"/>
    <w:rsid w:val="009D7B14"/>
    <w:rsid w:val="009D7E82"/>
    <w:rsid w:val="009E0ECC"/>
    <w:rsid w:val="009E24E8"/>
    <w:rsid w:val="009E3C69"/>
    <w:rsid w:val="009E5628"/>
    <w:rsid w:val="009E7A5D"/>
    <w:rsid w:val="009E7DA8"/>
    <w:rsid w:val="009F05CD"/>
    <w:rsid w:val="009F0DEA"/>
    <w:rsid w:val="009F131B"/>
    <w:rsid w:val="009F2205"/>
    <w:rsid w:val="009F74B0"/>
    <w:rsid w:val="00A007D2"/>
    <w:rsid w:val="00A01728"/>
    <w:rsid w:val="00A01787"/>
    <w:rsid w:val="00A02FE8"/>
    <w:rsid w:val="00A047B9"/>
    <w:rsid w:val="00A04802"/>
    <w:rsid w:val="00A049D7"/>
    <w:rsid w:val="00A0604F"/>
    <w:rsid w:val="00A06888"/>
    <w:rsid w:val="00A101B9"/>
    <w:rsid w:val="00A1623E"/>
    <w:rsid w:val="00A17E65"/>
    <w:rsid w:val="00A24A96"/>
    <w:rsid w:val="00A259A1"/>
    <w:rsid w:val="00A26202"/>
    <w:rsid w:val="00A2787E"/>
    <w:rsid w:val="00A314B8"/>
    <w:rsid w:val="00A31744"/>
    <w:rsid w:val="00A33658"/>
    <w:rsid w:val="00A344C5"/>
    <w:rsid w:val="00A36B0B"/>
    <w:rsid w:val="00A379AD"/>
    <w:rsid w:val="00A44047"/>
    <w:rsid w:val="00A45F4F"/>
    <w:rsid w:val="00A50359"/>
    <w:rsid w:val="00A546C0"/>
    <w:rsid w:val="00A570FD"/>
    <w:rsid w:val="00A57E23"/>
    <w:rsid w:val="00A60028"/>
    <w:rsid w:val="00A600A9"/>
    <w:rsid w:val="00A667F8"/>
    <w:rsid w:val="00A67003"/>
    <w:rsid w:val="00A6737A"/>
    <w:rsid w:val="00A73E5D"/>
    <w:rsid w:val="00A7678E"/>
    <w:rsid w:val="00A811E4"/>
    <w:rsid w:val="00A83D92"/>
    <w:rsid w:val="00A85596"/>
    <w:rsid w:val="00A861E4"/>
    <w:rsid w:val="00A86A3E"/>
    <w:rsid w:val="00A87792"/>
    <w:rsid w:val="00A90197"/>
    <w:rsid w:val="00A9027F"/>
    <w:rsid w:val="00A909C0"/>
    <w:rsid w:val="00A92AE2"/>
    <w:rsid w:val="00A95C48"/>
    <w:rsid w:val="00A96BBD"/>
    <w:rsid w:val="00AA091E"/>
    <w:rsid w:val="00AA0922"/>
    <w:rsid w:val="00AA29F8"/>
    <w:rsid w:val="00AA2FC7"/>
    <w:rsid w:val="00AA3C27"/>
    <w:rsid w:val="00AA49A0"/>
    <w:rsid w:val="00AA55B7"/>
    <w:rsid w:val="00AA5762"/>
    <w:rsid w:val="00AA5B9E"/>
    <w:rsid w:val="00AA657A"/>
    <w:rsid w:val="00AA78C8"/>
    <w:rsid w:val="00AB090C"/>
    <w:rsid w:val="00AB2407"/>
    <w:rsid w:val="00AB3F17"/>
    <w:rsid w:val="00AB53DF"/>
    <w:rsid w:val="00AB5B00"/>
    <w:rsid w:val="00AB7407"/>
    <w:rsid w:val="00AC03EC"/>
    <w:rsid w:val="00AC0D5A"/>
    <w:rsid w:val="00AC4B33"/>
    <w:rsid w:val="00AC50EC"/>
    <w:rsid w:val="00AC68CE"/>
    <w:rsid w:val="00AC7F5E"/>
    <w:rsid w:val="00AD36FE"/>
    <w:rsid w:val="00AD7589"/>
    <w:rsid w:val="00AD7EC5"/>
    <w:rsid w:val="00AE0AB7"/>
    <w:rsid w:val="00AE275A"/>
    <w:rsid w:val="00AE36AB"/>
    <w:rsid w:val="00AE38D0"/>
    <w:rsid w:val="00AE5DB4"/>
    <w:rsid w:val="00AE7064"/>
    <w:rsid w:val="00AF669D"/>
    <w:rsid w:val="00AF7C6F"/>
    <w:rsid w:val="00B004D3"/>
    <w:rsid w:val="00B02054"/>
    <w:rsid w:val="00B025F7"/>
    <w:rsid w:val="00B049B7"/>
    <w:rsid w:val="00B04A03"/>
    <w:rsid w:val="00B04BB2"/>
    <w:rsid w:val="00B06E50"/>
    <w:rsid w:val="00B07E5C"/>
    <w:rsid w:val="00B10F79"/>
    <w:rsid w:val="00B11396"/>
    <w:rsid w:val="00B14931"/>
    <w:rsid w:val="00B21548"/>
    <w:rsid w:val="00B2698C"/>
    <w:rsid w:val="00B30C82"/>
    <w:rsid w:val="00B36723"/>
    <w:rsid w:val="00B375CF"/>
    <w:rsid w:val="00B404ED"/>
    <w:rsid w:val="00B45E4D"/>
    <w:rsid w:val="00B53989"/>
    <w:rsid w:val="00B62D99"/>
    <w:rsid w:val="00B63954"/>
    <w:rsid w:val="00B70324"/>
    <w:rsid w:val="00B72203"/>
    <w:rsid w:val="00B811F7"/>
    <w:rsid w:val="00B851FD"/>
    <w:rsid w:val="00B85381"/>
    <w:rsid w:val="00B946AA"/>
    <w:rsid w:val="00B94A89"/>
    <w:rsid w:val="00BA06A3"/>
    <w:rsid w:val="00BA1535"/>
    <w:rsid w:val="00BA5DC6"/>
    <w:rsid w:val="00BA6196"/>
    <w:rsid w:val="00BB30DE"/>
    <w:rsid w:val="00BB5C53"/>
    <w:rsid w:val="00BC00A0"/>
    <w:rsid w:val="00BC3366"/>
    <w:rsid w:val="00BC37B9"/>
    <w:rsid w:val="00BC460A"/>
    <w:rsid w:val="00BC4D69"/>
    <w:rsid w:val="00BC6C96"/>
    <w:rsid w:val="00BC6D8C"/>
    <w:rsid w:val="00BD3F86"/>
    <w:rsid w:val="00BD5675"/>
    <w:rsid w:val="00BE6D00"/>
    <w:rsid w:val="00BF0439"/>
    <w:rsid w:val="00BF0A13"/>
    <w:rsid w:val="00BF0EEC"/>
    <w:rsid w:val="00BF7826"/>
    <w:rsid w:val="00BF7A7D"/>
    <w:rsid w:val="00C00471"/>
    <w:rsid w:val="00C00564"/>
    <w:rsid w:val="00C0376D"/>
    <w:rsid w:val="00C03F5D"/>
    <w:rsid w:val="00C04083"/>
    <w:rsid w:val="00C05C5E"/>
    <w:rsid w:val="00C05E5D"/>
    <w:rsid w:val="00C11CC9"/>
    <w:rsid w:val="00C11F79"/>
    <w:rsid w:val="00C129EB"/>
    <w:rsid w:val="00C15020"/>
    <w:rsid w:val="00C20DBF"/>
    <w:rsid w:val="00C21488"/>
    <w:rsid w:val="00C238C8"/>
    <w:rsid w:val="00C2501D"/>
    <w:rsid w:val="00C279EB"/>
    <w:rsid w:val="00C30D85"/>
    <w:rsid w:val="00C33960"/>
    <w:rsid w:val="00C34006"/>
    <w:rsid w:val="00C352D8"/>
    <w:rsid w:val="00C35AD3"/>
    <w:rsid w:val="00C36CD4"/>
    <w:rsid w:val="00C37509"/>
    <w:rsid w:val="00C40D2A"/>
    <w:rsid w:val="00C426B1"/>
    <w:rsid w:val="00C437E1"/>
    <w:rsid w:val="00C45E11"/>
    <w:rsid w:val="00C46A6E"/>
    <w:rsid w:val="00C47A1D"/>
    <w:rsid w:val="00C47AEF"/>
    <w:rsid w:val="00C50E93"/>
    <w:rsid w:val="00C51FE1"/>
    <w:rsid w:val="00C52B6C"/>
    <w:rsid w:val="00C539D7"/>
    <w:rsid w:val="00C56081"/>
    <w:rsid w:val="00C6121A"/>
    <w:rsid w:val="00C62A2C"/>
    <w:rsid w:val="00C721EF"/>
    <w:rsid w:val="00C72B6B"/>
    <w:rsid w:val="00C741DA"/>
    <w:rsid w:val="00C7467D"/>
    <w:rsid w:val="00C751C7"/>
    <w:rsid w:val="00C75BC0"/>
    <w:rsid w:val="00C7762D"/>
    <w:rsid w:val="00C7767D"/>
    <w:rsid w:val="00C81AE7"/>
    <w:rsid w:val="00C839ED"/>
    <w:rsid w:val="00C8432A"/>
    <w:rsid w:val="00C84B95"/>
    <w:rsid w:val="00C876D2"/>
    <w:rsid w:val="00C90487"/>
    <w:rsid w:val="00C90D6A"/>
    <w:rsid w:val="00C91716"/>
    <w:rsid w:val="00C919C1"/>
    <w:rsid w:val="00CA247E"/>
    <w:rsid w:val="00CA360F"/>
    <w:rsid w:val="00CB0AED"/>
    <w:rsid w:val="00CB40C0"/>
    <w:rsid w:val="00CB6FD6"/>
    <w:rsid w:val="00CB777E"/>
    <w:rsid w:val="00CC019F"/>
    <w:rsid w:val="00CC3741"/>
    <w:rsid w:val="00CC6BC3"/>
    <w:rsid w:val="00CC72B6"/>
    <w:rsid w:val="00CD4A40"/>
    <w:rsid w:val="00CD55BB"/>
    <w:rsid w:val="00CD6A55"/>
    <w:rsid w:val="00CE59F3"/>
    <w:rsid w:val="00CF0712"/>
    <w:rsid w:val="00CF18AC"/>
    <w:rsid w:val="00CF2BDE"/>
    <w:rsid w:val="00D0218D"/>
    <w:rsid w:val="00D0353A"/>
    <w:rsid w:val="00D04694"/>
    <w:rsid w:val="00D06812"/>
    <w:rsid w:val="00D07757"/>
    <w:rsid w:val="00D12FF5"/>
    <w:rsid w:val="00D20791"/>
    <w:rsid w:val="00D20F09"/>
    <w:rsid w:val="00D2504B"/>
    <w:rsid w:val="00D26084"/>
    <w:rsid w:val="00D31BAC"/>
    <w:rsid w:val="00D36652"/>
    <w:rsid w:val="00D40282"/>
    <w:rsid w:val="00D42662"/>
    <w:rsid w:val="00D446A4"/>
    <w:rsid w:val="00D51184"/>
    <w:rsid w:val="00D51217"/>
    <w:rsid w:val="00D5349F"/>
    <w:rsid w:val="00D54603"/>
    <w:rsid w:val="00D56CB0"/>
    <w:rsid w:val="00D60054"/>
    <w:rsid w:val="00D61D2D"/>
    <w:rsid w:val="00D63981"/>
    <w:rsid w:val="00D673BC"/>
    <w:rsid w:val="00D70F1F"/>
    <w:rsid w:val="00D72D84"/>
    <w:rsid w:val="00D7431C"/>
    <w:rsid w:val="00D75B01"/>
    <w:rsid w:val="00D75C5B"/>
    <w:rsid w:val="00D7778F"/>
    <w:rsid w:val="00D77A86"/>
    <w:rsid w:val="00D9054F"/>
    <w:rsid w:val="00D91A7E"/>
    <w:rsid w:val="00D933EF"/>
    <w:rsid w:val="00D973E1"/>
    <w:rsid w:val="00DA2529"/>
    <w:rsid w:val="00DA7F8D"/>
    <w:rsid w:val="00DB0FA6"/>
    <w:rsid w:val="00DB130A"/>
    <w:rsid w:val="00DB24D0"/>
    <w:rsid w:val="00DB32A8"/>
    <w:rsid w:val="00DB5679"/>
    <w:rsid w:val="00DB6D80"/>
    <w:rsid w:val="00DC10A1"/>
    <w:rsid w:val="00DC11AE"/>
    <w:rsid w:val="00DC1791"/>
    <w:rsid w:val="00DC1905"/>
    <w:rsid w:val="00DC1E1A"/>
    <w:rsid w:val="00DC310E"/>
    <w:rsid w:val="00DC655F"/>
    <w:rsid w:val="00DC781E"/>
    <w:rsid w:val="00DC7FDB"/>
    <w:rsid w:val="00DD0B59"/>
    <w:rsid w:val="00DD1B40"/>
    <w:rsid w:val="00DD2D66"/>
    <w:rsid w:val="00DD4254"/>
    <w:rsid w:val="00DD7EBD"/>
    <w:rsid w:val="00DE0810"/>
    <w:rsid w:val="00DE28E9"/>
    <w:rsid w:val="00DE3019"/>
    <w:rsid w:val="00DE31BC"/>
    <w:rsid w:val="00DE397A"/>
    <w:rsid w:val="00DE523D"/>
    <w:rsid w:val="00DE66C0"/>
    <w:rsid w:val="00DE71AC"/>
    <w:rsid w:val="00DE79AF"/>
    <w:rsid w:val="00DF4AB0"/>
    <w:rsid w:val="00DF62B6"/>
    <w:rsid w:val="00DF65E0"/>
    <w:rsid w:val="00E000E2"/>
    <w:rsid w:val="00E03320"/>
    <w:rsid w:val="00E04908"/>
    <w:rsid w:val="00E06EF3"/>
    <w:rsid w:val="00E07225"/>
    <w:rsid w:val="00E07B90"/>
    <w:rsid w:val="00E07C0A"/>
    <w:rsid w:val="00E12A31"/>
    <w:rsid w:val="00E15649"/>
    <w:rsid w:val="00E15D53"/>
    <w:rsid w:val="00E21F42"/>
    <w:rsid w:val="00E22829"/>
    <w:rsid w:val="00E24900"/>
    <w:rsid w:val="00E26667"/>
    <w:rsid w:val="00E27895"/>
    <w:rsid w:val="00E27C14"/>
    <w:rsid w:val="00E31D3F"/>
    <w:rsid w:val="00E34209"/>
    <w:rsid w:val="00E34C0C"/>
    <w:rsid w:val="00E34FFA"/>
    <w:rsid w:val="00E35527"/>
    <w:rsid w:val="00E37725"/>
    <w:rsid w:val="00E37B39"/>
    <w:rsid w:val="00E4130E"/>
    <w:rsid w:val="00E41E3A"/>
    <w:rsid w:val="00E42658"/>
    <w:rsid w:val="00E42B33"/>
    <w:rsid w:val="00E42B5C"/>
    <w:rsid w:val="00E46FCC"/>
    <w:rsid w:val="00E53984"/>
    <w:rsid w:val="00E5409F"/>
    <w:rsid w:val="00E55771"/>
    <w:rsid w:val="00E55C2D"/>
    <w:rsid w:val="00E60687"/>
    <w:rsid w:val="00E6158F"/>
    <w:rsid w:val="00E64A23"/>
    <w:rsid w:val="00E67668"/>
    <w:rsid w:val="00E72066"/>
    <w:rsid w:val="00E776D9"/>
    <w:rsid w:val="00E82BDC"/>
    <w:rsid w:val="00E871A5"/>
    <w:rsid w:val="00E879AE"/>
    <w:rsid w:val="00E97A68"/>
    <w:rsid w:val="00E97BF1"/>
    <w:rsid w:val="00EA16F2"/>
    <w:rsid w:val="00EA2287"/>
    <w:rsid w:val="00EA2390"/>
    <w:rsid w:val="00EA3017"/>
    <w:rsid w:val="00EA31BA"/>
    <w:rsid w:val="00EA33C8"/>
    <w:rsid w:val="00EA36DD"/>
    <w:rsid w:val="00EB0B8D"/>
    <w:rsid w:val="00EB6378"/>
    <w:rsid w:val="00EB6B75"/>
    <w:rsid w:val="00EB6E18"/>
    <w:rsid w:val="00EC17A5"/>
    <w:rsid w:val="00EC2441"/>
    <w:rsid w:val="00EC2C65"/>
    <w:rsid w:val="00EC764E"/>
    <w:rsid w:val="00ED073C"/>
    <w:rsid w:val="00ED184B"/>
    <w:rsid w:val="00ED185B"/>
    <w:rsid w:val="00ED19C4"/>
    <w:rsid w:val="00ED3AAE"/>
    <w:rsid w:val="00ED6123"/>
    <w:rsid w:val="00ED6D49"/>
    <w:rsid w:val="00EE5B66"/>
    <w:rsid w:val="00EE6488"/>
    <w:rsid w:val="00EF0F79"/>
    <w:rsid w:val="00EF45EC"/>
    <w:rsid w:val="00EF4CAF"/>
    <w:rsid w:val="00EF5AEE"/>
    <w:rsid w:val="00EF5E7F"/>
    <w:rsid w:val="00F01398"/>
    <w:rsid w:val="00F0171C"/>
    <w:rsid w:val="00F021FA"/>
    <w:rsid w:val="00F05E49"/>
    <w:rsid w:val="00F103A5"/>
    <w:rsid w:val="00F12838"/>
    <w:rsid w:val="00F1607D"/>
    <w:rsid w:val="00F212E5"/>
    <w:rsid w:val="00F22264"/>
    <w:rsid w:val="00F2233B"/>
    <w:rsid w:val="00F23F11"/>
    <w:rsid w:val="00F2507E"/>
    <w:rsid w:val="00F265A0"/>
    <w:rsid w:val="00F26749"/>
    <w:rsid w:val="00F3094C"/>
    <w:rsid w:val="00F31EF7"/>
    <w:rsid w:val="00F3214D"/>
    <w:rsid w:val="00F32A8B"/>
    <w:rsid w:val="00F35897"/>
    <w:rsid w:val="00F40D01"/>
    <w:rsid w:val="00F4246E"/>
    <w:rsid w:val="00F449E4"/>
    <w:rsid w:val="00F46E20"/>
    <w:rsid w:val="00F476F0"/>
    <w:rsid w:val="00F47875"/>
    <w:rsid w:val="00F510D7"/>
    <w:rsid w:val="00F53614"/>
    <w:rsid w:val="00F53A24"/>
    <w:rsid w:val="00F554AF"/>
    <w:rsid w:val="00F6073E"/>
    <w:rsid w:val="00F62E97"/>
    <w:rsid w:val="00F631C3"/>
    <w:rsid w:val="00F64209"/>
    <w:rsid w:val="00F655D0"/>
    <w:rsid w:val="00F70D89"/>
    <w:rsid w:val="00F76D28"/>
    <w:rsid w:val="00F7765E"/>
    <w:rsid w:val="00F80560"/>
    <w:rsid w:val="00F84248"/>
    <w:rsid w:val="00F87F2C"/>
    <w:rsid w:val="00F9044A"/>
    <w:rsid w:val="00F92AE1"/>
    <w:rsid w:val="00F93BF5"/>
    <w:rsid w:val="00F94D67"/>
    <w:rsid w:val="00F96282"/>
    <w:rsid w:val="00F97362"/>
    <w:rsid w:val="00FA606B"/>
    <w:rsid w:val="00FA6E10"/>
    <w:rsid w:val="00FA7BB1"/>
    <w:rsid w:val="00FB2444"/>
    <w:rsid w:val="00FB2FBA"/>
    <w:rsid w:val="00FB392A"/>
    <w:rsid w:val="00FB533A"/>
    <w:rsid w:val="00FB7E0C"/>
    <w:rsid w:val="00FC1A63"/>
    <w:rsid w:val="00FC1FAF"/>
    <w:rsid w:val="00FC5B14"/>
    <w:rsid w:val="00FD0C6C"/>
    <w:rsid w:val="00FD363D"/>
    <w:rsid w:val="00FD3BA1"/>
    <w:rsid w:val="00FE2928"/>
    <w:rsid w:val="00FE2C14"/>
    <w:rsid w:val="00FF432C"/>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7F90"/>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F4246E"/>
    <w:pPr>
      <w:keepNext/>
      <w:spacing w:after="120"/>
      <w:jc w:val="center"/>
      <w:outlineLvl w:val="1"/>
    </w:pPr>
    <w:rPr>
      <w:b/>
    </w:rPr>
  </w:style>
  <w:style w:type="paragraph" w:styleId="Heading3">
    <w:name w:val="heading 3"/>
    <w:basedOn w:val="Normal"/>
    <w:next w:val="ParaNum"/>
    <w:link w:val="Heading3Char"/>
    <w:uiPriority w:val="99"/>
    <w:qFormat/>
    <w:rsid w:val="00BA6196"/>
    <w:pPr>
      <w:keepNext/>
      <w:numPr>
        <w:ilvl w:val="2"/>
        <w:numId w:val="3"/>
      </w:numPr>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5C81"/>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semiHidden/>
    <w:locked/>
    <w:rsid w:val="006F33B4"/>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6F33B4"/>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6F33B4"/>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6F33B4"/>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6F33B4"/>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6F33B4"/>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6F33B4"/>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6F33B4"/>
    <w:rPr>
      <w:rFonts w:ascii="Cambria" w:hAnsi="Cambria" w:cs="Times New Roman"/>
      <w:kern w:val="28"/>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2E1154"/>
    <w:rPr>
      <w:sz w:val="20"/>
    </w:rPr>
  </w:style>
  <w:style w:type="character" w:customStyle="1" w:styleId="EndnoteTextChar">
    <w:name w:val="Endnote Text Char"/>
    <w:basedOn w:val="DefaultParagraphFont"/>
    <w:link w:val="EndnoteText"/>
    <w:uiPriority w:val="99"/>
    <w:semiHidden/>
    <w:locked/>
    <w:rsid w:val="006F33B4"/>
    <w:rPr>
      <w:rFonts w:cs="Times New Roman"/>
      <w:kern w:val="28"/>
      <w:sz w:val="20"/>
      <w:szCs w:val="20"/>
    </w:rPr>
  </w:style>
  <w:style w:type="character" w:styleId="EndnoteReference">
    <w:name w:val="endnote reference"/>
    <w:basedOn w:val="DefaultParagraphFont"/>
    <w:uiPriority w:val="99"/>
    <w:semiHidden/>
    <w:rsid w:val="002E1154"/>
    <w:rPr>
      <w:rFonts w:cs="Times New Roman"/>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uiPriority w:val="99"/>
    <w:semiHidden/>
    <w:rsid w:val="000E3D42"/>
    <w:pPr>
      <w:widowControl/>
      <w:spacing w:after="120"/>
    </w:pPr>
    <w:rPr>
      <w:kern w:val="0"/>
      <w:sz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uiPriority w:val="99"/>
    <w:semiHidden/>
    <w:locked/>
    <w:rsid w:val="00627119"/>
    <w:rPr>
      <w:rFonts w:cs="Times New Roman"/>
      <w:lang w:val="en-US" w:eastAsia="en-US" w:bidi="ar-SA"/>
    </w:rPr>
  </w:style>
  <w:style w:type="character" w:styleId="FootnoteReference">
    <w:name w:val="footnote reference"/>
    <w:aliases w:val="Style 12,(NECG) Footnote Reference,Appel note de bas de p,Style 124,Style 4,Style 13,o,fr,Style 3"/>
    <w:basedOn w:val="DefaultParagraphFont"/>
    <w:uiPriority w:val="99"/>
    <w:semiHidden/>
    <w:rsid w:val="002E1154"/>
    <w:rPr>
      <w:rFonts w:ascii="Times New Roman" w:hAnsi="Times New Roman" w:cs="Times New Roman"/>
      <w:color w:val="auto"/>
      <w:sz w:val="22"/>
      <w:vertAlign w:val="superscript"/>
    </w:rPr>
  </w:style>
  <w:style w:type="paragraph" w:styleId="TOC1">
    <w:name w:val="toc 1"/>
    <w:basedOn w:val="Normal"/>
    <w:next w:val="Normal"/>
    <w:uiPriority w:val="99"/>
    <w:semiHidden/>
    <w:rsid w:val="002E1154"/>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2E1154"/>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2E1154"/>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2E1154"/>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2E1154"/>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E1154"/>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E1154"/>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E1154"/>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2E1154"/>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2E1154"/>
    <w:pPr>
      <w:tabs>
        <w:tab w:val="right" w:pos="9360"/>
      </w:tabs>
      <w:suppressAutoHyphens/>
    </w:pPr>
  </w:style>
  <w:style w:type="character" w:customStyle="1" w:styleId="EquationCaption">
    <w:name w:val="_Equation Caption"/>
    <w:uiPriority w:val="99"/>
    <w:rsid w:val="002E1154"/>
  </w:style>
  <w:style w:type="paragraph" w:styleId="Header">
    <w:name w:val="header"/>
    <w:basedOn w:val="Normal"/>
    <w:link w:val="HeaderChar"/>
    <w:autoRedefine/>
    <w:uiPriority w:val="99"/>
    <w:rsid w:val="002E1154"/>
    <w:pPr>
      <w:tabs>
        <w:tab w:val="center" w:pos="4680"/>
        <w:tab w:val="right" w:pos="9360"/>
      </w:tabs>
    </w:pPr>
    <w:rPr>
      <w:b/>
    </w:rPr>
  </w:style>
  <w:style w:type="character" w:customStyle="1" w:styleId="HeaderChar">
    <w:name w:val="Header Char"/>
    <w:basedOn w:val="DefaultParagraphFont"/>
    <w:link w:val="Header"/>
    <w:uiPriority w:val="99"/>
    <w:semiHidden/>
    <w:locked/>
    <w:rsid w:val="006F33B4"/>
    <w:rPr>
      <w:rFonts w:cs="Times New Roman"/>
      <w:kern w:val="28"/>
      <w:sz w:val="20"/>
      <w:szCs w:val="20"/>
    </w:rPr>
  </w:style>
  <w:style w:type="paragraph" w:styleId="Footer">
    <w:name w:val="footer"/>
    <w:basedOn w:val="Normal"/>
    <w:link w:val="FooterChar"/>
    <w:uiPriority w:val="99"/>
    <w:rsid w:val="002E1154"/>
    <w:pPr>
      <w:tabs>
        <w:tab w:val="center" w:pos="4320"/>
        <w:tab w:val="right" w:pos="8640"/>
      </w:tabs>
    </w:pPr>
  </w:style>
  <w:style w:type="character" w:customStyle="1" w:styleId="FooterChar">
    <w:name w:val="Footer Char"/>
    <w:basedOn w:val="DefaultParagraphFont"/>
    <w:link w:val="Footer"/>
    <w:uiPriority w:val="99"/>
    <w:locked/>
    <w:rsid w:val="005F62B5"/>
    <w:rPr>
      <w:rFonts w:cs="Times New Roman"/>
      <w:snapToGrid w:val="0"/>
      <w:kern w:val="28"/>
      <w:sz w:val="22"/>
    </w:rPr>
  </w:style>
  <w:style w:type="character" w:styleId="PageNumber">
    <w:name w:val="page number"/>
    <w:basedOn w:val="DefaultParagraphFont"/>
    <w:uiPriority w:val="99"/>
    <w:rsid w:val="002E1154"/>
    <w:rPr>
      <w:rFonts w:cs="Times New Roman"/>
    </w:rPr>
  </w:style>
  <w:style w:type="paragraph" w:styleId="BlockText">
    <w:name w:val="Block Text"/>
    <w:basedOn w:val="Normal"/>
    <w:uiPriority w:val="99"/>
    <w:rsid w:val="002E1154"/>
    <w:pPr>
      <w:spacing w:after="240"/>
      <w:ind w:left="1440" w:right="1440"/>
    </w:pPr>
  </w:style>
  <w:style w:type="paragraph" w:customStyle="1" w:styleId="Paratitle">
    <w:name w:val="Para title"/>
    <w:basedOn w:val="Normal"/>
    <w:uiPriority w:val="99"/>
    <w:rsid w:val="002E1154"/>
    <w:pPr>
      <w:tabs>
        <w:tab w:val="center" w:pos="9270"/>
      </w:tabs>
      <w:spacing w:after="240"/>
    </w:pPr>
    <w:rPr>
      <w:spacing w:val="-2"/>
    </w:rPr>
  </w:style>
  <w:style w:type="paragraph" w:customStyle="1" w:styleId="Bullet">
    <w:name w:val="Bullet"/>
    <w:basedOn w:val="Normal"/>
    <w:uiPriority w:val="99"/>
    <w:rsid w:val="002E1154"/>
    <w:pPr>
      <w:numPr>
        <w:numId w:val="1"/>
      </w:numPr>
      <w:tabs>
        <w:tab w:val="clear" w:pos="360"/>
        <w:tab w:val="left" w:pos="2160"/>
      </w:tabs>
      <w:spacing w:after="220"/>
      <w:ind w:left="2160" w:hanging="720"/>
    </w:pPr>
  </w:style>
  <w:style w:type="paragraph" w:customStyle="1" w:styleId="TableFormat">
    <w:name w:val="TableFormat"/>
    <w:basedOn w:val="Bullet"/>
    <w:uiPriority w:val="99"/>
    <w:rsid w:val="002E1154"/>
    <w:pPr>
      <w:numPr>
        <w:numId w:val="0"/>
      </w:numPr>
      <w:tabs>
        <w:tab w:val="clear" w:pos="2160"/>
        <w:tab w:val="left" w:pos="5040"/>
      </w:tabs>
      <w:ind w:left="5040" w:hanging="3600"/>
    </w:pPr>
  </w:style>
  <w:style w:type="paragraph" w:customStyle="1" w:styleId="TOCTitle">
    <w:name w:val="TOC Title"/>
    <w:basedOn w:val="Normal"/>
    <w:uiPriority w:val="99"/>
    <w:rsid w:val="002E1154"/>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table" w:styleId="TableGrid">
    <w:name w:val="Table Grid"/>
    <w:basedOn w:val="TableNormal"/>
    <w:uiPriority w:val="99"/>
    <w:rsid w:val="001E465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A438F"/>
    <w:rPr>
      <w:rFonts w:ascii="Tahoma" w:hAnsi="Tahoma" w:cs="Tahoma"/>
      <w:sz w:val="16"/>
      <w:szCs w:val="16"/>
    </w:rPr>
  </w:style>
  <w:style w:type="character" w:customStyle="1" w:styleId="BalloonTextChar">
    <w:name w:val="Balloon Text Char"/>
    <w:basedOn w:val="DefaultParagraphFont"/>
    <w:link w:val="BalloonText"/>
    <w:uiPriority w:val="99"/>
    <w:locked/>
    <w:rsid w:val="008A438F"/>
    <w:rPr>
      <w:rFonts w:ascii="Tahoma" w:hAnsi="Tahoma" w:cs="Tahoma"/>
      <w:snapToGrid w:val="0"/>
      <w:kern w:val="28"/>
      <w:sz w:val="16"/>
      <w:szCs w:val="16"/>
    </w:rPr>
  </w:style>
  <w:style w:type="character" w:styleId="CommentReference">
    <w:name w:val="annotation reference"/>
    <w:basedOn w:val="DefaultParagraphFont"/>
    <w:uiPriority w:val="99"/>
    <w:rsid w:val="00677A93"/>
    <w:rPr>
      <w:rFonts w:cs="Times New Roman"/>
      <w:sz w:val="16"/>
      <w:szCs w:val="16"/>
    </w:rPr>
  </w:style>
  <w:style w:type="paragraph" w:styleId="CommentText">
    <w:name w:val="annotation text"/>
    <w:basedOn w:val="Normal"/>
    <w:link w:val="CommentTextChar"/>
    <w:uiPriority w:val="99"/>
    <w:rsid w:val="00677A93"/>
    <w:rPr>
      <w:sz w:val="20"/>
    </w:rPr>
  </w:style>
  <w:style w:type="character" w:customStyle="1" w:styleId="CommentTextChar">
    <w:name w:val="Comment Text Char"/>
    <w:basedOn w:val="DefaultParagraphFont"/>
    <w:link w:val="CommentText"/>
    <w:uiPriority w:val="99"/>
    <w:locked/>
    <w:rsid w:val="00677A93"/>
    <w:rPr>
      <w:rFonts w:cs="Times New Roman"/>
      <w:snapToGrid w:val="0"/>
      <w:kern w:val="28"/>
    </w:rPr>
  </w:style>
  <w:style w:type="paragraph" w:styleId="CommentSubject">
    <w:name w:val="annotation subject"/>
    <w:basedOn w:val="CommentText"/>
    <w:next w:val="CommentText"/>
    <w:link w:val="CommentSubjectChar"/>
    <w:uiPriority w:val="99"/>
    <w:rsid w:val="00677A93"/>
    <w:rPr>
      <w:b/>
      <w:bCs/>
    </w:rPr>
  </w:style>
  <w:style w:type="character" w:customStyle="1" w:styleId="CommentSubjectChar">
    <w:name w:val="Comment Subject Char"/>
    <w:basedOn w:val="CommentTextChar"/>
    <w:link w:val="CommentSubject"/>
    <w:uiPriority w:val="99"/>
    <w:locked/>
    <w:rsid w:val="00677A93"/>
    <w:rPr>
      <w:rFonts w:cs="Times New Roman"/>
      <w:b/>
      <w:bCs/>
      <w:snapToGrid w:val="0"/>
      <w:kern w:val="28"/>
    </w:rPr>
  </w:style>
  <w:style w:type="character" w:customStyle="1" w:styleId="FootnoteTextChar2">
    <w:name w:val="Footnote Text Char2"/>
    <w:aliases w:val="rrfootnote Char Char,Footnote Text Char2 Char Char Char Char,Footnote Text Char1 Char2 Char Char Char Char"/>
    <w:uiPriority w:val="99"/>
    <w:rsid w:val="006620B1"/>
    <w:rPr>
      <w:lang w:val="en-US" w:eastAsia="en-US"/>
    </w:rPr>
  </w:style>
  <w:style w:type="character" w:customStyle="1" w:styleId="ParaNumChar">
    <w:name w:val="ParaNum Char"/>
    <w:link w:val="ParaNum"/>
    <w:uiPriority w:val="99"/>
    <w:locked/>
    <w:rsid w:val="006620B1"/>
    <w:rPr>
      <w:snapToGrid w:val="0"/>
      <w:kern w:val="28"/>
      <w:sz w:val="22"/>
    </w:rPr>
  </w:style>
  <w:style w:type="character" w:customStyle="1" w:styleId="EmailStyle641">
    <w:name w:val="EmailStyle641"/>
    <w:basedOn w:val="DefaultParagraphFont"/>
    <w:uiPriority w:val="99"/>
    <w:semiHidden/>
    <w:rsid w:val="00B04A03"/>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7F90"/>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F4246E"/>
    <w:pPr>
      <w:keepNext/>
      <w:spacing w:after="120"/>
      <w:jc w:val="center"/>
      <w:outlineLvl w:val="1"/>
    </w:pPr>
    <w:rPr>
      <w:b/>
    </w:rPr>
  </w:style>
  <w:style w:type="paragraph" w:styleId="Heading3">
    <w:name w:val="heading 3"/>
    <w:basedOn w:val="Normal"/>
    <w:next w:val="ParaNum"/>
    <w:link w:val="Heading3Char"/>
    <w:uiPriority w:val="99"/>
    <w:qFormat/>
    <w:rsid w:val="00BA6196"/>
    <w:pPr>
      <w:keepNext/>
      <w:numPr>
        <w:ilvl w:val="2"/>
        <w:numId w:val="3"/>
      </w:numPr>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5C81"/>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semiHidden/>
    <w:locked/>
    <w:rsid w:val="006F33B4"/>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6F33B4"/>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6F33B4"/>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6F33B4"/>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6F33B4"/>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6F33B4"/>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6F33B4"/>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6F33B4"/>
    <w:rPr>
      <w:rFonts w:ascii="Cambria" w:hAnsi="Cambria" w:cs="Times New Roman"/>
      <w:kern w:val="28"/>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2E1154"/>
    <w:rPr>
      <w:sz w:val="20"/>
    </w:rPr>
  </w:style>
  <w:style w:type="character" w:customStyle="1" w:styleId="EndnoteTextChar">
    <w:name w:val="Endnote Text Char"/>
    <w:basedOn w:val="DefaultParagraphFont"/>
    <w:link w:val="EndnoteText"/>
    <w:uiPriority w:val="99"/>
    <w:semiHidden/>
    <w:locked/>
    <w:rsid w:val="006F33B4"/>
    <w:rPr>
      <w:rFonts w:cs="Times New Roman"/>
      <w:kern w:val="28"/>
      <w:sz w:val="20"/>
      <w:szCs w:val="20"/>
    </w:rPr>
  </w:style>
  <w:style w:type="character" w:styleId="EndnoteReference">
    <w:name w:val="endnote reference"/>
    <w:basedOn w:val="DefaultParagraphFont"/>
    <w:uiPriority w:val="99"/>
    <w:semiHidden/>
    <w:rsid w:val="002E1154"/>
    <w:rPr>
      <w:rFonts w:cs="Times New Roman"/>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uiPriority w:val="99"/>
    <w:semiHidden/>
    <w:rsid w:val="000E3D42"/>
    <w:pPr>
      <w:widowControl/>
      <w:spacing w:after="120"/>
    </w:pPr>
    <w:rPr>
      <w:kern w:val="0"/>
      <w:sz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uiPriority w:val="99"/>
    <w:semiHidden/>
    <w:locked/>
    <w:rsid w:val="00627119"/>
    <w:rPr>
      <w:rFonts w:cs="Times New Roman"/>
      <w:lang w:val="en-US" w:eastAsia="en-US" w:bidi="ar-SA"/>
    </w:rPr>
  </w:style>
  <w:style w:type="character" w:styleId="FootnoteReference">
    <w:name w:val="footnote reference"/>
    <w:aliases w:val="Style 12,(NECG) Footnote Reference,Appel note de bas de p,Style 124,Style 4,Style 13,o,fr,Style 3"/>
    <w:basedOn w:val="DefaultParagraphFont"/>
    <w:uiPriority w:val="99"/>
    <w:semiHidden/>
    <w:rsid w:val="002E1154"/>
    <w:rPr>
      <w:rFonts w:ascii="Times New Roman" w:hAnsi="Times New Roman" w:cs="Times New Roman"/>
      <w:color w:val="auto"/>
      <w:sz w:val="22"/>
      <w:vertAlign w:val="superscript"/>
    </w:rPr>
  </w:style>
  <w:style w:type="paragraph" w:styleId="TOC1">
    <w:name w:val="toc 1"/>
    <w:basedOn w:val="Normal"/>
    <w:next w:val="Normal"/>
    <w:uiPriority w:val="99"/>
    <w:semiHidden/>
    <w:rsid w:val="002E1154"/>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2E1154"/>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2E1154"/>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2E1154"/>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2E1154"/>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E1154"/>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E1154"/>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E1154"/>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2E1154"/>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2E1154"/>
    <w:pPr>
      <w:tabs>
        <w:tab w:val="right" w:pos="9360"/>
      </w:tabs>
      <w:suppressAutoHyphens/>
    </w:pPr>
  </w:style>
  <w:style w:type="character" w:customStyle="1" w:styleId="EquationCaption">
    <w:name w:val="_Equation Caption"/>
    <w:uiPriority w:val="99"/>
    <w:rsid w:val="002E1154"/>
  </w:style>
  <w:style w:type="paragraph" w:styleId="Header">
    <w:name w:val="header"/>
    <w:basedOn w:val="Normal"/>
    <w:link w:val="HeaderChar"/>
    <w:autoRedefine/>
    <w:uiPriority w:val="99"/>
    <w:rsid w:val="002E1154"/>
    <w:pPr>
      <w:tabs>
        <w:tab w:val="center" w:pos="4680"/>
        <w:tab w:val="right" w:pos="9360"/>
      </w:tabs>
    </w:pPr>
    <w:rPr>
      <w:b/>
    </w:rPr>
  </w:style>
  <w:style w:type="character" w:customStyle="1" w:styleId="HeaderChar">
    <w:name w:val="Header Char"/>
    <w:basedOn w:val="DefaultParagraphFont"/>
    <w:link w:val="Header"/>
    <w:uiPriority w:val="99"/>
    <w:semiHidden/>
    <w:locked/>
    <w:rsid w:val="006F33B4"/>
    <w:rPr>
      <w:rFonts w:cs="Times New Roman"/>
      <w:kern w:val="28"/>
      <w:sz w:val="20"/>
      <w:szCs w:val="20"/>
    </w:rPr>
  </w:style>
  <w:style w:type="paragraph" w:styleId="Footer">
    <w:name w:val="footer"/>
    <w:basedOn w:val="Normal"/>
    <w:link w:val="FooterChar"/>
    <w:uiPriority w:val="99"/>
    <w:rsid w:val="002E1154"/>
    <w:pPr>
      <w:tabs>
        <w:tab w:val="center" w:pos="4320"/>
        <w:tab w:val="right" w:pos="8640"/>
      </w:tabs>
    </w:pPr>
  </w:style>
  <w:style w:type="character" w:customStyle="1" w:styleId="FooterChar">
    <w:name w:val="Footer Char"/>
    <w:basedOn w:val="DefaultParagraphFont"/>
    <w:link w:val="Footer"/>
    <w:uiPriority w:val="99"/>
    <w:locked/>
    <w:rsid w:val="005F62B5"/>
    <w:rPr>
      <w:rFonts w:cs="Times New Roman"/>
      <w:snapToGrid w:val="0"/>
      <w:kern w:val="28"/>
      <w:sz w:val="22"/>
    </w:rPr>
  </w:style>
  <w:style w:type="character" w:styleId="PageNumber">
    <w:name w:val="page number"/>
    <w:basedOn w:val="DefaultParagraphFont"/>
    <w:uiPriority w:val="99"/>
    <w:rsid w:val="002E1154"/>
    <w:rPr>
      <w:rFonts w:cs="Times New Roman"/>
    </w:rPr>
  </w:style>
  <w:style w:type="paragraph" w:styleId="BlockText">
    <w:name w:val="Block Text"/>
    <w:basedOn w:val="Normal"/>
    <w:uiPriority w:val="99"/>
    <w:rsid w:val="002E1154"/>
    <w:pPr>
      <w:spacing w:after="240"/>
      <w:ind w:left="1440" w:right="1440"/>
    </w:pPr>
  </w:style>
  <w:style w:type="paragraph" w:customStyle="1" w:styleId="Paratitle">
    <w:name w:val="Para title"/>
    <w:basedOn w:val="Normal"/>
    <w:uiPriority w:val="99"/>
    <w:rsid w:val="002E1154"/>
    <w:pPr>
      <w:tabs>
        <w:tab w:val="center" w:pos="9270"/>
      </w:tabs>
      <w:spacing w:after="240"/>
    </w:pPr>
    <w:rPr>
      <w:spacing w:val="-2"/>
    </w:rPr>
  </w:style>
  <w:style w:type="paragraph" w:customStyle="1" w:styleId="Bullet">
    <w:name w:val="Bullet"/>
    <w:basedOn w:val="Normal"/>
    <w:uiPriority w:val="99"/>
    <w:rsid w:val="002E1154"/>
    <w:pPr>
      <w:numPr>
        <w:numId w:val="1"/>
      </w:numPr>
      <w:tabs>
        <w:tab w:val="clear" w:pos="360"/>
        <w:tab w:val="left" w:pos="2160"/>
      </w:tabs>
      <w:spacing w:after="220"/>
      <w:ind w:left="2160" w:hanging="720"/>
    </w:pPr>
  </w:style>
  <w:style w:type="paragraph" w:customStyle="1" w:styleId="TableFormat">
    <w:name w:val="TableFormat"/>
    <w:basedOn w:val="Bullet"/>
    <w:uiPriority w:val="99"/>
    <w:rsid w:val="002E1154"/>
    <w:pPr>
      <w:numPr>
        <w:numId w:val="0"/>
      </w:numPr>
      <w:tabs>
        <w:tab w:val="clear" w:pos="2160"/>
        <w:tab w:val="left" w:pos="5040"/>
      </w:tabs>
      <w:ind w:left="5040" w:hanging="3600"/>
    </w:pPr>
  </w:style>
  <w:style w:type="paragraph" w:customStyle="1" w:styleId="TOCTitle">
    <w:name w:val="TOC Title"/>
    <w:basedOn w:val="Normal"/>
    <w:uiPriority w:val="99"/>
    <w:rsid w:val="002E1154"/>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table" w:styleId="TableGrid">
    <w:name w:val="Table Grid"/>
    <w:basedOn w:val="TableNormal"/>
    <w:uiPriority w:val="99"/>
    <w:rsid w:val="001E465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A438F"/>
    <w:rPr>
      <w:rFonts w:ascii="Tahoma" w:hAnsi="Tahoma" w:cs="Tahoma"/>
      <w:sz w:val="16"/>
      <w:szCs w:val="16"/>
    </w:rPr>
  </w:style>
  <w:style w:type="character" w:customStyle="1" w:styleId="BalloonTextChar">
    <w:name w:val="Balloon Text Char"/>
    <w:basedOn w:val="DefaultParagraphFont"/>
    <w:link w:val="BalloonText"/>
    <w:uiPriority w:val="99"/>
    <w:locked/>
    <w:rsid w:val="008A438F"/>
    <w:rPr>
      <w:rFonts w:ascii="Tahoma" w:hAnsi="Tahoma" w:cs="Tahoma"/>
      <w:snapToGrid w:val="0"/>
      <w:kern w:val="28"/>
      <w:sz w:val="16"/>
      <w:szCs w:val="16"/>
    </w:rPr>
  </w:style>
  <w:style w:type="character" w:styleId="CommentReference">
    <w:name w:val="annotation reference"/>
    <w:basedOn w:val="DefaultParagraphFont"/>
    <w:uiPriority w:val="99"/>
    <w:rsid w:val="00677A93"/>
    <w:rPr>
      <w:rFonts w:cs="Times New Roman"/>
      <w:sz w:val="16"/>
      <w:szCs w:val="16"/>
    </w:rPr>
  </w:style>
  <w:style w:type="paragraph" w:styleId="CommentText">
    <w:name w:val="annotation text"/>
    <w:basedOn w:val="Normal"/>
    <w:link w:val="CommentTextChar"/>
    <w:uiPriority w:val="99"/>
    <w:rsid w:val="00677A93"/>
    <w:rPr>
      <w:sz w:val="20"/>
    </w:rPr>
  </w:style>
  <w:style w:type="character" w:customStyle="1" w:styleId="CommentTextChar">
    <w:name w:val="Comment Text Char"/>
    <w:basedOn w:val="DefaultParagraphFont"/>
    <w:link w:val="CommentText"/>
    <w:uiPriority w:val="99"/>
    <w:locked/>
    <w:rsid w:val="00677A93"/>
    <w:rPr>
      <w:rFonts w:cs="Times New Roman"/>
      <w:snapToGrid w:val="0"/>
      <w:kern w:val="28"/>
    </w:rPr>
  </w:style>
  <w:style w:type="paragraph" w:styleId="CommentSubject">
    <w:name w:val="annotation subject"/>
    <w:basedOn w:val="CommentText"/>
    <w:next w:val="CommentText"/>
    <w:link w:val="CommentSubjectChar"/>
    <w:uiPriority w:val="99"/>
    <w:rsid w:val="00677A93"/>
    <w:rPr>
      <w:b/>
      <w:bCs/>
    </w:rPr>
  </w:style>
  <w:style w:type="character" w:customStyle="1" w:styleId="CommentSubjectChar">
    <w:name w:val="Comment Subject Char"/>
    <w:basedOn w:val="CommentTextChar"/>
    <w:link w:val="CommentSubject"/>
    <w:uiPriority w:val="99"/>
    <w:locked/>
    <w:rsid w:val="00677A93"/>
    <w:rPr>
      <w:rFonts w:cs="Times New Roman"/>
      <w:b/>
      <w:bCs/>
      <w:snapToGrid w:val="0"/>
      <w:kern w:val="28"/>
    </w:rPr>
  </w:style>
  <w:style w:type="character" w:customStyle="1" w:styleId="FootnoteTextChar2">
    <w:name w:val="Footnote Text Char2"/>
    <w:aliases w:val="rrfootnote Char Char,Footnote Text Char2 Char Char Char Char,Footnote Text Char1 Char2 Char Char Char Char"/>
    <w:uiPriority w:val="99"/>
    <w:rsid w:val="006620B1"/>
    <w:rPr>
      <w:lang w:val="en-US" w:eastAsia="en-US"/>
    </w:rPr>
  </w:style>
  <w:style w:type="character" w:customStyle="1" w:styleId="ParaNumChar">
    <w:name w:val="ParaNum Char"/>
    <w:link w:val="ParaNum"/>
    <w:uiPriority w:val="99"/>
    <w:locked/>
    <w:rsid w:val="006620B1"/>
    <w:rPr>
      <w:snapToGrid w:val="0"/>
      <w:kern w:val="28"/>
      <w:sz w:val="22"/>
    </w:rPr>
  </w:style>
  <w:style w:type="character" w:customStyle="1" w:styleId="EmailStyle641">
    <w:name w:val="EmailStyle641"/>
    <w:basedOn w:val="DefaultParagraphFont"/>
    <w:uiPriority w:val="99"/>
    <w:semiHidden/>
    <w:rsid w:val="00B04A0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2"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1"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4"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2752</Words>
  <Characters>15447</Characters>
  <Application>Microsoft Office Word</Application>
  <DocSecurity>0</DocSecurity>
  <Lines>299</Lines>
  <Paragraphs>113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18355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2012-12-20T12:44:00Z</cp:lastPrinted>
  <dcterms:created xsi:type="dcterms:W3CDTF">2012-12-20T19:21:00Z</dcterms:created>
  <dcterms:modified xsi:type="dcterms:W3CDTF">2012-12-20T19:21:00Z</dcterms:modified>
  <cp:category> </cp:category>
  <cp:contentStatus> </cp:contentStatus>
</cp:coreProperties>
</file>