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EF" w:rsidRPr="00BD179C" w:rsidRDefault="00CC43EF" w:rsidP="00CC43EF">
      <w:pPr>
        <w:jc w:val="center"/>
        <w:rPr>
          <w:b/>
          <w:szCs w:val="22"/>
        </w:rPr>
      </w:pPr>
      <w:bookmarkStart w:id="0" w:name="_GoBack"/>
      <w:bookmarkEnd w:id="0"/>
      <w:r w:rsidRPr="00BD179C">
        <w:rPr>
          <w:b/>
          <w:szCs w:val="22"/>
        </w:rPr>
        <w:t>Before the</w:t>
      </w:r>
    </w:p>
    <w:p w:rsidR="00CC43EF" w:rsidRPr="00BD179C" w:rsidRDefault="00CC43EF" w:rsidP="00CC43EF">
      <w:pPr>
        <w:jc w:val="center"/>
        <w:rPr>
          <w:b/>
          <w:szCs w:val="22"/>
        </w:rPr>
      </w:pPr>
      <w:r w:rsidRPr="00BD179C">
        <w:rPr>
          <w:b/>
          <w:szCs w:val="22"/>
        </w:rPr>
        <w:t>Federal Communications Commission</w:t>
      </w:r>
    </w:p>
    <w:p w:rsidR="00CC43EF" w:rsidRPr="00BD179C" w:rsidRDefault="00CC43EF" w:rsidP="00CC43EF">
      <w:pPr>
        <w:jc w:val="center"/>
        <w:rPr>
          <w:szCs w:val="22"/>
        </w:rPr>
      </w:pPr>
      <w:r w:rsidRPr="00BD179C">
        <w:rPr>
          <w:b/>
          <w:szCs w:val="22"/>
        </w:rPr>
        <w:t>Washington, D.C.  20554</w:t>
      </w:r>
    </w:p>
    <w:p w:rsidR="00CC43EF" w:rsidRPr="00BD179C" w:rsidRDefault="00CC43EF" w:rsidP="00CC43EF">
      <w:pPr>
        <w:jc w:val="center"/>
        <w:rPr>
          <w:szCs w:val="22"/>
        </w:rPr>
      </w:pPr>
    </w:p>
    <w:p w:rsidR="00CC43EF" w:rsidRPr="00BD179C" w:rsidRDefault="00CC43EF" w:rsidP="00CC43EF">
      <w:pPr>
        <w:rPr>
          <w:szCs w:val="22"/>
        </w:rPr>
      </w:pPr>
    </w:p>
    <w:tbl>
      <w:tblPr>
        <w:tblW w:w="0" w:type="auto"/>
        <w:tblLayout w:type="fixed"/>
        <w:tblLook w:val="0000" w:firstRow="0" w:lastRow="0" w:firstColumn="0" w:lastColumn="0" w:noHBand="0" w:noVBand="0"/>
      </w:tblPr>
      <w:tblGrid>
        <w:gridCol w:w="4698"/>
        <w:gridCol w:w="720"/>
        <w:gridCol w:w="4230"/>
      </w:tblGrid>
      <w:tr w:rsidR="00BD6323" w:rsidRPr="00BD179C" w:rsidTr="00BD6323">
        <w:tc>
          <w:tcPr>
            <w:tcW w:w="4698" w:type="dxa"/>
          </w:tcPr>
          <w:p w:rsidR="00BD6323" w:rsidRPr="00BD179C" w:rsidRDefault="00BD6323" w:rsidP="00BD6323">
            <w:pPr>
              <w:ind w:right="-18"/>
              <w:rPr>
                <w:szCs w:val="22"/>
              </w:rPr>
            </w:pPr>
            <w:r w:rsidRPr="00BD179C">
              <w:rPr>
                <w:szCs w:val="22"/>
              </w:rPr>
              <w:t>In the Matter of</w:t>
            </w:r>
          </w:p>
          <w:p w:rsidR="00BD6323" w:rsidRPr="00BD179C" w:rsidRDefault="00BD6323" w:rsidP="00BD6323">
            <w:pPr>
              <w:ind w:right="-18"/>
              <w:rPr>
                <w:szCs w:val="22"/>
              </w:rPr>
            </w:pPr>
          </w:p>
          <w:p w:rsidR="00BD6323" w:rsidRPr="00BD179C" w:rsidRDefault="00FC0041" w:rsidP="00BD6323">
            <w:pPr>
              <w:ind w:right="-18"/>
              <w:rPr>
                <w:b/>
                <w:szCs w:val="22"/>
              </w:rPr>
            </w:pPr>
            <w:r w:rsidRPr="00BD179C">
              <w:rPr>
                <w:b/>
                <w:szCs w:val="22"/>
              </w:rPr>
              <w:t>Columbia Union College Broadcasting, Inc.</w:t>
            </w:r>
          </w:p>
          <w:p w:rsidR="00BD6323" w:rsidRPr="00BD179C" w:rsidRDefault="00BD6323" w:rsidP="00BD6323">
            <w:pPr>
              <w:ind w:right="-18"/>
              <w:rPr>
                <w:szCs w:val="22"/>
              </w:rPr>
            </w:pPr>
          </w:p>
          <w:p w:rsidR="00BD6323" w:rsidRPr="00BD179C" w:rsidRDefault="00BD6323" w:rsidP="00BD6323">
            <w:pPr>
              <w:ind w:right="-18"/>
              <w:rPr>
                <w:szCs w:val="22"/>
              </w:rPr>
            </w:pPr>
            <w:r w:rsidRPr="00BD179C">
              <w:rPr>
                <w:szCs w:val="22"/>
              </w:rPr>
              <w:t>Application for License to Cover</w:t>
            </w:r>
            <w:r w:rsidR="00F563FE" w:rsidRPr="00BD179C">
              <w:rPr>
                <w:szCs w:val="22"/>
              </w:rPr>
              <w:t xml:space="preserve"> </w:t>
            </w:r>
          </w:p>
          <w:p w:rsidR="00BD6323" w:rsidRPr="00BD179C" w:rsidRDefault="00BD6323" w:rsidP="00BD6323">
            <w:pPr>
              <w:ind w:right="-18"/>
              <w:rPr>
                <w:szCs w:val="22"/>
              </w:rPr>
            </w:pPr>
            <w:r w:rsidRPr="00BD179C">
              <w:rPr>
                <w:szCs w:val="22"/>
              </w:rPr>
              <w:t>WGTS(FM), Takoma Park, Maryland</w:t>
            </w:r>
          </w:p>
          <w:p w:rsidR="00BD6323" w:rsidRPr="00BD179C" w:rsidRDefault="00BD6323" w:rsidP="00BD6323">
            <w:pPr>
              <w:ind w:right="-18"/>
              <w:rPr>
                <w:szCs w:val="22"/>
              </w:rPr>
            </w:pPr>
          </w:p>
          <w:p w:rsidR="00BD6323" w:rsidRPr="00BD179C" w:rsidRDefault="00FC0041" w:rsidP="00BD6323">
            <w:pPr>
              <w:ind w:right="-18"/>
              <w:rPr>
                <w:b/>
                <w:szCs w:val="22"/>
              </w:rPr>
            </w:pPr>
            <w:r w:rsidRPr="00BD179C">
              <w:rPr>
                <w:b/>
                <w:szCs w:val="22"/>
              </w:rPr>
              <w:t>Stu-Comm, Inc.</w:t>
            </w:r>
          </w:p>
          <w:p w:rsidR="00BD6323" w:rsidRPr="00BD179C" w:rsidRDefault="00BD6323" w:rsidP="00BD6323">
            <w:pPr>
              <w:ind w:right="-18"/>
              <w:rPr>
                <w:szCs w:val="22"/>
              </w:rPr>
            </w:pPr>
          </w:p>
          <w:p w:rsidR="00BD6323" w:rsidRPr="00BD179C" w:rsidRDefault="00BD6323" w:rsidP="00BD6323">
            <w:pPr>
              <w:ind w:right="-18"/>
              <w:rPr>
                <w:szCs w:val="22"/>
              </w:rPr>
            </w:pPr>
            <w:r w:rsidRPr="00BD179C">
              <w:rPr>
                <w:szCs w:val="22"/>
              </w:rPr>
              <w:t xml:space="preserve">Application for Construction Permit for </w:t>
            </w:r>
          </w:p>
          <w:p w:rsidR="00BD6323" w:rsidRPr="00BD179C" w:rsidRDefault="00BD6323" w:rsidP="00BD6323">
            <w:pPr>
              <w:ind w:right="-18"/>
              <w:rPr>
                <w:szCs w:val="22"/>
              </w:rPr>
            </w:pPr>
            <w:r w:rsidRPr="00BD179C">
              <w:rPr>
                <w:szCs w:val="22"/>
              </w:rPr>
              <w:t>Minor Modification to WNRN(FM),</w:t>
            </w:r>
          </w:p>
          <w:p w:rsidR="00BD6323" w:rsidRPr="00BD179C" w:rsidRDefault="00BD6323" w:rsidP="00BD6323">
            <w:pPr>
              <w:ind w:right="-18"/>
              <w:rPr>
                <w:szCs w:val="22"/>
              </w:rPr>
            </w:pPr>
            <w:r w:rsidRPr="00BD179C">
              <w:rPr>
                <w:szCs w:val="22"/>
              </w:rPr>
              <w:t>Charlottesville, Virginia</w:t>
            </w:r>
          </w:p>
          <w:p w:rsidR="00BD6323" w:rsidRPr="00BD179C" w:rsidRDefault="00BD6323" w:rsidP="00BD6323">
            <w:pPr>
              <w:ind w:right="-18"/>
              <w:rPr>
                <w:szCs w:val="22"/>
              </w:rPr>
            </w:pPr>
            <w:r w:rsidRPr="00BD179C">
              <w:rPr>
                <w:szCs w:val="22"/>
              </w:rPr>
              <w:t xml:space="preserve"> </w:t>
            </w:r>
          </w:p>
        </w:tc>
        <w:tc>
          <w:tcPr>
            <w:tcW w:w="720" w:type="dxa"/>
          </w:tcPr>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p w:rsidR="00BD6323" w:rsidRPr="00BD179C" w:rsidRDefault="00BD6323" w:rsidP="00BD6323">
            <w:pPr>
              <w:rPr>
                <w:b/>
                <w:szCs w:val="22"/>
              </w:rPr>
            </w:pPr>
            <w:r w:rsidRPr="00BD179C">
              <w:rPr>
                <w:b/>
                <w:szCs w:val="22"/>
              </w:rPr>
              <w:t>)</w:t>
            </w:r>
          </w:p>
        </w:tc>
        <w:tc>
          <w:tcPr>
            <w:tcW w:w="4230" w:type="dxa"/>
          </w:tcPr>
          <w:p w:rsidR="00BD6323" w:rsidRPr="00BD179C" w:rsidRDefault="00BD6323" w:rsidP="00BD6323">
            <w:pPr>
              <w:rPr>
                <w:szCs w:val="22"/>
              </w:rPr>
            </w:pPr>
          </w:p>
          <w:p w:rsidR="00BD6323" w:rsidRPr="00BD179C" w:rsidRDefault="00BD6323" w:rsidP="00BD6323">
            <w:pPr>
              <w:rPr>
                <w:szCs w:val="22"/>
              </w:rPr>
            </w:pPr>
          </w:p>
          <w:p w:rsidR="00BD6323" w:rsidRPr="00BD179C" w:rsidRDefault="00BD6323" w:rsidP="00BD6323">
            <w:pPr>
              <w:rPr>
                <w:spacing w:val="-2"/>
                <w:szCs w:val="22"/>
              </w:rPr>
            </w:pPr>
            <w:r w:rsidRPr="00BD179C">
              <w:rPr>
                <w:spacing w:val="-2"/>
                <w:szCs w:val="22"/>
              </w:rPr>
              <w:t>File No. BLED-20040206ADQ</w:t>
            </w:r>
          </w:p>
          <w:p w:rsidR="00BD6323" w:rsidRPr="00BD179C" w:rsidRDefault="00BD6323" w:rsidP="00BD6323">
            <w:pPr>
              <w:rPr>
                <w:spacing w:val="-2"/>
                <w:szCs w:val="22"/>
              </w:rPr>
            </w:pPr>
            <w:r w:rsidRPr="00BD179C">
              <w:rPr>
                <w:spacing w:val="-2"/>
                <w:szCs w:val="22"/>
              </w:rPr>
              <w:t>Facility ID No. 12460</w:t>
            </w:r>
          </w:p>
          <w:p w:rsidR="00BD6323" w:rsidRPr="00BD179C" w:rsidRDefault="00BD6323" w:rsidP="00BD6323">
            <w:pPr>
              <w:rPr>
                <w:szCs w:val="22"/>
              </w:rPr>
            </w:pPr>
          </w:p>
          <w:p w:rsidR="00BD6323" w:rsidRPr="00BD179C" w:rsidRDefault="00BD6323" w:rsidP="00BD6323">
            <w:pPr>
              <w:rPr>
                <w:szCs w:val="22"/>
              </w:rPr>
            </w:pPr>
          </w:p>
          <w:p w:rsidR="00BD6323" w:rsidRPr="00BD179C" w:rsidRDefault="00BD6323" w:rsidP="00BD6323">
            <w:pPr>
              <w:rPr>
                <w:szCs w:val="22"/>
              </w:rPr>
            </w:pPr>
          </w:p>
          <w:p w:rsidR="00BD6323" w:rsidRPr="00BD179C" w:rsidRDefault="00BD6323" w:rsidP="00BD6323">
            <w:pPr>
              <w:rPr>
                <w:szCs w:val="22"/>
              </w:rPr>
            </w:pPr>
            <w:r w:rsidRPr="00BD179C">
              <w:rPr>
                <w:szCs w:val="22"/>
              </w:rPr>
              <w:t>File No. BPED-20050818AAX</w:t>
            </w:r>
          </w:p>
          <w:p w:rsidR="00BD6323" w:rsidRPr="00BD179C" w:rsidRDefault="00BD6323" w:rsidP="00BD6323">
            <w:pPr>
              <w:rPr>
                <w:szCs w:val="22"/>
              </w:rPr>
            </w:pPr>
            <w:r w:rsidRPr="00BD179C">
              <w:rPr>
                <w:szCs w:val="22"/>
              </w:rPr>
              <w:t>Facility ID No. 8710</w:t>
            </w:r>
          </w:p>
        </w:tc>
      </w:tr>
    </w:tbl>
    <w:p w:rsidR="00BD6323" w:rsidRPr="00BD179C" w:rsidRDefault="00BD6323" w:rsidP="00BD6323">
      <w:pPr>
        <w:rPr>
          <w:szCs w:val="22"/>
        </w:rPr>
      </w:pPr>
    </w:p>
    <w:p w:rsidR="00BD6323" w:rsidRPr="00BD179C" w:rsidRDefault="00BD6323" w:rsidP="00BD6323">
      <w:pPr>
        <w:spacing w:before="120"/>
        <w:jc w:val="center"/>
        <w:rPr>
          <w:b/>
          <w:szCs w:val="22"/>
        </w:rPr>
      </w:pPr>
      <w:r w:rsidRPr="00BD179C">
        <w:rPr>
          <w:b/>
          <w:spacing w:val="-2"/>
          <w:szCs w:val="22"/>
        </w:rPr>
        <w:t>MEMORANDUM OPINION AND ORDER</w:t>
      </w:r>
    </w:p>
    <w:p w:rsidR="00BD6323" w:rsidRPr="00BD179C" w:rsidRDefault="00BD6323" w:rsidP="00BD6323">
      <w:pPr>
        <w:rPr>
          <w:szCs w:val="22"/>
        </w:rPr>
      </w:pPr>
    </w:p>
    <w:p w:rsidR="00BD6323" w:rsidRPr="00BD179C" w:rsidRDefault="00BD6323" w:rsidP="00BD6323">
      <w:pPr>
        <w:tabs>
          <w:tab w:val="left" w:pos="5760"/>
        </w:tabs>
        <w:rPr>
          <w:b/>
          <w:szCs w:val="22"/>
        </w:rPr>
      </w:pPr>
      <w:r w:rsidRPr="00BD179C">
        <w:rPr>
          <w:b/>
          <w:szCs w:val="22"/>
        </w:rPr>
        <w:t xml:space="preserve">Adopted:  </w:t>
      </w:r>
      <w:r w:rsidR="00153EC9">
        <w:rPr>
          <w:b/>
          <w:szCs w:val="22"/>
        </w:rPr>
        <w:t xml:space="preserve">July 30, </w:t>
      </w:r>
      <w:r w:rsidRPr="00BD179C">
        <w:rPr>
          <w:b/>
          <w:spacing w:val="-2"/>
          <w:szCs w:val="22"/>
        </w:rPr>
        <w:t>2013</w:t>
      </w:r>
      <w:r w:rsidRPr="00BD179C">
        <w:rPr>
          <w:b/>
          <w:spacing w:val="-2"/>
          <w:szCs w:val="22"/>
        </w:rPr>
        <w:tab/>
      </w:r>
      <w:r w:rsidRPr="00BD179C">
        <w:rPr>
          <w:b/>
          <w:spacing w:val="-2"/>
          <w:szCs w:val="22"/>
        </w:rPr>
        <w:tab/>
      </w:r>
      <w:r w:rsidRPr="00BD179C">
        <w:rPr>
          <w:b/>
          <w:szCs w:val="22"/>
        </w:rPr>
        <w:t>Released:</w:t>
      </w:r>
      <w:r w:rsidR="00153EC9">
        <w:rPr>
          <w:b/>
          <w:szCs w:val="22"/>
        </w:rPr>
        <w:t xml:space="preserve">  July 31</w:t>
      </w:r>
      <w:r w:rsidRPr="00BD179C">
        <w:rPr>
          <w:b/>
          <w:spacing w:val="-2"/>
          <w:szCs w:val="22"/>
        </w:rPr>
        <w:t>, 2013</w:t>
      </w:r>
    </w:p>
    <w:p w:rsidR="00BD6323" w:rsidRPr="00BD179C" w:rsidRDefault="00BD6323" w:rsidP="00BD6323">
      <w:pPr>
        <w:tabs>
          <w:tab w:val="left" w:pos="5760"/>
        </w:tabs>
        <w:rPr>
          <w:b/>
          <w:szCs w:val="22"/>
        </w:rPr>
      </w:pPr>
    </w:p>
    <w:p w:rsidR="00CC43EF" w:rsidRPr="00BD179C" w:rsidRDefault="00CC43EF" w:rsidP="00CC43EF">
      <w:pPr>
        <w:tabs>
          <w:tab w:val="left" w:pos="1980"/>
          <w:tab w:val="left" w:pos="4680"/>
        </w:tabs>
        <w:jc w:val="both"/>
        <w:rPr>
          <w:szCs w:val="22"/>
        </w:rPr>
      </w:pPr>
      <w:r w:rsidRPr="00BD179C">
        <w:rPr>
          <w:szCs w:val="22"/>
        </w:rPr>
        <w:t>By the Commission:</w:t>
      </w:r>
      <w:r w:rsidRPr="00BD179C">
        <w:rPr>
          <w:szCs w:val="22"/>
        </w:rPr>
        <w:tab/>
      </w:r>
    </w:p>
    <w:p w:rsidR="00CC43EF" w:rsidRPr="00BD179C" w:rsidRDefault="00CC43EF" w:rsidP="00CC43EF">
      <w:pPr>
        <w:tabs>
          <w:tab w:val="left" w:pos="1980"/>
          <w:tab w:val="left" w:pos="4680"/>
        </w:tabs>
        <w:jc w:val="both"/>
        <w:rPr>
          <w:b/>
          <w:szCs w:val="22"/>
        </w:rPr>
      </w:pPr>
    </w:p>
    <w:p w:rsidR="00DF7ECB" w:rsidRPr="00BD179C" w:rsidRDefault="00CC43EF" w:rsidP="00DF7ECB">
      <w:pPr>
        <w:tabs>
          <w:tab w:val="left" w:pos="720"/>
          <w:tab w:val="left" w:pos="1430"/>
          <w:tab w:val="left" w:pos="4680"/>
        </w:tabs>
        <w:rPr>
          <w:szCs w:val="22"/>
        </w:rPr>
      </w:pPr>
      <w:r w:rsidRPr="00BD179C">
        <w:rPr>
          <w:szCs w:val="22"/>
        </w:rPr>
        <w:tab/>
        <w:t>1.</w:t>
      </w:r>
      <w:r w:rsidRPr="00BD179C">
        <w:rPr>
          <w:szCs w:val="22"/>
        </w:rPr>
        <w:tab/>
      </w:r>
      <w:r w:rsidR="00BD179C">
        <w:rPr>
          <w:szCs w:val="22"/>
        </w:rPr>
        <w:t>The Commission has before it</w:t>
      </w:r>
      <w:r w:rsidR="00B164F1" w:rsidRPr="00BD179C">
        <w:rPr>
          <w:szCs w:val="22"/>
        </w:rPr>
        <w:t xml:space="preserve"> </w:t>
      </w:r>
      <w:r w:rsidR="006351AC" w:rsidRPr="00BD179C">
        <w:rPr>
          <w:szCs w:val="22"/>
        </w:rPr>
        <w:t>an</w:t>
      </w:r>
      <w:r w:rsidR="00B164F1" w:rsidRPr="00BD179C">
        <w:rPr>
          <w:szCs w:val="22"/>
        </w:rPr>
        <w:t xml:space="preserve"> Application for Review filed by </w:t>
      </w:r>
      <w:r w:rsidR="000C74AF" w:rsidRPr="00BD179C">
        <w:rPr>
          <w:szCs w:val="22"/>
        </w:rPr>
        <w:t>Stu-Comm, Inc. (“Stu-Comm”), licensee of station WNRN(FM), Charlottesville, Virginia</w:t>
      </w:r>
      <w:r w:rsidR="00BD179C">
        <w:rPr>
          <w:szCs w:val="22"/>
        </w:rPr>
        <w:t>.</w:t>
      </w:r>
      <w:r w:rsidR="00B164F1" w:rsidRPr="00BD179C">
        <w:rPr>
          <w:szCs w:val="22"/>
        </w:rPr>
        <w:t xml:space="preserve">  </w:t>
      </w:r>
      <w:r w:rsidR="000C74AF" w:rsidRPr="00BD179C">
        <w:rPr>
          <w:szCs w:val="22"/>
        </w:rPr>
        <w:t>Stu-Comm</w:t>
      </w:r>
      <w:r w:rsidR="00B164F1" w:rsidRPr="00BD179C">
        <w:rPr>
          <w:szCs w:val="22"/>
        </w:rPr>
        <w:t xml:space="preserve"> seeks review of the </w:t>
      </w:r>
      <w:r w:rsidR="006351AC" w:rsidRPr="00BD179C">
        <w:rPr>
          <w:szCs w:val="22"/>
        </w:rPr>
        <w:t>November 2, 2005, action by</w:t>
      </w:r>
      <w:r w:rsidR="00B164F1" w:rsidRPr="00BD179C">
        <w:rPr>
          <w:szCs w:val="22"/>
        </w:rPr>
        <w:t xml:space="preserve"> the Media Bureau </w:t>
      </w:r>
      <w:r w:rsidR="000C74AF" w:rsidRPr="00BD179C">
        <w:rPr>
          <w:szCs w:val="22"/>
        </w:rPr>
        <w:t xml:space="preserve">(“Bureau”) </w:t>
      </w:r>
      <w:r w:rsidR="006351AC" w:rsidRPr="00BD179C">
        <w:rPr>
          <w:szCs w:val="22"/>
        </w:rPr>
        <w:t xml:space="preserve">denying </w:t>
      </w:r>
      <w:r w:rsidR="000C74AF" w:rsidRPr="00BD179C">
        <w:rPr>
          <w:szCs w:val="22"/>
        </w:rPr>
        <w:t>Stu-Comm’s Petition to D</w:t>
      </w:r>
      <w:r w:rsidR="006351AC" w:rsidRPr="00BD179C">
        <w:rPr>
          <w:szCs w:val="22"/>
        </w:rPr>
        <w:t xml:space="preserve">eny </w:t>
      </w:r>
      <w:r w:rsidR="00775C4B" w:rsidRPr="00BD179C">
        <w:rPr>
          <w:szCs w:val="22"/>
        </w:rPr>
        <w:t xml:space="preserve">and granting </w:t>
      </w:r>
      <w:r w:rsidR="00F563FE" w:rsidRPr="00BD179C">
        <w:rPr>
          <w:szCs w:val="22"/>
        </w:rPr>
        <w:t>the above-captioned</w:t>
      </w:r>
      <w:r w:rsidR="006351AC" w:rsidRPr="00BD179C">
        <w:rPr>
          <w:szCs w:val="22"/>
        </w:rPr>
        <w:t xml:space="preserve"> </w:t>
      </w:r>
      <w:r w:rsidR="000C74AF" w:rsidRPr="00BD179C">
        <w:rPr>
          <w:szCs w:val="22"/>
        </w:rPr>
        <w:t xml:space="preserve">application </w:t>
      </w:r>
      <w:r w:rsidR="00775C4B" w:rsidRPr="00BD179C">
        <w:rPr>
          <w:szCs w:val="22"/>
        </w:rPr>
        <w:t>filed by</w:t>
      </w:r>
      <w:r w:rsidR="000C74AF" w:rsidRPr="00BD179C">
        <w:rPr>
          <w:szCs w:val="22"/>
        </w:rPr>
        <w:t xml:space="preserve"> Columbia Union Coll</w:t>
      </w:r>
      <w:r w:rsidR="00943CEF" w:rsidRPr="00BD179C">
        <w:rPr>
          <w:szCs w:val="22"/>
        </w:rPr>
        <w:t>ege Broadcasting, Inc. (“CUCB”)</w:t>
      </w:r>
      <w:r w:rsidR="000C74AF" w:rsidRPr="00BD179C">
        <w:rPr>
          <w:szCs w:val="22"/>
        </w:rPr>
        <w:t xml:space="preserve"> </w:t>
      </w:r>
      <w:r w:rsidR="00943CEF" w:rsidRPr="00BD179C">
        <w:rPr>
          <w:szCs w:val="22"/>
        </w:rPr>
        <w:t>for a license to cover a</w:t>
      </w:r>
      <w:r w:rsidR="006351AC" w:rsidRPr="00BD179C">
        <w:rPr>
          <w:szCs w:val="22"/>
        </w:rPr>
        <w:t xml:space="preserve"> construction permit for station WGTS</w:t>
      </w:r>
      <w:r w:rsidR="00442921" w:rsidRPr="00BD179C">
        <w:rPr>
          <w:szCs w:val="22"/>
        </w:rPr>
        <w:t>(FM)</w:t>
      </w:r>
      <w:r w:rsidR="006351AC" w:rsidRPr="00BD179C">
        <w:rPr>
          <w:szCs w:val="22"/>
        </w:rPr>
        <w:t>, Takoma Park, Maryland</w:t>
      </w:r>
      <w:r w:rsidR="00775C4B" w:rsidRPr="00BD179C">
        <w:rPr>
          <w:szCs w:val="22"/>
        </w:rPr>
        <w:t xml:space="preserve"> (“CUCB Application”).</w:t>
      </w:r>
      <w:r w:rsidR="00F563FE" w:rsidRPr="00BD179C">
        <w:rPr>
          <w:rStyle w:val="FootnoteReference"/>
          <w:szCs w:val="22"/>
        </w:rPr>
        <w:footnoteReference w:id="1"/>
      </w:r>
      <w:r w:rsidR="006351AC" w:rsidRPr="00BD179C">
        <w:rPr>
          <w:szCs w:val="22"/>
        </w:rPr>
        <w:t xml:space="preserve"> </w:t>
      </w:r>
      <w:r w:rsidR="009D65A4" w:rsidRPr="00BD179C">
        <w:rPr>
          <w:szCs w:val="22"/>
        </w:rPr>
        <w:t xml:space="preserve"> </w:t>
      </w:r>
      <w:r w:rsidR="00157D66" w:rsidRPr="00BD179C">
        <w:rPr>
          <w:szCs w:val="22"/>
        </w:rPr>
        <w:t xml:space="preserve">CUCB </w:t>
      </w:r>
      <w:r w:rsidR="00BD179C">
        <w:rPr>
          <w:szCs w:val="22"/>
        </w:rPr>
        <w:t>neglected</w:t>
      </w:r>
      <w:r w:rsidR="00157D66" w:rsidRPr="00BD179C">
        <w:rPr>
          <w:szCs w:val="22"/>
        </w:rPr>
        <w:t xml:space="preserve"> to claim an exemption from the </w:t>
      </w:r>
      <w:r w:rsidR="00DA1888">
        <w:rPr>
          <w:szCs w:val="22"/>
        </w:rPr>
        <w:t xml:space="preserve">application </w:t>
      </w:r>
      <w:r w:rsidR="00157D66" w:rsidRPr="00BD179C">
        <w:rPr>
          <w:szCs w:val="22"/>
        </w:rPr>
        <w:t>filing fee</w:t>
      </w:r>
      <w:r w:rsidR="00F563FE" w:rsidRPr="00BD179C">
        <w:rPr>
          <w:szCs w:val="22"/>
        </w:rPr>
        <w:t xml:space="preserve"> in the CUCB Application</w:t>
      </w:r>
      <w:r w:rsidR="00257AAC" w:rsidRPr="00BD179C">
        <w:rPr>
          <w:szCs w:val="22"/>
        </w:rPr>
        <w:t>; however,</w:t>
      </w:r>
      <w:r w:rsidR="00775C4B" w:rsidRPr="00BD179C">
        <w:rPr>
          <w:szCs w:val="22"/>
        </w:rPr>
        <w:t xml:space="preserve"> </w:t>
      </w:r>
      <w:r w:rsidR="00A00DFB" w:rsidRPr="00BD179C">
        <w:rPr>
          <w:szCs w:val="22"/>
        </w:rPr>
        <w:t>our remittance</w:t>
      </w:r>
      <w:r w:rsidR="00AB0D33" w:rsidRPr="00BD179C">
        <w:rPr>
          <w:szCs w:val="22"/>
        </w:rPr>
        <w:t xml:space="preserve"> records show that</w:t>
      </w:r>
      <w:r w:rsidR="00FC1160">
        <w:rPr>
          <w:szCs w:val="22"/>
        </w:rPr>
        <w:t xml:space="preserve"> </w:t>
      </w:r>
      <w:r w:rsidR="00A00DFB" w:rsidRPr="00BD179C">
        <w:rPr>
          <w:szCs w:val="22"/>
        </w:rPr>
        <w:t>CUCB</w:t>
      </w:r>
      <w:r w:rsidR="00F563FE" w:rsidRPr="00BD179C">
        <w:rPr>
          <w:szCs w:val="22"/>
        </w:rPr>
        <w:t xml:space="preserve"> </w:t>
      </w:r>
      <w:r w:rsidR="00FC1160">
        <w:rPr>
          <w:szCs w:val="22"/>
        </w:rPr>
        <w:t xml:space="preserve">instead </w:t>
      </w:r>
      <w:r w:rsidR="00BD179C">
        <w:rPr>
          <w:szCs w:val="22"/>
        </w:rPr>
        <w:t xml:space="preserve">timely </w:t>
      </w:r>
      <w:r w:rsidR="00AB0D33" w:rsidRPr="00BD179C">
        <w:rPr>
          <w:szCs w:val="22"/>
        </w:rPr>
        <w:t>paid the fee</w:t>
      </w:r>
      <w:r w:rsidR="00D63E77" w:rsidRPr="00BD179C">
        <w:rPr>
          <w:szCs w:val="22"/>
        </w:rPr>
        <w:t xml:space="preserve"> within</w:t>
      </w:r>
      <w:r w:rsidR="00AB0D33" w:rsidRPr="00BD179C">
        <w:rPr>
          <w:szCs w:val="22"/>
        </w:rPr>
        <w:t xml:space="preserve"> </w:t>
      </w:r>
      <w:r w:rsidR="00157D66" w:rsidRPr="00BD179C">
        <w:rPr>
          <w:szCs w:val="22"/>
        </w:rPr>
        <w:t>fourteen days after filing.</w:t>
      </w:r>
      <w:r w:rsidR="00D63E77" w:rsidRPr="00BD179C">
        <w:rPr>
          <w:rStyle w:val="FootnoteReference"/>
          <w:szCs w:val="22"/>
        </w:rPr>
        <w:footnoteReference w:id="2"/>
      </w:r>
      <w:r w:rsidR="00157D66" w:rsidRPr="00BD179C">
        <w:rPr>
          <w:szCs w:val="22"/>
        </w:rPr>
        <w:t xml:space="preserve">  Accordingly, </w:t>
      </w:r>
      <w:r w:rsidR="00AB0D33" w:rsidRPr="00BD179C">
        <w:rPr>
          <w:szCs w:val="22"/>
        </w:rPr>
        <w:t xml:space="preserve">in the </w:t>
      </w:r>
      <w:r w:rsidR="00AB0D33" w:rsidRPr="00BD179C">
        <w:rPr>
          <w:i/>
          <w:szCs w:val="22"/>
        </w:rPr>
        <w:t>Letter Decision</w:t>
      </w:r>
      <w:r w:rsidR="00AB0D33" w:rsidRPr="00BD179C">
        <w:rPr>
          <w:szCs w:val="22"/>
        </w:rPr>
        <w:t>,</w:t>
      </w:r>
      <w:r w:rsidR="00AB0D33" w:rsidRPr="00BD179C">
        <w:rPr>
          <w:i/>
          <w:szCs w:val="22"/>
        </w:rPr>
        <w:t xml:space="preserve"> </w:t>
      </w:r>
      <w:r w:rsidR="00775C4B" w:rsidRPr="00BD179C">
        <w:rPr>
          <w:szCs w:val="22"/>
        </w:rPr>
        <w:t>t</w:t>
      </w:r>
      <w:r w:rsidR="00B164F1" w:rsidRPr="00BD179C">
        <w:rPr>
          <w:szCs w:val="22"/>
        </w:rPr>
        <w:t xml:space="preserve">he Bureau </w:t>
      </w:r>
      <w:r w:rsidR="009D65A4" w:rsidRPr="00BD179C">
        <w:rPr>
          <w:szCs w:val="22"/>
        </w:rPr>
        <w:t xml:space="preserve">found </w:t>
      </w:r>
      <w:r w:rsidR="00350FA6" w:rsidRPr="00BD179C">
        <w:rPr>
          <w:szCs w:val="22"/>
        </w:rPr>
        <w:t xml:space="preserve">that </w:t>
      </w:r>
      <w:r w:rsidR="009D65A4" w:rsidRPr="00BD179C">
        <w:rPr>
          <w:szCs w:val="22"/>
        </w:rPr>
        <w:t xml:space="preserve">the CUCB Application was timely filed on February 6, 2004, </w:t>
      </w:r>
      <w:r w:rsidR="00157D66" w:rsidRPr="00BD179C">
        <w:rPr>
          <w:szCs w:val="22"/>
        </w:rPr>
        <w:t xml:space="preserve">three days </w:t>
      </w:r>
      <w:r w:rsidR="009D65A4" w:rsidRPr="00BD179C">
        <w:rPr>
          <w:szCs w:val="22"/>
        </w:rPr>
        <w:t>before the underlying construction permit</w:t>
      </w:r>
      <w:r w:rsidR="00350FA6" w:rsidRPr="00BD179C">
        <w:rPr>
          <w:szCs w:val="22"/>
        </w:rPr>
        <w:t>’s expiration date of February 9</w:t>
      </w:r>
      <w:r w:rsidR="00A00DFB" w:rsidRPr="00BD179C">
        <w:rPr>
          <w:szCs w:val="22"/>
        </w:rPr>
        <w:t>, 2004</w:t>
      </w:r>
      <w:r w:rsidR="009D65A4" w:rsidRPr="00BD179C">
        <w:rPr>
          <w:szCs w:val="22"/>
        </w:rPr>
        <w:t>.</w:t>
      </w:r>
      <w:r w:rsidR="00157D66" w:rsidRPr="00BD179C">
        <w:rPr>
          <w:szCs w:val="22"/>
        </w:rPr>
        <w:t xml:space="preserve"> </w:t>
      </w:r>
      <w:r w:rsidR="00350FA6" w:rsidRPr="00BD179C">
        <w:rPr>
          <w:szCs w:val="22"/>
        </w:rPr>
        <w:t xml:space="preserve">The </w:t>
      </w:r>
      <w:r w:rsidR="00350FA6" w:rsidRPr="00BD179C">
        <w:rPr>
          <w:i/>
          <w:szCs w:val="22"/>
        </w:rPr>
        <w:t>Staff Decision</w:t>
      </w:r>
      <w:r w:rsidR="00350FA6" w:rsidRPr="00BD179C">
        <w:rPr>
          <w:szCs w:val="22"/>
        </w:rPr>
        <w:t xml:space="preserve"> </w:t>
      </w:r>
      <w:r w:rsidR="00257AAC" w:rsidRPr="00BD179C">
        <w:rPr>
          <w:szCs w:val="22"/>
        </w:rPr>
        <w:t>therefore</w:t>
      </w:r>
      <w:r w:rsidR="00F563FE" w:rsidRPr="00BD179C">
        <w:rPr>
          <w:szCs w:val="22"/>
        </w:rPr>
        <w:t xml:space="preserve"> </w:t>
      </w:r>
      <w:r w:rsidR="00350FA6" w:rsidRPr="00BD179C">
        <w:rPr>
          <w:szCs w:val="22"/>
        </w:rPr>
        <w:t xml:space="preserve">dismissed </w:t>
      </w:r>
      <w:r w:rsidR="00A00DFB" w:rsidRPr="00BD179C">
        <w:rPr>
          <w:szCs w:val="22"/>
        </w:rPr>
        <w:t>a</w:t>
      </w:r>
      <w:r w:rsidR="00350FA6" w:rsidRPr="00BD179C">
        <w:rPr>
          <w:szCs w:val="22"/>
        </w:rPr>
        <w:t xml:space="preserve"> duplicate license application</w:t>
      </w:r>
      <w:r w:rsidR="00F563FE" w:rsidRPr="00BD179C">
        <w:rPr>
          <w:rStyle w:val="FootnoteReference"/>
          <w:szCs w:val="22"/>
        </w:rPr>
        <w:footnoteReference w:id="3"/>
      </w:r>
      <w:r w:rsidR="00350FA6" w:rsidRPr="00BD179C">
        <w:rPr>
          <w:szCs w:val="22"/>
        </w:rPr>
        <w:t xml:space="preserve"> </w:t>
      </w:r>
      <w:r w:rsidR="00A00DFB" w:rsidRPr="00BD179C">
        <w:rPr>
          <w:szCs w:val="22"/>
        </w:rPr>
        <w:t xml:space="preserve">filed by CUCB on February 10, 2004, </w:t>
      </w:r>
      <w:r w:rsidR="00350FA6" w:rsidRPr="00BD179C">
        <w:rPr>
          <w:szCs w:val="22"/>
        </w:rPr>
        <w:t>as unnecessary</w:t>
      </w:r>
      <w:r w:rsidR="00F32571">
        <w:rPr>
          <w:szCs w:val="22"/>
        </w:rPr>
        <w:t>,</w:t>
      </w:r>
      <w:r w:rsidR="00AB0D33" w:rsidRPr="00BD179C">
        <w:rPr>
          <w:szCs w:val="22"/>
        </w:rPr>
        <w:t xml:space="preserve"> and dismissed </w:t>
      </w:r>
      <w:r w:rsidR="00442921" w:rsidRPr="00BD179C">
        <w:rPr>
          <w:szCs w:val="22"/>
        </w:rPr>
        <w:t>Stu-Comm’s above-captioned</w:t>
      </w:r>
      <w:r w:rsidR="00A00DFB" w:rsidRPr="00BD179C">
        <w:rPr>
          <w:szCs w:val="22"/>
        </w:rPr>
        <w:t xml:space="preserve"> minor modification</w:t>
      </w:r>
      <w:r w:rsidR="00AB0D33" w:rsidRPr="00BD179C">
        <w:rPr>
          <w:szCs w:val="22"/>
        </w:rPr>
        <w:t xml:space="preserve"> </w:t>
      </w:r>
      <w:r w:rsidR="00AB0D33" w:rsidRPr="00BD179C">
        <w:rPr>
          <w:szCs w:val="22"/>
        </w:rPr>
        <w:lastRenderedPageBreak/>
        <w:t xml:space="preserve">application </w:t>
      </w:r>
      <w:r w:rsidR="00F32571">
        <w:rPr>
          <w:szCs w:val="22"/>
        </w:rPr>
        <w:t>as unacceptable for filing for</w:t>
      </w:r>
      <w:r w:rsidR="00AB0D33" w:rsidRPr="00BD179C">
        <w:rPr>
          <w:szCs w:val="22"/>
        </w:rPr>
        <w:t xml:space="preserve"> creating prohibited contour overlap with station WGTS(FM)’s modified facilities.</w:t>
      </w:r>
      <w:r w:rsidR="00350FA6" w:rsidRPr="00BD179C">
        <w:rPr>
          <w:szCs w:val="22"/>
        </w:rPr>
        <w:t xml:space="preserve"> </w:t>
      </w:r>
      <w:r w:rsidR="00DF7ECB">
        <w:rPr>
          <w:szCs w:val="22"/>
        </w:rPr>
        <w:t>Stu-Comm has also argued that the license application should have been dismissed because it specified the use of equipment that was different from that authorized in the underlying construction permit.</w:t>
      </w:r>
      <w:r w:rsidR="00DF7ECB">
        <w:rPr>
          <w:rStyle w:val="FootnoteReference"/>
          <w:szCs w:val="22"/>
        </w:rPr>
        <w:footnoteReference w:id="4"/>
      </w:r>
      <w:r w:rsidR="00DF7ECB">
        <w:rPr>
          <w:szCs w:val="22"/>
        </w:rPr>
        <w:t xml:space="preserve">  The </w:t>
      </w:r>
      <w:r w:rsidR="00DF7ECB" w:rsidRPr="00554972">
        <w:rPr>
          <w:szCs w:val="22"/>
        </w:rPr>
        <w:t xml:space="preserve">staff’s engineering analysis determined that CUCB’s use of an antenna at variance with the one specified in the construction permit was </w:t>
      </w:r>
      <w:r w:rsidR="00DF7ECB">
        <w:rPr>
          <w:szCs w:val="22"/>
        </w:rPr>
        <w:t>permissible</w:t>
      </w:r>
      <w:r w:rsidR="00DF7ECB" w:rsidRPr="00554972">
        <w:rPr>
          <w:szCs w:val="22"/>
        </w:rPr>
        <w:t xml:space="preserve"> under </w:t>
      </w:r>
      <w:r w:rsidR="00DF7ECB">
        <w:rPr>
          <w:szCs w:val="22"/>
        </w:rPr>
        <w:t>Section</w:t>
      </w:r>
      <w:r w:rsidR="00DF7ECB" w:rsidRPr="00554972">
        <w:rPr>
          <w:szCs w:val="22"/>
        </w:rPr>
        <w:t xml:space="preserve"> 73.1690(c)(1)</w:t>
      </w:r>
      <w:r w:rsidR="00DF7ECB">
        <w:rPr>
          <w:szCs w:val="22"/>
        </w:rPr>
        <w:t xml:space="preserve"> of the Commission’s rules</w:t>
      </w:r>
      <w:r w:rsidR="00DF7ECB" w:rsidRPr="00554972">
        <w:rPr>
          <w:szCs w:val="22"/>
        </w:rPr>
        <w:t>.</w:t>
      </w:r>
      <w:r w:rsidR="00DF7ECB">
        <w:rPr>
          <w:rStyle w:val="FootnoteReference"/>
          <w:szCs w:val="22"/>
        </w:rPr>
        <w:footnoteReference w:id="5"/>
      </w:r>
      <w:r w:rsidR="00DF7ECB">
        <w:rPr>
          <w:szCs w:val="22"/>
        </w:rPr>
        <w:t xml:space="preserve">  </w:t>
      </w:r>
    </w:p>
    <w:p w:rsidR="00CC43EF" w:rsidRPr="00BD179C" w:rsidRDefault="00CC43EF" w:rsidP="00205EB4">
      <w:pPr>
        <w:tabs>
          <w:tab w:val="left" w:pos="720"/>
          <w:tab w:val="left" w:pos="1430"/>
          <w:tab w:val="left" w:pos="4680"/>
        </w:tabs>
        <w:rPr>
          <w:szCs w:val="22"/>
        </w:rPr>
      </w:pPr>
    </w:p>
    <w:p w:rsidR="00CC43EF" w:rsidRPr="00BD179C" w:rsidRDefault="00CC43EF" w:rsidP="00205EB4">
      <w:pPr>
        <w:tabs>
          <w:tab w:val="left" w:pos="720"/>
          <w:tab w:val="left" w:pos="1430"/>
          <w:tab w:val="left" w:pos="4680"/>
        </w:tabs>
        <w:rPr>
          <w:szCs w:val="22"/>
        </w:rPr>
      </w:pPr>
      <w:r w:rsidRPr="00BD179C">
        <w:rPr>
          <w:szCs w:val="22"/>
        </w:rPr>
        <w:tab/>
        <w:t>2.</w:t>
      </w:r>
      <w:r w:rsidRPr="00BD179C">
        <w:rPr>
          <w:szCs w:val="22"/>
        </w:rPr>
        <w:tab/>
        <w:t xml:space="preserve">Upon review of the Application for Review and the entire record, we conclude that </w:t>
      </w:r>
      <w:r w:rsidR="00350FA6" w:rsidRPr="00BD179C">
        <w:rPr>
          <w:szCs w:val="22"/>
        </w:rPr>
        <w:t>Stu-Comm</w:t>
      </w:r>
      <w:r w:rsidRPr="00BD179C">
        <w:rPr>
          <w:szCs w:val="22"/>
        </w:rPr>
        <w:t xml:space="preserve"> has not demonstrated that the Bureau erred.  </w:t>
      </w:r>
      <w:r w:rsidR="00DF7ECB">
        <w:rPr>
          <w:szCs w:val="22"/>
        </w:rPr>
        <w:t>For the re</w:t>
      </w:r>
      <w:r w:rsidR="004C02B3">
        <w:rPr>
          <w:szCs w:val="22"/>
        </w:rPr>
        <w:t>a</w:t>
      </w:r>
      <w:r w:rsidR="00DF7ECB">
        <w:rPr>
          <w:szCs w:val="22"/>
        </w:rPr>
        <w:t>sons stated</w:t>
      </w:r>
      <w:r w:rsidRPr="00BD179C">
        <w:rPr>
          <w:szCs w:val="22"/>
        </w:rPr>
        <w:t xml:space="preserve"> in the </w:t>
      </w:r>
      <w:r w:rsidRPr="00BD179C">
        <w:rPr>
          <w:i/>
          <w:szCs w:val="22"/>
        </w:rPr>
        <w:t>Staff Decision</w:t>
      </w:r>
      <w:r w:rsidR="00DF7ECB">
        <w:rPr>
          <w:i/>
          <w:szCs w:val="22"/>
        </w:rPr>
        <w:t xml:space="preserve"> </w:t>
      </w:r>
      <w:r w:rsidR="00DF7ECB">
        <w:rPr>
          <w:szCs w:val="22"/>
        </w:rPr>
        <w:t>and herein</w:t>
      </w:r>
      <w:r w:rsidRPr="00BD179C">
        <w:rPr>
          <w:szCs w:val="22"/>
        </w:rPr>
        <w:t xml:space="preserve">, we uphold </w:t>
      </w:r>
      <w:r w:rsidR="00DF7ECB">
        <w:rPr>
          <w:szCs w:val="22"/>
        </w:rPr>
        <w:t xml:space="preserve">the action taken in the </w:t>
      </w:r>
      <w:r w:rsidR="00DF7ECB" w:rsidRPr="00B01C2F">
        <w:rPr>
          <w:i/>
          <w:szCs w:val="22"/>
        </w:rPr>
        <w:t>Staff Decision</w:t>
      </w:r>
      <w:r w:rsidRPr="00BD179C">
        <w:rPr>
          <w:szCs w:val="22"/>
        </w:rPr>
        <w:t>.</w:t>
      </w:r>
    </w:p>
    <w:p w:rsidR="00CC43EF" w:rsidRPr="00BD179C" w:rsidRDefault="00CC43EF" w:rsidP="00205EB4">
      <w:pPr>
        <w:tabs>
          <w:tab w:val="left" w:pos="720"/>
          <w:tab w:val="left" w:pos="1430"/>
          <w:tab w:val="left" w:pos="4680"/>
        </w:tabs>
        <w:rPr>
          <w:szCs w:val="22"/>
        </w:rPr>
      </w:pPr>
    </w:p>
    <w:p w:rsidR="00CC43EF" w:rsidRPr="00BD179C" w:rsidRDefault="00CC43EF" w:rsidP="00205EB4">
      <w:pPr>
        <w:tabs>
          <w:tab w:val="left" w:pos="720"/>
          <w:tab w:val="left" w:pos="1430"/>
          <w:tab w:val="left" w:pos="4680"/>
        </w:tabs>
        <w:rPr>
          <w:szCs w:val="22"/>
        </w:rPr>
      </w:pPr>
      <w:r w:rsidRPr="00BD179C">
        <w:rPr>
          <w:szCs w:val="22"/>
        </w:rPr>
        <w:tab/>
        <w:t>3.</w:t>
      </w:r>
      <w:r w:rsidRPr="00BD179C">
        <w:rPr>
          <w:szCs w:val="22"/>
        </w:rPr>
        <w:tab/>
        <w:t>ACCORDINGLY, IT IS ORDERED that, pursuant to Section 5(c)(5) of the Communications Act of 1934, as amended,</w:t>
      </w:r>
      <w:r w:rsidRPr="00BD179C">
        <w:rPr>
          <w:rStyle w:val="FootnoteReference"/>
          <w:szCs w:val="22"/>
        </w:rPr>
        <w:footnoteReference w:id="6"/>
      </w:r>
      <w:r w:rsidRPr="00BD179C">
        <w:rPr>
          <w:szCs w:val="22"/>
        </w:rPr>
        <w:t xml:space="preserve"> and Section 1.115(g) of the Commission’s rules,</w:t>
      </w:r>
      <w:r w:rsidRPr="00BD179C">
        <w:rPr>
          <w:rStyle w:val="FootnoteReference"/>
          <w:szCs w:val="22"/>
        </w:rPr>
        <w:footnoteReference w:id="7"/>
      </w:r>
      <w:r w:rsidRPr="00BD179C">
        <w:rPr>
          <w:szCs w:val="22"/>
        </w:rPr>
        <w:t xml:space="preserve"> the Application for Review IS DENIED.  </w:t>
      </w:r>
    </w:p>
    <w:p w:rsidR="00CC43EF" w:rsidRDefault="00CC43EF" w:rsidP="00CC43EF">
      <w:pPr>
        <w:tabs>
          <w:tab w:val="left" w:pos="720"/>
          <w:tab w:val="left" w:pos="1430"/>
          <w:tab w:val="left" w:pos="4680"/>
        </w:tabs>
        <w:jc w:val="both"/>
        <w:rPr>
          <w:szCs w:val="22"/>
        </w:rPr>
      </w:pPr>
    </w:p>
    <w:p w:rsidR="00B01C2F" w:rsidRPr="00BD179C" w:rsidRDefault="00B01C2F" w:rsidP="00CC43EF">
      <w:pPr>
        <w:tabs>
          <w:tab w:val="left" w:pos="720"/>
          <w:tab w:val="left" w:pos="1430"/>
          <w:tab w:val="left" w:pos="4680"/>
        </w:tabs>
        <w:jc w:val="both"/>
        <w:rPr>
          <w:szCs w:val="22"/>
        </w:rPr>
      </w:pPr>
    </w:p>
    <w:p w:rsidR="00CC43EF" w:rsidRPr="00BD179C" w:rsidRDefault="00CC43EF" w:rsidP="00CC43EF">
      <w:pPr>
        <w:tabs>
          <w:tab w:val="left" w:pos="0"/>
        </w:tabs>
        <w:suppressAutoHyphens/>
        <w:ind w:firstLine="990"/>
        <w:jc w:val="both"/>
        <w:rPr>
          <w:szCs w:val="22"/>
        </w:rPr>
      </w:pPr>
      <w:r w:rsidRPr="00BD179C">
        <w:rPr>
          <w:szCs w:val="22"/>
        </w:rPr>
        <w:tab/>
      </w:r>
      <w:r w:rsidRPr="00BD179C">
        <w:rPr>
          <w:szCs w:val="22"/>
        </w:rPr>
        <w:tab/>
      </w:r>
      <w:r w:rsidRPr="00BD179C">
        <w:rPr>
          <w:szCs w:val="22"/>
        </w:rPr>
        <w:tab/>
      </w:r>
      <w:r w:rsidRPr="00BD179C">
        <w:rPr>
          <w:szCs w:val="22"/>
        </w:rPr>
        <w:tab/>
      </w:r>
      <w:r w:rsidRPr="00BD179C">
        <w:rPr>
          <w:szCs w:val="22"/>
        </w:rPr>
        <w:tab/>
        <w:t>FEDERAL COMMUNICATIONS COMMISSION</w:t>
      </w:r>
    </w:p>
    <w:p w:rsidR="00CC43EF" w:rsidRPr="00BD179C" w:rsidRDefault="00CC43EF" w:rsidP="00CC43EF">
      <w:pPr>
        <w:tabs>
          <w:tab w:val="left" w:pos="0"/>
        </w:tabs>
        <w:suppressAutoHyphens/>
        <w:ind w:firstLine="990"/>
        <w:jc w:val="both"/>
        <w:rPr>
          <w:szCs w:val="22"/>
        </w:rPr>
      </w:pPr>
    </w:p>
    <w:p w:rsidR="00CC43EF" w:rsidRPr="00BD179C" w:rsidRDefault="00CC43EF" w:rsidP="00CC43EF">
      <w:pPr>
        <w:tabs>
          <w:tab w:val="left" w:pos="0"/>
        </w:tabs>
        <w:suppressAutoHyphens/>
        <w:ind w:firstLine="990"/>
        <w:jc w:val="both"/>
        <w:rPr>
          <w:szCs w:val="22"/>
        </w:rPr>
      </w:pPr>
    </w:p>
    <w:p w:rsidR="00CC43EF" w:rsidRPr="00BD179C" w:rsidRDefault="00CC43EF" w:rsidP="00CC43EF">
      <w:pPr>
        <w:tabs>
          <w:tab w:val="left" w:pos="0"/>
        </w:tabs>
        <w:suppressAutoHyphens/>
        <w:ind w:firstLine="990"/>
        <w:jc w:val="both"/>
        <w:rPr>
          <w:szCs w:val="22"/>
        </w:rPr>
      </w:pPr>
    </w:p>
    <w:p w:rsidR="00CC43EF" w:rsidRPr="00BD179C" w:rsidRDefault="00CC43EF" w:rsidP="00CC43EF">
      <w:pPr>
        <w:tabs>
          <w:tab w:val="left" w:pos="4320"/>
        </w:tabs>
        <w:suppressAutoHyphens/>
        <w:ind w:firstLine="990"/>
        <w:jc w:val="both"/>
        <w:rPr>
          <w:szCs w:val="22"/>
        </w:rPr>
      </w:pPr>
      <w:r w:rsidRPr="00BD179C">
        <w:rPr>
          <w:szCs w:val="22"/>
        </w:rPr>
        <w:tab/>
        <w:t xml:space="preserve">Marlene H. Dortch  </w:t>
      </w:r>
    </w:p>
    <w:p w:rsidR="00CC43EF" w:rsidRPr="00BD179C" w:rsidRDefault="00CC43EF" w:rsidP="00CC43EF">
      <w:pPr>
        <w:pStyle w:val="ParaNum"/>
        <w:numPr>
          <w:ilvl w:val="0"/>
          <w:numId w:val="0"/>
        </w:numPr>
        <w:spacing w:after="0"/>
        <w:rPr>
          <w:szCs w:val="22"/>
        </w:rPr>
      </w:pPr>
      <w:r w:rsidRPr="00BD179C">
        <w:rPr>
          <w:szCs w:val="22"/>
        </w:rPr>
        <w:t xml:space="preserve">                    </w:t>
      </w:r>
      <w:r w:rsidRPr="00BD179C">
        <w:rPr>
          <w:szCs w:val="22"/>
        </w:rPr>
        <w:tab/>
      </w:r>
      <w:r w:rsidRPr="00BD179C">
        <w:rPr>
          <w:szCs w:val="22"/>
        </w:rPr>
        <w:tab/>
      </w:r>
      <w:r w:rsidRPr="00BD179C">
        <w:rPr>
          <w:szCs w:val="22"/>
        </w:rPr>
        <w:tab/>
      </w:r>
      <w:r w:rsidRPr="00BD179C">
        <w:rPr>
          <w:szCs w:val="22"/>
        </w:rPr>
        <w:tab/>
      </w:r>
      <w:r w:rsidRPr="00BD179C">
        <w:rPr>
          <w:szCs w:val="22"/>
        </w:rPr>
        <w:tab/>
        <w:t>Secretary</w:t>
      </w:r>
    </w:p>
    <w:p w:rsidR="00CC43EF" w:rsidRPr="00BD179C" w:rsidRDefault="00CC43EF" w:rsidP="00CC43EF">
      <w:pPr>
        <w:rPr>
          <w:szCs w:val="22"/>
        </w:rPr>
      </w:pPr>
    </w:p>
    <w:p w:rsidR="00D816DA" w:rsidRPr="00BD179C" w:rsidRDefault="00D816DA">
      <w:pPr>
        <w:rPr>
          <w:szCs w:val="22"/>
        </w:rPr>
      </w:pPr>
    </w:p>
    <w:sectPr w:rsidR="00D816DA" w:rsidRPr="00BD179C" w:rsidSect="00BD6323">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52" w:rsidRDefault="00ED2352" w:rsidP="00CC43EF">
      <w:r>
        <w:separator/>
      </w:r>
    </w:p>
  </w:endnote>
  <w:endnote w:type="continuationSeparator" w:id="0">
    <w:p w:rsidR="00ED2352" w:rsidRDefault="00ED2352" w:rsidP="00CC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4" w:rsidRDefault="00096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60" w:rsidRDefault="00FC11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2BD">
      <w:rPr>
        <w:rStyle w:val="PageNumber"/>
        <w:noProof/>
      </w:rPr>
      <w:t>2</w:t>
    </w:r>
    <w:r>
      <w:rPr>
        <w:rStyle w:val="PageNumber"/>
      </w:rPr>
      <w:fldChar w:fldCharType="end"/>
    </w:r>
  </w:p>
  <w:p w:rsidR="00FC1160" w:rsidRDefault="00FC1160">
    <w:pPr>
      <w:pStyle w:val="Footer"/>
      <w:jc w:val="center"/>
      <w:rPr>
        <w:rStyle w:val="PageNumber"/>
      </w:rPr>
    </w:pPr>
  </w:p>
  <w:p w:rsidR="00FC1160" w:rsidRDefault="00FC1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60" w:rsidRDefault="00FC1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52" w:rsidRDefault="00ED2352" w:rsidP="00CC43EF">
      <w:r>
        <w:separator/>
      </w:r>
    </w:p>
  </w:footnote>
  <w:footnote w:type="continuationSeparator" w:id="0">
    <w:p w:rsidR="00ED2352" w:rsidRDefault="00ED2352" w:rsidP="00CC43EF">
      <w:r>
        <w:continuationSeparator/>
      </w:r>
    </w:p>
  </w:footnote>
  <w:footnote w:id="1">
    <w:p w:rsidR="00FC1160" w:rsidRPr="00BD179C" w:rsidRDefault="00FC1160" w:rsidP="00F563FE">
      <w:pPr>
        <w:pStyle w:val="FootnoteText"/>
        <w:spacing w:after="200"/>
        <w:jc w:val="both"/>
        <w:rPr>
          <w:sz w:val="20"/>
        </w:rPr>
      </w:pPr>
      <w:r w:rsidRPr="00BD179C">
        <w:rPr>
          <w:rStyle w:val="FootnoteReference"/>
          <w:sz w:val="20"/>
        </w:rPr>
        <w:footnoteRef/>
      </w:r>
      <w:r w:rsidRPr="00BD179C">
        <w:rPr>
          <w:sz w:val="20"/>
        </w:rPr>
        <w:t xml:space="preserve"> </w:t>
      </w:r>
      <w:r w:rsidRPr="00BD179C">
        <w:rPr>
          <w:i/>
          <w:sz w:val="20"/>
        </w:rPr>
        <w:t>Columbia Union College Broadcasting, Inc.</w:t>
      </w:r>
      <w:r>
        <w:rPr>
          <w:sz w:val="20"/>
        </w:rPr>
        <w:t>, Letter, Ref. No. 1800</w:t>
      </w:r>
      <w:r w:rsidRPr="00BD179C">
        <w:rPr>
          <w:sz w:val="20"/>
        </w:rPr>
        <w:t>B3</w:t>
      </w:r>
      <w:r>
        <w:rPr>
          <w:sz w:val="20"/>
        </w:rPr>
        <w:t>-TB</w:t>
      </w:r>
      <w:r w:rsidRPr="00BD179C">
        <w:rPr>
          <w:sz w:val="20"/>
        </w:rPr>
        <w:t xml:space="preserve"> (MB </w:t>
      </w:r>
      <w:r>
        <w:rPr>
          <w:sz w:val="20"/>
        </w:rPr>
        <w:t xml:space="preserve">Nov. 2, </w:t>
      </w:r>
      <w:r w:rsidRPr="00BD179C">
        <w:rPr>
          <w:sz w:val="20"/>
        </w:rPr>
        <w:t>2005) (“</w:t>
      </w:r>
      <w:r w:rsidRPr="00BD179C">
        <w:rPr>
          <w:i/>
          <w:sz w:val="20"/>
        </w:rPr>
        <w:t>Staff Decision</w:t>
      </w:r>
      <w:r w:rsidRPr="00BD179C">
        <w:rPr>
          <w:sz w:val="20"/>
        </w:rPr>
        <w:t xml:space="preserve">”).  </w:t>
      </w:r>
    </w:p>
  </w:footnote>
  <w:footnote w:id="2">
    <w:p w:rsidR="00FC1160" w:rsidRPr="00BD179C" w:rsidRDefault="00FC1160" w:rsidP="00393D77">
      <w:pPr>
        <w:pStyle w:val="FootnoteText"/>
        <w:spacing w:after="200"/>
        <w:rPr>
          <w:sz w:val="20"/>
        </w:rPr>
      </w:pPr>
      <w:r w:rsidRPr="00BD179C">
        <w:rPr>
          <w:rStyle w:val="FootnoteReference"/>
          <w:sz w:val="20"/>
        </w:rPr>
        <w:footnoteRef/>
      </w:r>
      <w:r w:rsidRPr="00BD179C">
        <w:rPr>
          <w:sz w:val="20"/>
        </w:rPr>
        <w:t xml:space="preserve"> CDBS assigns a reference</w:t>
      </w:r>
      <w:r w:rsidR="00DA1888">
        <w:rPr>
          <w:sz w:val="20"/>
        </w:rPr>
        <w:t xml:space="preserve"> number</w:t>
      </w:r>
      <w:r w:rsidRPr="00BD179C">
        <w:rPr>
          <w:sz w:val="20"/>
        </w:rPr>
        <w:t xml:space="preserve"> to each application</w:t>
      </w:r>
      <w:r w:rsidR="008E0102">
        <w:rPr>
          <w:sz w:val="20"/>
        </w:rPr>
        <w:t>,</w:t>
      </w:r>
      <w:r w:rsidRPr="00BD179C">
        <w:rPr>
          <w:sz w:val="20"/>
        </w:rPr>
        <w:t xml:space="preserve"> which reflects the date the application is officially received.  </w:t>
      </w:r>
      <w:r w:rsidR="00DA1888">
        <w:rPr>
          <w:sz w:val="20"/>
        </w:rPr>
        <w:t>CUCB’s</w:t>
      </w:r>
      <w:r w:rsidRPr="00BD179C">
        <w:rPr>
          <w:sz w:val="20"/>
        </w:rPr>
        <w:t xml:space="preserve"> </w:t>
      </w:r>
      <w:r w:rsidR="00DA1888">
        <w:rPr>
          <w:sz w:val="20"/>
        </w:rPr>
        <w:t>Application for FM Broadcast Station License</w:t>
      </w:r>
      <w:r w:rsidRPr="00BD179C">
        <w:rPr>
          <w:sz w:val="20"/>
        </w:rPr>
        <w:t xml:space="preserve"> was assigned a reference number of </w:t>
      </w:r>
      <w:r w:rsidR="00DA1888">
        <w:rPr>
          <w:sz w:val="20"/>
        </w:rPr>
        <w:t>BLED-</w:t>
      </w:r>
      <w:r w:rsidRPr="00BD179C">
        <w:rPr>
          <w:sz w:val="20"/>
        </w:rPr>
        <w:t xml:space="preserve">20040206ADQ, indicating that it was officially received on February 6, 2004.  Under the CDBS processing procedures, </w:t>
      </w:r>
      <w:r w:rsidR="00393D77" w:rsidRPr="00393D77">
        <w:rPr>
          <w:sz w:val="20"/>
        </w:rPr>
        <w:t xml:space="preserve">failure to claim a filing fee exemption in Section I, Question 3, even if the applicant is otherwise eligible, is not a substantive defect as would lead to dismissal.  </w:t>
      </w:r>
      <w:r w:rsidR="00D21929">
        <w:rPr>
          <w:i/>
          <w:sz w:val="20"/>
        </w:rPr>
        <w:t xml:space="preserve">See </w:t>
      </w:r>
      <w:r w:rsidR="00D21929">
        <w:rPr>
          <w:sz w:val="20"/>
        </w:rPr>
        <w:t xml:space="preserve">Form 302-FM, Section I, Question 3.  </w:t>
      </w:r>
      <w:r w:rsidR="00393D77" w:rsidRPr="00393D77">
        <w:rPr>
          <w:sz w:val="20"/>
        </w:rPr>
        <w:t>Rather, if no exemption is specified, the CDBS system will by default treat the application as feeable and initiate the electronic fee payment system.  A</w:t>
      </w:r>
      <w:r w:rsidRPr="00BD179C">
        <w:rPr>
          <w:sz w:val="20"/>
        </w:rPr>
        <w:t xml:space="preserve">pplicants </w:t>
      </w:r>
      <w:r w:rsidR="003664A4" w:rsidRPr="003664A4">
        <w:rPr>
          <w:sz w:val="20"/>
        </w:rPr>
        <w:t xml:space="preserve">with feeable applications who have failed to pay the associated fee upon filing </w:t>
      </w:r>
      <w:r w:rsidRPr="00BD179C">
        <w:rPr>
          <w:sz w:val="20"/>
        </w:rPr>
        <w:t>have fourteen days after filing to pay the associated filing fee</w:t>
      </w:r>
      <w:r w:rsidR="003664A4">
        <w:rPr>
          <w:sz w:val="20"/>
        </w:rPr>
        <w:t>,</w:t>
      </w:r>
      <w:r w:rsidR="003664A4" w:rsidRPr="003664A4">
        <w:t xml:space="preserve"> </w:t>
      </w:r>
      <w:r w:rsidR="003664A4" w:rsidRPr="003664A4">
        <w:rPr>
          <w:sz w:val="20"/>
        </w:rPr>
        <w:t>which CUCB did here</w:t>
      </w:r>
      <w:r w:rsidRPr="00BD179C">
        <w:rPr>
          <w:sz w:val="20"/>
        </w:rPr>
        <w:t xml:space="preserve">.  </w:t>
      </w:r>
      <w:r w:rsidRPr="00BD179C">
        <w:rPr>
          <w:i/>
          <w:sz w:val="20"/>
        </w:rPr>
        <w:t xml:space="preserve">See </w:t>
      </w:r>
      <w:r w:rsidRPr="00BD179C">
        <w:rPr>
          <w:sz w:val="20"/>
        </w:rPr>
        <w:t xml:space="preserve">“CDBS User’s Guide,” </w:t>
      </w:r>
      <w:hyperlink r:id="rId1" w:history="1">
        <w:r w:rsidRPr="00BD179C">
          <w:rPr>
            <w:rStyle w:val="Hyperlink"/>
            <w:sz w:val="20"/>
          </w:rPr>
          <w:t>http://licensing.fcc.gov/prod/cdbs/forms/prod/cdbs_ug.htm</w:t>
        </w:r>
      </w:hyperlink>
      <w:r w:rsidRPr="00BD179C">
        <w:rPr>
          <w:sz w:val="20"/>
        </w:rPr>
        <w:t xml:space="preserve">. </w:t>
      </w:r>
      <w:r w:rsidR="00DA1888">
        <w:rPr>
          <w:sz w:val="20"/>
        </w:rPr>
        <w:t xml:space="preserve"> The date of payment does not affect the official filing date of the application.</w:t>
      </w:r>
    </w:p>
  </w:footnote>
  <w:footnote w:id="3">
    <w:p w:rsidR="00FC1160" w:rsidRPr="00BD179C" w:rsidRDefault="00FC1160" w:rsidP="00B01C2F">
      <w:pPr>
        <w:pStyle w:val="FootnoteText"/>
        <w:spacing w:after="200"/>
        <w:jc w:val="both"/>
        <w:rPr>
          <w:sz w:val="20"/>
        </w:rPr>
      </w:pPr>
      <w:r w:rsidRPr="00BD179C">
        <w:rPr>
          <w:rStyle w:val="FootnoteReference"/>
          <w:sz w:val="20"/>
        </w:rPr>
        <w:footnoteRef/>
      </w:r>
      <w:r w:rsidRPr="00BD179C">
        <w:rPr>
          <w:sz w:val="20"/>
        </w:rPr>
        <w:t xml:space="preserve"> File No. BLED 20040210AAU.</w:t>
      </w:r>
    </w:p>
  </w:footnote>
  <w:footnote w:id="4">
    <w:p w:rsidR="00DF7ECB" w:rsidRPr="00B01C2F" w:rsidRDefault="00DF7ECB" w:rsidP="00B01C2F">
      <w:pPr>
        <w:pStyle w:val="FootnoteText"/>
        <w:spacing w:after="200"/>
        <w:jc w:val="both"/>
        <w:rPr>
          <w:sz w:val="20"/>
        </w:rPr>
      </w:pPr>
      <w:r>
        <w:rPr>
          <w:rStyle w:val="FootnoteReference"/>
        </w:rPr>
        <w:footnoteRef/>
      </w:r>
      <w:r>
        <w:t xml:space="preserve"> </w:t>
      </w:r>
      <w:r w:rsidRPr="00B01C2F">
        <w:rPr>
          <w:sz w:val="20"/>
        </w:rPr>
        <w:t>Application for Review at 8.</w:t>
      </w:r>
    </w:p>
  </w:footnote>
  <w:footnote w:id="5">
    <w:p w:rsidR="00DF7ECB" w:rsidRPr="00554972" w:rsidRDefault="00DF7ECB" w:rsidP="00B01C2F">
      <w:pPr>
        <w:pStyle w:val="FootnoteText"/>
        <w:spacing w:after="200"/>
        <w:jc w:val="both"/>
        <w:rPr>
          <w:sz w:val="20"/>
        </w:rPr>
      </w:pPr>
      <w:r>
        <w:rPr>
          <w:rStyle w:val="FootnoteReference"/>
        </w:rPr>
        <w:footnoteRef/>
      </w:r>
      <w:r>
        <w:t xml:space="preserve"> </w:t>
      </w:r>
      <w:r w:rsidRPr="00554972">
        <w:rPr>
          <w:sz w:val="20"/>
        </w:rPr>
        <w:t>47 C.F.R. § 73.1690(c)(1).</w:t>
      </w:r>
    </w:p>
  </w:footnote>
  <w:footnote w:id="6">
    <w:p w:rsidR="00FC1160" w:rsidRPr="00BD179C" w:rsidRDefault="00FC1160" w:rsidP="00B01C2F">
      <w:pPr>
        <w:pStyle w:val="FootnoteText"/>
        <w:spacing w:after="200"/>
        <w:jc w:val="both"/>
        <w:rPr>
          <w:sz w:val="20"/>
        </w:rPr>
      </w:pPr>
      <w:r w:rsidRPr="00BD179C">
        <w:rPr>
          <w:rStyle w:val="FootnoteReference"/>
          <w:sz w:val="20"/>
        </w:rPr>
        <w:footnoteRef/>
      </w:r>
      <w:r w:rsidRPr="00BD179C">
        <w:rPr>
          <w:sz w:val="20"/>
        </w:rPr>
        <w:t xml:space="preserve"> 47 U.S.C. § 155(c)(5).</w:t>
      </w:r>
    </w:p>
  </w:footnote>
  <w:footnote w:id="7">
    <w:p w:rsidR="00FC1160" w:rsidRPr="00BD179C" w:rsidRDefault="00FC1160" w:rsidP="00CC43EF">
      <w:pPr>
        <w:pStyle w:val="FootnoteText"/>
        <w:rPr>
          <w:sz w:val="20"/>
        </w:rPr>
      </w:pPr>
      <w:r w:rsidRPr="00BD179C">
        <w:rPr>
          <w:rStyle w:val="FootnoteReference"/>
          <w:sz w:val="20"/>
        </w:rPr>
        <w:footnoteRef/>
      </w:r>
      <w:r w:rsidRPr="00BD179C">
        <w:rPr>
          <w:sz w:val="20"/>
        </w:rPr>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B44" w:rsidRDefault="00096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06" w:rsidRPr="00661306" w:rsidRDefault="00661306" w:rsidP="00661306">
    <w:pPr>
      <w:pStyle w:val="Header"/>
      <w:rPr>
        <w:b/>
      </w:rPr>
    </w:pPr>
    <w:r>
      <w:tab/>
      <w:t xml:space="preserve">                  </w:t>
    </w:r>
    <w:r w:rsidRPr="00661306">
      <w:rPr>
        <w:b/>
        <w:szCs w:val="22"/>
      </w:rPr>
      <w:t>Federal Communications Commission</w:t>
    </w:r>
    <w:r w:rsidRPr="00661306">
      <w:rPr>
        <w:b/>
      </w:rPr>
      <w:tab/>
    </w:r>
    <w:r>
      <w:rPr>
        <w:b/>
      </w:rPr>
      <w:t xml:space="preserve">                             </w:t>
    </w:r>
    <w:r w:rsidRPr="00661306">
      <w:rPr>
        <w:b/>
        <w:szCs w:val="22"/>
      </w:rPr>
      <w:t>FCC 13-104</w:t>
    </w:r>
  </w:p>
  <w:p w:rsidR="00661306" w:rsidRDefault="00661306" w:rsidP="00661306">
    <w:pPr>
      <w:pStyle w:val="Header"/>
    </w:pPr>
    <w:r>
      <w:rPr>
        <w:noProof/>
      </w:rPr>
      <mc:AlternateContent>
        <mc:Choice Requires="wps">
          <w:drawing>
            <wp:anchor distT="4294967291" distB="4294967291" distL="114300" distR="114300" simplePos="0" relativeHeight="251661312" behindDoc="0" locked="0" layoutInCell="0" allowOverlap="1" wp14:anchorId="5E383C41" wp14:editId="2E6C7F07">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p w:rsidR="00FC1160" w:rsidRPr="00661306" w:rsidRDefault="00FC1160" w:rsidP="00661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06" w:rsidRPr="00661306" w:rsidRDefault="00661306" w:rsidP="00661306">
    <w:pPr>
      <w:pStyle w:val="Header"/>
      <w:rPr>
        <w:b/>
      </w:rPr>
    </w:pPr>
    <w:r>
      <w:tab/>
      <w:t xml:space="preserve">                  </w:t>
    </w:r>
    <w:r w:rsidRPr="00661306">
      <w:rPr>
        <w:b/>
        <w:szCs w:val="22"/>
      </w:rPr>
      <w:t>Federal Communications Commission</w:t>
    </w:r>
    <w:r w:rsidRPr="00661306">
      <w:rPr>
        <w:b/>
      </w:rPr>
      <w:tab/>
    </w:r>
    <w:r>
      <w:rPr>
        <w:b/>
      </w:rPr>
      <w:t xml:space="preserve">                             </w:t>
    </w:r>
    <w:r w:rsidRPr="00661306">
      <w:rPr>
        <w:b/>
        <w:szCs w:val="22"/>
      </w:rPr>
      <w:t>FCC 13-104</w:t>
    </w:r>
  </w:p>
  <w:p w:rsidR="00661306" w:rsidRDefault="00661306" w:rsidP="00661306">
    <w:pPr>
      <w:pStyle w:val="Header"/>
    </w:pPr>
    <w:r>
      <w:rPr>
        <w:noProof/>
      </w:rPr>
      <mc:AlternateContent>
        <mc:Choice Requires="wps">
          <w:drawing>
            <wp:anchor distT="4294967291" distB="4294967291" distL="114300" distR="114300" simplePos="0" relativeHeight="25165926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661306" w:rsidRDefault="00661306" w:rsidP="0066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90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EF"/>
    <w:rsid w:val="00044E6B"/>
    <w:rsid w:val="00096B44"/>
    <w:rsid w:val="000C74AF"/>
    <w:rsid w:val="000C7E03"/>
    <w:rsid w:val="000E436C"/>
    <w:rsid w:val="001105C5"/>
    <w:rsid w:val="001418A9"/>
    <w:rsid w:val="00153EC9"/>
    <w:rsid w:val="00157D66"/>
    <w:rsid w:val="00205EB4"/>
    <w:rsid w:val="002232BD"/>
    <w:rsid w:val="00241B9C"/>
    <w:rsid w:val="00257AAC"/>
    <w:rsid w:val="00350FA6"/>
    <w:rsid w:val="003664A4"/>
    <w:rsid w:val="00393D77"/>
    <w:rsid w:val="00440EA5"/>
    <w:rsid w:val="00442921"/>
    <w:rsid w:val="004A5B66"/>
    <w:rsid w:val="004C02B3"/>
    <w:rsid w:val="004D1BE0"/>
    <w:rsid w:val="006351AC"/>
    <w:rsid w:val="006371F0"/>
    <w:rsid w:val="006528B3"/>
    <w:rsid w:val="00661306"/>
    <w:rsid w:val="006A488B"/>
    <w:rsid w:val="007508FD"/>
    <w:rsid w:val="00775C4B"/>
    <w:rsid w:val="00793F60"/>
    <w:rsid w:val="00863AE0"/>
    <w:rsid w:val="008E0102"/>
    <w:rsid w:val="00943CEF"/>
    <w:rsid w:val="009D65A4"/>
    <w:rsid w:val="00A00DFB"/>
    <w:rsid w:val="00AB0D33"/>
    <w:rsid w:val="00B01C2F"/>
    <w:rsid w:val="00B164F1"/>
    <w:rsid w:val="00B8003A"/>
    <w:rsid w:val="00BD179C"/>
    <w:rsid w:val="00BD6323"/>
    <w:rsid w:val="00C15BD1"/>
    <w:rsid w:val="00CC43EF"/>
    <w:rsid w:val="00D21929"/>
    <w:rsid w:val="00D63E77"/>
    <w:rsid w:val="00D816DA"/>
    <w:rsid w:val="00DA1888"/>
    <w:rsid w:val="00DF7ECB"/>
    <w:rsid w:val="00E27FE1"/>
    <w:rsid w:val="00E3149F"/>
    <w:rsid w:val="00E4320E"/>
    <w:rsid w:val="00E55444"/>
    <w:rsid w:val="00E66B48"/>
    <w:rsid w:val="00E776DB"/>
    <w:rsid w:val="00ED2352"/>
    <w:rsid w:val="00F32571"/>
    <w:rsid w:val="00F563FE"/>
    <w:rsid w:val="00FC0041"/>
    <w:rsid w:val="00FC1160"/>
    <w:rsid w:val="00FF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442921"/>
    <w:rPr>
      <w:rFonts w:ascii="Tahoma" w:hAnsi="Tahoma" w:cs="Tahoma"/>
      <w:sz w:val="16"/>
      <w:szCs w:val="16"/>
    </w:rPr>
  </w:style>
  <w:style w:type="character" w:customStyle="1" w:styleId="BalloonTextChar">
    <w:name w:val="Balloon Text Char"/>
    <w:basedOn w:val="DefaultParagraphFont"/>
    <w:link w:val="BalloonText"/>
    <w:uiPriority w:val="99"/>
    <w:semiHidden/>
    <w:rsid w:val="00442921"/>
    <w:rPr>
      <w:rFonts w:ascii="Tahoma" w:eastAsia="Times New Roman" w:hAnsi="Tahoma" w:cs="Tahoma"/>
      <w:sz w:val="16"/>
      <w:szCs w:val="16"/>
    </w:rPr>
  </w:style>
  <w:style w:type="character" w:styleId="Hyperlink">
    <w:name w:val="Hyperlink"/>
    <w:basedOn w:val="DefaultParagraphFont"/>
    <w:uiPriority w:val="99"/>
    <w:unhideWhenUsed/>
    <w:rsid w:val="00BD179C"/>
    <w:rPr>
      <w:color w:val="0000FF" w:themeColor="hyperlink"/>
      <w:u w:val="single"/>
    </w:rPr>
  </w:style>
  <w:style w:type="character" w:styleId="FollowedHyperlink">
    <w:name w:val="FollowedHyperlink"/>
    <w:basedOn w:val="DefaultParagraphFont"/>
    <w:uiPriority w:val="99"/>
    <w:semiHidden/>
    <w:unhideWhenUsed/>
    <w:rsid w:val="00440E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C43EF"/>
    <w:pPr>
      <w:keepNext/>
      <w:tabs>
        <w:tab w:val="left"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3EF"/>
    <w:rPr>
      <w:rFonts w:ascii="Times New Roman" w:eastAsia="Times New Roman" w:hAnsi="Times New Roman" w:cs="Times New Roman"/>
      <w:b/>
      <w:szCs w:val="20"/>
    </w:rPr>
  </w:style>
  <w:style w:type="paragraph" w:styleId="Header">
    <w:name w:val="header"/>
    <w:basedOn w:val="Normal"/>
    <w:link w:val="HeaderChar"/>
    <w:rsid w:val="00CC43EF"/>
    <w:pPr>
      <w:tabs>
        <w:tab w:val="center" w:pos="4320"/>
        <w:tab w:val="right" w:pos="8640"/>
      </w:tabs>
    </w:pPr>
  </w:style>
  <w:style w:type="character" w:customStyle="1" w:styleId="HeaderChar">
    <w:name w:val="Header Char"/>
    <w:basedOn w:val="DefaultParagraphFont"/>
    <w:link w:val="Header"/>
    <w:rsid w:val="00CC43EF"/>
    <w:rPr>
      <w:rFonts w:ascii="Times New Roman" w:eastAsia="Times New Roman" w:hAnsi="Times New Roman" w:cs="Times New Roman"/>
      <w:szCs w:val="20"/>
    </w:rPr>
  </w:style>
  <w:style w:type="character" w:styleId="FootnoteReference">
    <w:name w:val="footnote reference"/>
    <w:aliases w:val="Style 12,(NECG) Footnote Reference,Appel note de bas de p,Style 124"/>
    <w:basedOn w:val="DefaultParagraphFont"/>
    <w:semiHidden/>
    <w:rsid w:val="00CC43EF"/>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basedOn w:val="Normal"/>
    <w:link w:val="FootnoteTextChar1"/>
    <w:semiHidden/>
    <w:rsid w:val="00CC43EF"/>
  </w:style>
  <w:style w:type="character" w:customStyle="1" w:styleId="FootnoteTextChar">
    <w:name w:val="Footnote Text Char"/>
    <w:basedOn w:val="DefaultParagraphFont"/>
    <w:uiPriority w:val="99"/>
    <w:semiHidden/>
    <w:rsid w:val="00CC43EF"/>
    <w:rPr>
      <w:rFonts w:ascii="Times New Roman" w:eastAsia="Times New Roman" w:hAnsi="Times New Roman" w:cs="Times New Roman"/>
      <w:sz w:val="20"/>
      <w:szCs w:val="20"/>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basedOn w:val="DefaultParagraphFont"/>
    <w:link w:val="FootnoteText"/>
    <w:rsid w:val="00CC43EF"/>
    <w:rPr>
      <w:rFonts w:ascii="Times New Roman" w:eastAsia="Times New Roman" w:hAnsi="Times New Roman" w:cs="Times New Roman"/>
      <w:szCs w:val="20"/>
    </w:rPr>
  </w:style>
  <w:style w:type="character" w:styleId="PageNumber">
    <w:name w:val="page number"/>
    <w:basedOn w:val="DefaultParagraphFont"/>
    <w:rsid w:val="00CC43EF"/>
  </w:style>
  <w:style w:type="paragraph" w:styleId="Footer">
    <w:name w:val="footer"/>
    <w:basedOn w:val="Normal"/>
    <w:link w:val="FooterChar"/>
    <w:rsid w:val="00CC43EF"/>
    <w:pPr>
      <w:tabs>
        <w:tab w:val="center" w:pos="4320"/>
        <w:tab w:val="right" w:pos="8640"/>
      </w:tabs>
    </w:pPr>
  </w:style>
  <w:style w:type="character" w:customStyle="1" w:styleId="FooterChar">
    <w:name w:val="Footer Char"/>
    <w:basedOn w:val="DefaultParagraphFont"/>
    <w:link w:val="Footer"/>
    <w:rsid w:val="00CC43EF"/>
    <w:rPr>
      <w:rFonts w:ascii="Times New Roman" w:eastAsia="Times New Roman" w:hAnsi="Times New Roman" w:cs="Times New Roman"/>
      <w:szCs w:val="20"/>
    </w:rPr>
  </w:style>
  <w:style w:type="paragraph" w:customStyle="1" w:styleId="ParaNum">
    <w:name w:val="ParaNum"/>
    <w:basedOn w:val="Normal"/>
    <w:rsid w:val="00CC43EF"/>
    <w:pPr>
      <w:widowControl w:val="0"/>
      <w:numPr>
        <w:numId w:val="1"/>
      </w:numPr>
      <w:tabs>
        <w:tab w:val="left" w:pos="1440"/>
      </w:tabs>
      <w:spacing w:after="220"/>
      <w:jc w:val="both"/>
    </w:pPr>
  </w:style>
  <w:style w:type="paragraph" w:styleId="BalloonText">
    <w:name w:val="Balloon Text"/>
    <w:basedOn w:val="Normal"/>
    <w:link w:val="BalloonTextChar"/>
    <w:uiPriority w:val="99"/>
    <w:semiHidden/>
    <w:unhideWhenUsed/>
    <w:rsid w:val="00442921"/>
    <w:rPr>
      <w:rFonts w:ascii="Tahoma" w:hAnsi="Tahoma" w:cs="Tahoma"/>
      <w:sz w:val="16"/>
      <w:szCs w:val="16"/>
    </w:rPr>
  </w:style>
  <w:style w:type="character" w:customStyle="1" w:styleId="BalloonTextChar">
    <w:name w:val="Balloon Text Char"/>
    <w:basedOn w:val="DefaultParagraphFont"/>
    <w:link w:val="BalloonText"/>
    <w:uiPriority w:val="99"/>
    <w:semiHidden/>
    <w:rsid w:val="00442921"/>
    <w:rPr>
      <w:rFonts w:ascii="Tahoma" w:eastAsia="Times New Roman" w:hAnsi="Tahoma" w:cs="Tahoma"/>
      <w:sz w:val="16"/>
      <w:szCs w:val="16"/>
    </w:rPr>
  </w:style>
  <w:style w:type="character" w:styleId="Hyperlink">
    <w:name w:val="Hyperlink"/>
    <w:basedOn w:val="DefaultParagraphFont"/>
    <w:uiPriority w:val="99"/>
    <w:unhideWhenUsed/>
    <w:rsid w:val="00BD179C"/>
    <w:rPr>
      <w:color w:val="0000FF" w:themeColor="hyperlink"/>
      <w:u w:val="single"/>
    </w:rPr>
  </w:style>
  <w:style w:type="character" w:styleId="FollowedHyperlink">
    <w:name w:val="FollowedHyperlink"/>
    <w:basedOn w:val="DefaultParagraphFont"/>
    <w:uiPriority w:val="99"/>
    <w:semiHidden/>
    <w:unhideWhenUsed/>
    <w:rsid w:val="00440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prod/cdbs/forms/prod/cdbs_u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2258</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2013-02-15T19:41:00Z</cp:lastPrinted>
  <dcterms:created xsi:type="dcterms:W3CDTF">2013-07-31T12:37:00Z</dcterms:created>
  <dcterms:modified xsi:type="dcterms:W3CDTF">2013-07-31T12:37:00Z</dcterms:modified>
  <cp:category> </cp:category>
  <cp:contentStatus> </cp:contentStatus>
</cp:coreProperties>
</file>