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323A2" w:rsidRDefault="004C2EE3" w:rsidP="00C5138C">
      <w:pPr>
        <w:widowControl/>
        <w:jc w:val="center"/>
        <w:rPr>
          <w:b/>
        </w:rPr>
      </w:pPr>
      <w:bookmarkStart w:id="0" w:name="_GoBack"/>
      <w:bookmarkEnd w:id="0"/>
      <w:r w:rsidRPr="002323A2">
        <w:rPr>
          <w:b/>
          <w:kern w:val="0"/>
          <w:szCs w:val="22"/>
        </w:rPr>
        <w:t>Before</w:t>
      </w:r>
      <w:r w:rsidRPr="002323A2">
        <w:rPr>
          <w:b/>
        </w:rPr>
        <w:t xml:space="preserve"> the</w:t>
      </w:r>
    </w:p>
    <w:p w:rsidR="00921803" w:rsidRPr="002323A2" w:rsidRDefault="00921803" w:rsidP="00C5138C">
      <w:pPr>
        <w:pStyle w:val="StyleBoldCentered"/>
        <w:widowControl/>
        <w:rPr>
          <w:rFonts w:ascii="Times New Roman" w:hAnsi="Times New Roman"/>
        </w:rPr>
      </w:pPr>
      <w:r w:rsidRPr="002323A2">
        <w:rPr>
          <w:rFonts w:ascii="Times New Roman" w:hAnsi="Times New Roman"/>
        </w:rPr>
        <w:t>F</w:t>
      </w:r>
      <w:r w:rsidRPr="002323A2">
        <w:rPr>
          <w:rFonts w:ascii="Times New Roman" w:hAnsi="Times New Roman"/>
          <w:caps w:val="0"/>
        </w:rPr>
        <w:t>ederal Communications Commission</w:t>
      </w:r>
    </w:p>
    <w:p w:rsidR="004C2EE3" w:rsidRPr="002323A2" w:rsidRDefault="00015FE4" w:rsidP="00C5138C">
      <w:pPr>
        <w:pStyle w:val="StyleBoldCentered"/>
        <w:widowControl/>
        <w:rPr>
          <w:rFonts w:ascii="Times New Roman" w:hAnsi="Times New Roman"/>
        </w:rPr>
      </w:pPr>
      <w:r w:rsidRPr="002323A2">
        <w:rPr>
          <w:rFonts w:ascii="Times New Roman" w:hAnsi="Times New Roman"/>
          <w:caps w:val="0"/>
        </w:rPr>
        <w:t>Washington</w:t>
      </w:r>
      <w:r w:rsidR="004C2EE3" w:rsidRPr="002323A2">
        <w:rPr>
          <w:rFonts w:ascii="Times New Roman" w:hAnsi="Times New Roman"/>
        </w:rPr>
        <w:t>, D.C. 20554</w:t>
      </w:r>
    </w:p>
    <w:p w:rsidR="004C2EE3" w:rsidRPr="002323A2" w:rsidRDefault="004C2EE3" w:rsidP="00C5138C">
      <w:pPr>
        <w:widowControl/>
      </w:pPr>
    </w:p>
    <w:p w:rsidR="004C2EE3" w:rsidRPr="002323A2" w:rsidRDefault="004C2EE3" w:rsidP="00C5138C">
      <w:pPr>
        <w:widowControl/>
      </w:pPr>
    </w:p>
    <w:tbl>
      <w:tblPr>
        <w:tblW w:w="0" w:type="auto"/>
        <w:tblLayout w:type="fixed"/>
        <w:tblLook w:val="0000" w:firstRow="0" w:lastRow="0" w:firstColumn="0" w:lastColumn="0" w:noHBand="0" w:noVBand="0"/>
      </w:tblPr>
      <w:tblGrid>
        <w:gridCol w:w="4698"/>
        <w:gridCol w:w="630"/>
        <w:gridCol w:w="4248"/>
      </w:tblGrid>
      <w:tr w:rsidR="00C8740B" w:rsidRPr="002323A2">
        <w:tc>
          <w:tcPr>
            <w:tcW w:w="4698" w:type="dxa"/>
          </w:tcPr>
          <w:p w:rsidR="00C8740B" w:rsidRPr="00E34AAE" w:rsidRDefault="00C8740B" w:rsidP="00DE53E7">
            <w:pPr>
              <w:widowControl/>
              <w:rPr>
                <w:szCs w:val="22"/>
              </w:rPr>
            </w:pPr>
            <w:r w:rsidRPr="00E34AAE">
              <w:rPr>
                <w:spacing w:val="-2"/>
                <w:szCs w:val="22"/>
              </w:rPr>
              <w:t>In the Matter of</w:t>
            </w:r>
            <w:r w:rsidRPr="00E34AAE">
              <w:rPr>
                <w:szCs w:val="22"/>
              </w:rPr>
              <w:t xml:space="preserve"> </w:t>
            </w:r>
          </w:p>
          <w:p w:rsidR="00C8740B" w:rsidRPr="00E34AAE" w:rsidRDefault="00C8740B" w:rsidP="00DE53E7">
            <w:pPr>
              <w:widowControl/>
              <w:rPr>
                <w:szCs w:val="22"/>
              </w:rPr>
            </w:pPr>
          </w:p>
          <w:p w:rsidR="00C8740B" w:rsidRPr="00233F10" w:rsidRDefault="00C8740B" w:rsidP="00DE53E7">
            <w:pPr>
              <w:widowControl/>
              <w:rPr>
                <w:szCs w:val="22"/>
              </w:rPr>
            </w:pPr>
            <w:r>
              <w:rPr>
                <w:spacing w:val="-2"/>
                <w:szCs w:val="22"/>
              </w:rPr>
              <w:t>Towerstream</w:t>
            </w:r>
            <w:r w:rsidRPr="00233F10">
              <w:rPr>
                <w:spacing w:val="-2"/>
                <w:szCs w:val="22"/>
              </w:rPr>
              <w:t xml:space="preserve"> Corp</w:t>
            </w:r>
            <w:r>
              <w:rPr>
                <w:spacing w:val="-2"/>
                <w:szCs w:val="22"/>
              </w:rPr>
              <w:t>oration</w:t>
            </w:r>
          </w:p>
          <w:p w:rsidR="00C8740B" w:rsidRPr="00233F10" w:rsidRDefault="00C8740B" w:rsidP="00DE53E7">
            <w:pPr>
              <w:widowControl/>
              <w:rPr>
                <w:szCs w:val="22"/>
              </w:rPr>
            </w:pPr>
          </w:p>
          <w:p w:rsidR="00C8740B" w:rsidRPr="00233F10" w:rsidRDefault="008C5207" w:rsidP="00DE53E7">
            <w:pPr>
              <w:widowControl/>
              <w:rPr>
                <w:szCs w:val="22"/>
              </w:rPr>
            </w:pPr>
            <w:r w:rsidRPr="00050FF7">
              <w:rPr>
                <w:szCs w:val="22"/>
              </w:rPr>
              <w:t>Middletown, Rhode Island</w:t>
            </w:r>
          </w:p>
          <w:p w:rsidR="00C8740B" w:rsidRPr="002323A2" w:rsidRDefault="00C8740B" w:rsidP="00C5138C">
            <w:pPr>
              <w:widowControl/>
              <w:tabs>
                <w:tab w:val="center" w:pos="4680"/>
              </w:tabs>
              <w:suppressAutoHyphens/>
              <w:rPr>
                <w:spacing w:val="-2"/>
              </w:rPr>
            </w:pPr>
          </w:p>
        </w:tc>
        <w:tc>
          <w:tcPr>
            <w:tcW w:w="630" w:type="dxa"/>
          </w:tcPr>
          <w:p w:rsidR="00C8740B" w:rsidRPr="00E34AAE" w:rsidRDefault="00C8740B" w:rsidP="00DE53E7">
            <w:pPr>
              <w:widowControl/>
              <w:tabs>
                <w:tab w:val="center" w:pos="4680"/>
              </w:tabs>
              <w:suppressAutoHyphens/>
              <w:spacing w:line="240" w:lineRule="atLeast"/>
              <w:jc w:val="both"/>
              <w:outlineLvl w:val="0"/>
              <w:rPr>
                <w:szCs w:val="22"/>
              </w:rPr>
            </w:pPr>
            <w:r w:rsidRPr="00E34AAE">
              <w:rPr>
                <w:szCs w:val="22"/>
              </w:rPr>
              <w:t>)</w:t>
            </w:r>
          </w:p>
          <w:p w:rsidR="00C8740B" w:rsidRPr="00E34AAE" w:rsidRDefault="00C8740B" w:rsidP="00DE53E7">
            <w:pPr>
              <w:widowControl/>
              <w:tabs>
                <w:tab w:val="center" w:pos="4680"/>
              </w:tabs>
              <w:suppressAutoHyphens/>
              <w:spacing w:line="240" w:lineRule="atLeast"/>
              <w:jc w:val="both"/>
              <w:outlineLvl w:val="0"/>
              <w:rPr>
                <w:szCs w:val="22"/>
              </w:rPr>
            </w:pPr>
            <w:r w:rsidRPr="00E34AAE">
              <w:rPr>
                <w:szCs w:val="22"/>
              </w:rPr>
              <w:t>)</w:t>
            </w:r>
          </w:p>
          <w:p w:rsidR="00C8740B" w:rsidRPr="00E34AAE" w:rsidRDefault="00C8740B" w:rsidP="00DE53E7">
            <w:pPr>
              <w:widowControl/>
              <w:tabs>
                <w:tab w:val="center" w:pos="4680"/>
              </w:tabs>
              <w:suppressAutoHyphens/>
              <w:spacing w:line="240" w:lineRule="atLeast"/>
              <w:jc w:val="both"/>
              <w:outlineLvl w:val="0"/>
              <w:rPr>
                <w:szCs w:val="22"/>
              </w:rPr>
            </w:pPr>
            <w:r w:rsidRPr="00E34AAE">
              <w:rPr>
                <w:szCs w:val="22"/>
              </w:rPr>
              <w:t>)</w:t>
            </w:r>
          </w:p>
          <w:p w:rsidR="00C8740B" w:rsidRPr="00E34AAE" w:rsidRDefault="00C8740B" w:rsidP="00DE53E7">
            <w:pPr>
              <w:widowControl/>
              <w:tabs>
                <w:tab w:val="center" w:pos="4680"/>
              </w:tabs>
              <w:suppressAutoHyphens/>
              <w:spacing w:line="240" w:lineRule="atLeast"/>
              <w:jc w:val="both"/>
              <w:outlineLvl w:val="0"/>
              <w:rPr>
                <w:szCs w:val="22"/>
              </w:rPr>
            </w:pPr>
            <w:r w:rsidRPr="00E34AAE">
              <w:rPr>
                <w:szCs w:val="22"/>
              </w:rPr>
              <w:t>)</w:t>
            </w:r>
          </w:p>
          <w:p w:rsidR="00C8740B" w:rsidRPr="00E34AAE" w:rsidRDefault="00C8740B" w:rsidP="00DE53E7">
            <w:pPr>
              <w:widowControl/>
              <w:tabs>
                <w:tab w:val="center" w:pos="4680"/>
              </w:tabs>
              <w:suppressAutoHyphens/>
              <w:spacing w:line="240" w:lineRule="atLeast"/>
              <w:jc w:val="both"/>
              <w:outlineLvl w:val="0"/>
              <w:rPr>
                <w:szCs w:val="22"/>
              </w:rPr>
            </w:pPr>
            <w:r w:rsidRPr="00E34AAE">
              <w:rPr>
                <w:szCs w:val="22"/>
              </w:rPr>
              <w:t>)</w:t>
            </w:r>
          </w:p>
          <w:p w:rsidR="00C8740B" w:rsidRPr="00E34AAE" w:rsidRDefault="00C8740B" w:rsidP="00DE53E7">
            <w:pPr>
              <w:widowControl/>
              <w:tabs>
                <w:tab w:val="center" w:pos="4680"/>
              </w:tabs>
              <w:suppressAutoHyphens/>
              <w:spacing w:line="240" w:lineRule="atLeast"/>
              <w:jc w:val="both"/>
              <w:outlineLvl w:val="0"/>
              <w:rPr>
                <w:szCs w:val="22"/>
              </w:rPr>
            </w:pPr>
            <w:r w:rsidRPr="00E34AAE">
              <w:rPr>
                <w:szCs w:val="22"/>
              </w:rPr>
              <w:t>)</w:t>
            </w:r>
          </w:p>
          <w:p w:rsidR="00C8740B" w:rsidRPr="002323A2" w:rsidRDefault="00C8740B" w:rsidP="00C5138C">
            <w:pPr>
              <w:widowControl/>
              <w:tabs>
                <w:tab w:val="center" w:pos="4680"/>
              </w:tabs>
              <w:suppressAutoHyphens/>
              <w:rPr>
                <w:spacing w:val="-2"/>
              </w:rPr>
            </w:pPr>
            <w:r w:rsidRPr="00E34AAE">
              <w:rPr>
                <w:szCs w:val="22"/>
              </w:rPr>
              <w:t>)</w:t>
            </w:r>
          </w:p>
        </w:tc>
        <w:tc>
          <w:tcPr>
            <w:tcW w:w="4248" w:type="dxa"/>
          </w:tcPr>
          <w:p w:rsidR="00C8740B" w:rsidRDefault="00C8740B" w:rsidP="00DE53E7">
            <w:pPr>
              <w:widowControl/>
              <w:rPr>
                <w:spacing w:val="-2"/>
                <w:szCs w:val="22"/>
              </w:rPr>
            </w:pPr>
          </w:p>
          <w:p w:rsidR="00C8740B" w:rsidRDefault="00C8740B" w:rsidP="00DE53E7">
            <w:pPr>
              <w:widowControl/>
              <w:ind w:left="702"/>
              <w:rPr>
                <w:spacing w:val="-2"/>
                <w:szCs w:val="22"/>
              </w:rPr>
            </w:pPr>
          </w:p>
          <w:p w:rsidR="00C8740B" w:rsidRDefault="00C8740B" w:rsidP="00C8740B">
            <w:pPr>
              <w:widowControl/>
              <w:ind w:left="432"/>
              <w:rPr>
                <w:szCs w:val="22"/>
              </w:rPr>
            </w:pPr>
            <w:r w:rsidRPr="000B1850">
              <w:rPr>
                <w:szCs w:val="22"/>
              </w:rPr>
              <w:t>File No.:  EB-FIELDSCR-12-</w:t>
            </w:r>
            <w:r w:rsidR="008C5207" w:rsidRPr="00050FF7">
              <w:rPr>
                <w:szCs w:val="22"/>
              </w:rPr>
              <w:t>00004486</w:t>
            </w:r>
          </w:p>
          <w:p w:rsidR="0056024D" w:rsidRPr="000B1850" w:rsidRDefault="0056024D" w:rsidP="00C8740B">
            <w:pPr>
              <w:widowControl/>
              <w:ind w:left="432"/>
              <w:rPr>
                <w:szCs w:val="22"/>
              </w:rPr>
            </w:pPr>
            <w:r>
              <w:rPr>
                <w:szCs w:val="22"/>
              </w:rPr>
              <w:t>File No.:  EB-FIELDNER-12-00004796</w:t>
            </w:r>
          </w:p>
          <w:p w:rsidR="00C8740B" w:rsidRPr="00BB31D7" w:rsidRDefault="00C8740B" w:rsidP="00C8740B">
            <w:pPr>
              <w:widowControl/>
              <w:tabs>
                <w:tab w:val="left" w:pos="432"/>
              </w:tabs>
              <w:rPr>
                <w:szCs w:val="22"/>
              </w:rPr>
            </w:pPr>
            <w:r w:rsidRPr="00BB31D7">
              <w:rPr>
                <w:szCs w:val="22"/>
              </w:rPr>
              <w:t xml:space="preserve">        NAL/Acct. No</w:t>
            </w:r>
            <w:r w:rsidRPr="00BB31D7">
              <w:rPr>
                <w:color w:val="000000"/>
                <w:szCs w:val="22"/>
              </w:rPr>
              <w:t xml:space="preserve">.:  </w:t>
            </w:r>
            <w:r w:rsidRPr="0098606F">
              <w:rPr>
                <w:color w:val="000000"/>
                <w:szCs w:val="22"/>
              </w:rPr>
              <w:t>201</w:t>
            </w:r>
            <w:r w:rsidR="00AE7DF3">
              <w:rPr>
                <w:color w:val="000000"/>
                <w:szCs w:val="22"/>
              </w:rPr>
              <w:t>3</w:t>
            </w:r>
            <w:r w:rsidR="00F0351A">
              <w:rPr>
                <w:color w:val="000000"/>
                <w:szCs w:val="22"/>
              </w:rPr>
              <w:t>326</w:t>
            </w:r>
            <w:r w:rsidR="002B7D61">
              <w:rPr>
                <w:color w:val="000000"/>
                <w:szCs w:val="22"/>
              </w:rPr>
              <w:t>0</w:t>
            </w:r>
            <w:r w:rsidR="00F0351A">
              <w:rPr>
                <w:color w:val="000000"/>
                <w:szCs w:val="22"/>
              </w:rPr>
              <w:t>0006</w:t>
            </w:r>
          </w:p>
          <w:p w:rsidR="00C8740B" w:rsidRPr="00C8740B" w:rsidRDefault="00C8740B" w:rsidP="00C8740B">
            <w:pPr>
              <w:widowControl/>
              <w:tabs>
                <w:tab w:val="left" w:pos="432"/>
              </w:tabs>
              <w:rPr>
                <w:szCs w:val="22"/>
                <w:lang w:val="es-ES"/>
              </w:rPr>
            </w:pPr>
            <w:r w:rsidRPr="00BB31D7">
              <w:rPr>
                <w:szCs w:val="22"/>
              </w:rPr>
              <w:t xml:space="preserve">        </w:t>
            </w:r>
            <w:r w:rsidRPr="000B1850">
              <w:rPr>
                <w:szCs w:val="22"/>
                <w:lang w:val="es-ES"/>
              </w:rPr>
              <w:t>FRN:  0015467749</w:t>
            </w:r>
          </w:p>
          <w:p w:rsidR="00C8740B" w:rsidRPr="002323A2" w:rsidRDefault="00C8740B" w:rsidP="00C5138C">
            <w:pPr>
              <w:widowControl/>
              <w:tabs>
                <w:tab w:val="center" w:pos="4680"/>
              </w:tabs>
              <w:suppressAutoHyphens/>
              <w:rPr>
                <w:spacing w:val="-2"/>
              </w:rPr>
            </w:pPr>
            <w:r w:rsidRPr="00233F10">
              <w:rPr>
                <w:color w:val="FF00FF"/>
                <w:szCs w:val="22"/>
                <w:lang w:val="es-ES"/>
              </w:rPr>
              <w:t xml:space="preserve">    </w:t>
            </w:r>
          </w:p>
        </w:tc>
      </w:tr>
      <w:tr w:rsidR="00C8740B" w:rsidRPr="002323A2">
        <w:tc>
          <w:tcPr>
            <w:tcW w:w="4698" w:type="dxa"/>
          </w:tcPr>
          <w:p w:rsidR="00C8740B" w:rsidRPr="00E34AAE" w:rsidRDefault="00C8740B" w:rsidP="00DE53E7">
            <w:pPr>
              <w:widowControl/>
              <w:rPr>
                <w:spacing w:val="-2"/>
                <w:szCs w:val="22"/>
              </w:rPr>
            </w:pPr>
          </w:p>
        </w:tc>
        <w:tc>
          <w:tcPr>
            <w:tcW w:w="630" w:type="dxa"/>
          </w:tcPr>
          <w:p w:rsidR="00C8740B" w:rsidRPr="00E34AAE" w:rsidRDefault="00C8740B" w:rsidP="00DE53E7">
            <w:pPr>
              <w:widowControl/>
              <w:tabs>
                <w:tab w:val="center" w:pos="4680"/>
              </w:tabs>
              <w:suppressAutoHyphens/>
              <w:spacing w:line="240" w:lineRule="atLeast"/>
              <w:jc w:val="both"/>
              <w:outlineLvl w:val="0"/>
              <w:rPr>
                <w:szCs w:val="22"/>
              </w:rPr>
            </w:pPr>
          </w:p>
        </w:tc>
        <w:tc>
          <w:tcPr>
            <w:tcW w:w="4248" w:type="dxa"/>
          </w:tcPr>
          <w:p w:rsidR="00C8740B" w:rsidRDefault="00C8740B" w:rsidP="00DE53E7">
            <w:pPr>
              <w:widowControl/>
              <w:rPr>
                <w:spacing w:val="-2"/>
                <w:szCs w:val="22"/>
              </w:rPr>
            </w:pPr>
          </w:p>
        </w:tc>
      </w:tr>
    </w:tbl>
    <w:p w:rsidR="004C2EE3" w:rsidRPr="002323A2" w:rsidRDefault="004C2EE3" w:rsidP="00C5138C">
      <w:pPr>
        <w:widowControl/>
      </w:pPr>
    </w:p>
    <w:p w:rsidR="00841AB1" w:rsidRPr="002323A2" w:rsidRDefault="00015FE4" w:rsidP="00C5138C">
      <w:pPr>
        <w:pStyle w:val="StyleBoldCentered"/>
        <w:widowControl/>
        <w:rPr>
          <w:rFonts w:ascii="Times New Roman" w:hAnsi="Times New Roman"/>
        </w:rPr>
      </w:pPr>
      <w:r w:rsidRPr="002323A2">
        <w:rPr>
          <w:rFonts w:ascii="Times New Roman" w:hAnsi="Times New Roman"/>
        </w:rPr>
        <w:t>Notice of apparent liability for forfei</w:t>
      </w:r>
      <w:r w:rsidR="00251610" w:rsidRPr="002323A2">
        <w:rPr>
          <w:rFonts w:ascii="Times New Roman" w:hAnsi="Times New Roman"/>
        </w:rPr>
        <w:t>T</w:t>
      </w:r>
      <w:r w:rsidRPr="002323A2">
        <w:rPr>
          <w:rFonts w:ascii="Times New Roman" w:hAnsi="Times New Roman"/>
        </w:rPr>
        <w:t>ure</w:t>
      </w:r>
      <w:r w:rsidR="00251610" w:rsidRPr="002323A2">
        <w:rPr>
          <w:rFonts w:ascii="Times New Roman" w:hAnsi="Times New Roman"/>
        </w:rPr>
        <w:t xml:space="preserve"> </w:t>
      </w:r>
      <w:r w:rsidRPr="002323A2">
        <w:rPr>
          <w:rFonts w:ascii="Times New Roman" w:hAnsi="Times New Roman"/>
        </w:rPr>
        <w:t>and order</w:t>
      </w:r>
    </w:p>
    <w:p w:rsidR="004C2EE3" w:rsidRPr="002323A2" w:rsidRDefault="004C2EE3" w:rsidP="00C5138C">
      <w:pPr>
        <w:widowControl/>
        <w:tabs>
          <w:tab w:val="left" w:pos="-720"/>
        </w:tabs>
        <w:suppressAutoHyphens/>
        <w:spacing w:line="227" w:lineRule="auto"/>
        <w:rPr>
          <w:spacing w:val="-2"/>
        </w:rPr>
      </w:pPr>
    </w:p>
    <w:p w:rsidR="004C2EE3" w:rsidRPr="00892CC3" w:rsidRDefault="004C2EE3" w:rsidP="00C5138C">
      <w:pPr>
        <w:widowControl/>
        <w:tabs>
          <w:tab w:val="left" w:pos="720"/>
          <w:tab w:val="left" w:pos="5760"/>
        </w:tabs>
        <w:suppressAutoHyphens/>
        <w:spacing w:line="227" w:lineRule="auto"/>
        <w:rPr>
          <w:b/>
          <w:spacing w:val="-2"/>
        </w:rPr>
      </w:pPr>
      <w:r w:rsidRPr="002323A2">
        <w:rPr>
          <w:b/>
          <w:spacing w:val="-2"/>
        </w:rPr>
        <w:t xml:space="preserve">Adopted:  </w:t>
      </w:r>
      <w:r w:rsidR="00892CC3">
        <w:rPr>
          <w:b/>
          <w:spacing w:val="-2"/>
        </w:rPr>
        <w:t>August 5, 2013</w:t>
      </w:r>
      <w:r w:rsidRPr="002323A2">
        <w:rPr>
          <w:b/>
          <w:spacing w:val="-2"/>
        </w:rPr>
        <w:tab/>
      </w:r>
      <w:r w:rsidR="00822CE0" w:rsidRPr="002323A2">
        <w:rPr>
          <w:b/>
          <w:spacing w:val="-2"/>
        </w:rPr>
        <w:t>Released</w:t>
      </w:r>
      <w:r w:rsidRPr="002323A2">
        <w:rPr>
          <w:b/>
          <w:spacing w:val="-2"/>
        </w:rPr>
        <w:t>:</w:t>
      </w:r>
      <w:r w:rsidR="00822CE0" w:rsidRPr="002323A2">
        <w:rPr>
          <w:b/>
          <w:spacing w:val="-2"/>
        </w:rPr>
        <w:t xml:space="preserve"> </w:t>
      </w:r>
      <w:r w:rsidRPr="002323A2">
        <w:rPr>
          <w:b/>
          <w:spacing w:val="-2"/>
        </w:rPr>
        <w:t xml:space="preserve"> </w:t>
      </w:r>
      <w:r w:rsidR="00C903CB">
        <w:rPr>
          <w:b/>
          <w:spacing w:val="-2"/>
        </w:rPr>
        <w:t>August 6</w:t>
      </w:r>
      <w:r w:rsidR="00892CC3">
        <w:rPr>
          <w:b/>
          <w:spacing w:val="-2"/>
        </w:rPr>
        <w:t>, 2013</w:t>
      </w:r>
    </w:p>
    <w:p w:rsidR="00822CE0" w:rsidRPr="002323A2" w:rsidRDefault="00822CE0" w:rsidP="00C5138C">
      <w:pPr>
        <w:widowControl/>
      </w:pPr>
    </w:p>
    <w:p w:rsidR="004C2EE3" w:rsidRPr="002323A2" w:rsidRDefault="004C2EE3" w:rsidP="00C5138C">
      <w:pPr>
        <w:widowControl/>
        <w:rPr>
          <w:spacing w:val="-2"/>
        </w:rPr>
      </w:pPr>
      <w:r w:rsidRPr="002323A2">
        <w:t xml:space="preserve">By </w:t>
      </w:r>
      <w:r w:rsidR="004E4A22" w:rsidRPr="002323A2">
        <w:t>the</w:t>
      </w:r>
      <w:r w:rsidR="002A2D2E" w:rsidRPr="002323A2">
        <w:t xml:space="preserve"> </w:t>
      </w:r>
      <w:r w:rsidR="00015FE4" w:rsidRPr="002323A2">
        <w:rPr>
          <w:spacing w:val="-2"/>
        </w:rPr>
        <w:t>Commission</w:t>
      </w:r>
      <w:r w:rsidRPr="002323A2">
        <w:rPr>
          <w:spacing w:val="-2"/>
        </w:rPr>
        <w:t>:</w:t>
      </w:r>
    </w:p>
    <w:p w:rsidR="00107B85" w:rsidRPr="002323A2" w:rsidRDefault="00107B85" w:rsidP="00C5138C">
      <w:pPr>
        <w:widowControl/>
      </w:pPr>
    </w:p>
    <w:p w:rsidR="00412FC5" w:rsidRPr="002323A2" w:rsidRDefault="00015FE4" w:rsidP="00AE7279">
      <w:pPr>
        <w:pStyle w:val="Heading1"/>
        <w:widowControl/>
        <w:spacing w:after="220"/>
        <w:rPr>
          <w:rFonts w:ascii="Times New Roman" w:hAnsi="Times New Roman"/>
        </w:rPr>
      </w:pPr>
      <w:r w:rsidRPr="002323A2">
        <w:rPr>
          <w:rFonts w:ascii="Times New Roman" w:hAnsi="Times New Roman"/>
        </w:rPr>
        <w:t>introduction</w:t>
      </w:r>
    </w:p>
    <w:p w:rsidR="00015FE4" w:rsidRPr="002323A2" w:rsidRDefault="0006343E" w:rsidP="00AE7279">
      <w:pPr>
        <w:pStyle w:val="ParaNum"/>
        <w:widowControl/>
        <w:tabs>
          <w:tab w:val="clear" w:pos="1080"/>
          <w:tab w:val="num" w:pos="1440"/>
        </w:tabs>
        <w:spacing w:after="220"/>
      </w:pPr>
      <w:r>
        <w:t xml:space="preserve">This case involves repeated interference to </w:t>
      </w:r>
      <w:r w:rsidRPr="00071B69">
        <w:rPr>
          <w:spacing w:val="-2"/>
          <w:szCs w:val="22"/>
        </w:rPr>
        <w:t xml:space="preserve">the </w:t>
      </w:r>
      <w:r w:rsidRPr="00071B69">
        <w:rPr>
          <w:szCs w:val="22"/>
        </w:rPr>
        <w:t>Federal Aviation Administration’s (FAA) Terminal Doppler Weather Radar (TDWR) system</w:t>
      </w:r>
      <w:r>
        <w:rPr>
          <w:szCs w:val="22"/>
        </w:rPr>
        <w:t xml:space="preserve">s, which the FAA </w:t>
      </w:r>
      <w:r>
        <w:rPr>
          <w:spacing w:val="-2"/>
          <w:szCs w:val="22"/>
        </w:rPr>
        <w:t xml:space="preserve">uses to detect wind shear and other weather conditions near airports.  Interference to these systems is unacceptable and potentially life threatening.  Nevertheless, despite multiple warnings and prior enforcement actions, Towerstream Corporation </w:t>
      </w:r>
      <w:r w:rsidR="004D4BF1">
        <w:rPr>
          <w:spacing w:val="-2"/>
          <w:szCs w:val="22"/>
        </w:rPr>
        <w:t xml:space="preserve">(Towerstream) </w:t>
      </w:r>
      <w:r>
        <w:rPr>
          <w:spacing w:val="-2"/>
          <w:szCs w:val="22"/>
        </w:rPr>
        <w:t xml:space="preserve">has continued to generate such interference via its </w:t>
      </w:r>
      <w:r>
        <w:rPr>
          <w:szCs w:val="22"/>
        </w:rPr>
        <w:t xml:space="preserve">Unlicensed National Information Infrastructure (U-NII) transmission systems in New York and Florida.  </w:t>
      </w:r>
      <w:r w:rsidR="00015FE4" w:rsidRPr="004150C5">
        <w:t xml:space="preserve">In this Notice of Apparent Liability for Forfeiture and Order (NAL), we </w:t>
      </w:r>
      <w:r>
        <w:t xml:space="preserve">therefore </w:t>
      </w:r>
      <w:r w:rsidR="00015FE4" w:rsidRPr="004150C5">
        <w:t xml:space="preserve">find that </w:t>
      </w:r>
      <w:r w:rsidR="00C8740B">
        <w:t>Towerstream</w:t>
      </w:r>
      <w:r>
        <w:t xml:space="preserve"> </w:t>
      </w:r>
      <w:r w:rsidR="000A1E17">
        <w:rPr>
          <w:spacing w:val="-2"/>
          <w:szCs w:val="22"/>
        </w:rPr>
        <w:t>operated</w:t>
      </w:r>
      <w:r w:rsidR="000A1E17" w:rsidRPr="000B1850">
        <w:rPr>
          <w:spacing w:val="-2"/>
          <w:szCs w:val="22"/>
        </w:rPr>
        <w:t xml:space="preserve"> </w:t>
      </w:r>
      <w:r w:rsidR="000A1E17">
        <w:rPr>
          <w:spacing w:val="-2"/>
          <w:szCs w:val="22"/>
        </w:rPr>
        <w:t xml:space="preserve">radio transmitters without a license and caused harmful interference, in </w:t>
      </w:r>
      <w:r w:rsidR="00C8740B">
        <w:t xml:space="preserve">apparent willful and repeated </w:t>
      </w:r>
      <w:r w:rsidR="00C8740B" w:rsidRPr="000B1850">
        <w:rPr>
          <w:spacing w:val="-2"/>
          <w:szCs w:val="22"/>
        </w:rPr>
        <w:t>violat</w:t>
      </w:r>
      <w:r w:rsidR="000A1E17">
        <w:rPr>
          <w:spacing w:val="-2"/>
          <w:szCs w:val="22"/>
        </w:rPr>
        <w:t>ion of</w:t>
      </w:r>
      <w:r w:rsidR="00C8740B" w:rsidRPr="000B1850">
        <w:rPr>
          <w:spacing w:val="-2"/>
          <w:szCs w:val="22"/>
        </w:rPr>
        <w:t xml:space="preserve"> Section</w:t>
      </w:r>
      <w:r w:rsidR="00C8740B">
        <w:rPr>
          <w:spacing w:val="-2"/>
          <w:szCs w:val="22"/>
        </w:rPr>
        <w:t>s</w:t>
      </w:r>
      <w:r w:rsidR="00C8740B" w:rsidRPr="000B1850">
        <w:rPr>
          <w:spacing w:val="-2"/>
          <w:szCs w:val="22"/>
        </w:rPr>
        <w:t xml:space="preserve"> 301 </w:t>
      </w:r>
      <w:r w:rsidR="00C8740B">
        <w:rPr>
          <w:spacing w:val="-2"/>
          <w:szCs w:val="22"/>
        </w:rPr>
        <w:t xml:space="preserve">and 333 </w:t>
      </w:r>
      <w:r w:rsidR="00C8740B" w:rsidRPr="000B1850">
        <w:rPr>
          <w:spacing w:val="-2"/>
          <w:szCs w:val="22"/>
        </w:rPr>
        <w:t>of the Communications Act of 1934, as amended (Act)</w:t>
      </w:r>
      <w:r w:rsidR="000A1E17">
        <w:rPr>
          <w:spacing w:val="-2"/>
          <w:szCs w:val="22"/>
        </w:rPr>
        <w:t>.</w:t>
      </w:r>
      <w:r w:rsidR="00C8740B" w:rsidRPr="000B1850">
        <w:rPr>
          <w:rStyle w:val="FootnoteReference"/>
          <w:spacing w:val="-2"/>
          <w:szCs w:val="22"/>
        </w:rPr>
        <w:footnoteReference w:id="2"/>
      </w:r>
      <w:r w:rsidR="00C8740B">
        <w:rPr>
          <w:spacing w:val="-2"/>
          <w:szCs w:val="22"/>
        </w:rPr>
        <w:t xml:space="preserve"> </w:t>
      </w:r>
      <w:r>
        <w:rPr>
          <w:spacing w:val="-2"/>
          <w:szCs w:val="22"/>
        </w:rPr>
        <w:t xml:space="preserve"> </w:t>
      </w:r>
      <w:r w:rsidR="00C8740B" w:rsidRPr="000B1850">
        <w:rPr>
          <w:spacing w:val="-2"/>
          <w:szCs w:val="22"/>
        </w:rPr>
        <w:t>We conclude that Tower</w:t>
      </w:r>
      <w:r w:rsidR="00C8740B">
        <w:rPr>
          <w:spacing w:val="-2"/>
          <w:szCs w:val="22"/>
        </w:rPr>
        <w:t>s</w:t>
      </w:r>
      <w:r w:rsidR="00C8740B" w:rsidRPr="000B1850">
        <w:rPr>
          <w:spacing w:val="-2"/>
          <w:szCs w:val="22"/>
        </w:rPr>
        <w:t>tream</w:t>
      </w:r>
      <w:r w:rsidR="00C8740B">
        <w:t xml:space="preserve"> </w:t>
      </w:r>
      <w:r w:rsidR="00015FE4" w:rsidRPr="004150C5">
        <w:t xml:space="preserve">is apparently liable for a forfeiture in the amount of </w:t>
      </w:r>
      <w:r w:rsidR="00415556">
        <w:t xml:space="preserve">two hundred </w:t>
      </w:r>
      <w:r w:rsidR="00873E22">
        <w:t>and two</w:t>
      </w:r>
      <w:r w:rsidR="00F0537F">
        <w:t xml:space="preserve"> thousand </w:t>
      </w:r>
      <w:r w:rsidR="00015FE4" w:rsidRPr="004150C5">
        <w:t>dollars ($</w:t>
      </w:r>
      <w:r w:rsidR="00873E22">
        <w:t>202</w:t>
      </w:r>
      <w:r w:rsidR="00F0537F">
        <w:t>,000</w:t>
      </w:r>
      <w:r w:rsidR="00015FE4" w:rsidRPr="004150C5">
        <w:t xml:space="preserve">).  In addition, we direct </w:t>
      </w:r>
      <w:r w:rsidR="00C8740B">
        <w:t>Towerstream</w:t>
      </w:r>
      <w:r w:rsidR="00015FE4" w:rsidRPr="004150C5">
        <w:t xml:space="preserve"> to submit, no later than thirty (30) calendar days from the release date of this NAL, a statement signed under penalty of perjury that it is currently in compliance with the Commission’s </w:t>
      </w:r>
      <w:r w:rsidR="00C8740B">
        <w:t xml:space="preserve">U-NII </w:t>
      </w:r>
      <w:r w:rsidR="00015FE4" w:rsidRPr="002323A2">
        <w:t>rules</w:t>
      </w:r>
      <w:r w:rsidR="00C8740B">
        <w:t xml:space="preserve"> and directives</w:t>
      </w:r>
      <w:r w:rsidR="00015FE4" w:rsidRPr="002323A2">
        <w:t>.</w:t>
      </w:r>
    </w:p>
    <w:p w:rsidR="00015FE4" w:rsidRPr="009D23B9" w:rsidRDefault="00015FE4" w:rsidP="00AE7279">
      <w:pPr>
        <w:pStyle w:val="Heading1"/>
        <w:widowControl/>
        <w:spacing w:after="220"/>
        <w:rPr>
          <w:rFonts w:ascii="Times New Roman" w:hAnsi="Times New Roman"/>
        </w:rPr>
      </w:pPr>
      <w:r w:rsidRPr="009D23B9">
        <w:rPr>
          <w:rFonts w:ascii="Times New Roman" w:hAnsi="Times New Roman"/>
        </w:rPr>
        <w:t>Background</w:t>
      </w:r>
    </w:p>
    <w:p w:rsidR="00015FE4" w:rsidRPr="009D23B9" w:rsidRDefault="004D66DE" w:rsidP="00AE7279">
      <w:pPr>
        <w:pStyle w:val="Heading2"/>
      </w:pPr>
      <w:r w:rsidRPr="009D23B9">
        <w:t>Unlicensed National Information Infrastructure Systems</w:t>
      </w:r>
    </w:p>
    <w:p w:rsidR="00A2186D" w:rsidRPr="00050FF7" w:rsidRDefault="00A2186D" w:rsidP="00AE7279">
      <w:pPr>
        <w:pStyle w:val="ParaNum"/>
        <w:widowControl/>
        <w:tabs>
          <w:tab w:val="clear" w:pos="1080"/>
          <w:tab w:val="num" w:pos="1440"/>
        </w:tabs>
        <w:spacing w:after="220"/>
        <w:rPr>
          <w:color w:val="000000"/>
        </w:rPr>
      </w:pPr>
      <w:r w:rsidRPr="005767FA">
        <w:rPr>
          <w:spacing w:val="-3"/>
          <w:szCs w:val="22"/>
        </w:rPr>
        <w:t>Section</w:t>
      </w:r>
      <w:r w:rsidRPr="005767FA">
        <w:rPr>
          <w:spacing w:val="-2"/>
          <w:szCs w:val="22"/>
        </w:rPr>
        <w:t xml:space="preserve"> 301 of the Act states that no person shall use or operate any apparatus for the transmission of energy or communications or signals by radio within the United States, except under and in accordance with the Act and with a license granted under the provisions of the Act.</w:t>
      </w:r>
      <w:r w:rsidRPr="005767FA">
        <w:rPr>
          <w:rStyle w:val="FootnoteReference"/>
          <w:szCs w:val="22"/>
        </w:rPr>
        <w:footnoteReference w:id="3"/>
      </w:r>
      <w:r w:rsidRPr="005767FA">
        <w:rPr>
          <w:spacing w:val="-2"/>
          <w:szCs w:val="22"/>
        </w:rPr>
        <w:t xml:space="preserve">  </w:t>
      </w:r>
      <w:r w:rsidRPr="005767FA">
        <w:rPr>
          <w:color w:val="000000"/>
          <w:szCs w:val="22"/>
        </w:rPr>
        <w:t>Part 15 of the Rules, however, allows devices employing relatively low-level ra</w:t>
      </w:r>
      <w:r w:rsidR="004178D9">
        <w:rPr>
          <w:color w:val="000000"/>
          <w:szCs w:val="22"/>
        </w:rPr>
        <w:t xml:space="preserve">diofrequency </w:t>
      </w:r>
      <w:r w:rsidR="004D4BF1">
        <w:rPr>
          <w:color w:val="000000"/>
          <w:szCs w:val="22"/>
        </w:rPr>
        <w:t xml:space="preserve">(RF) </w:t>
      </w:r>
      <w:r w:rsidR="004178D9">
        <w:rPr>
          <w:color w:val="000000"/>
          <w:szCs w:val="22"/>
        </w:rPr>
        <w:t>signals to operate</w:t>
      </w:r>
      <w:r w:rsidRPr="005767FA">
        <w:rPr>
          <w:color w:val="000000"/>
          <w:szCs w:val="22"/>
        </w:rPr>
        <w:t xml:space="preserve"> without individual licenses, as long as their operation causes no harmful interference to licensed services and the </w:t>
      </w:r>
      <w:r w:rsidRPr="005767FA">
        <w:rPr>
          <w:color w:val="000000"/>
          <w:szCs w:val="22"/>
        </w:rPr>
        <w:lastRenderedPageBreak/>
        <w:t>devices do not generate emissions or field strength levels greater than a specified limit.</w:t>
      </w:r>
      <w:r w:rsidRPr="005767FA">
        <w:rPr>
          <w:rStyle w:val="FootnoteReference"/>
          <w:color w:val="000000"/>
          <w:szCs w:val="22"/>
        </w:rPr>
        <w:footnoteReference w:id="4"/>
      </w:r>
      <w:r w:rsidRPr="005767FA">
        <w:rPr>
          <w:color w:val="000000"/>
          <w:szCs w:val="22"/>
        </w:rPr>
        <w:t xml:space="preserve">  </w:t>
      </w:r>
      <w:r w:rsidR="00017595" w:rsidRPr="005767FA">
        <w:rPr>
          <w:color w:val="000000"/>
          <w:szCs w:val="22"/>
        </w:rPr>
        <w:t>In the event a Part 15 device causes harmful interference, the operator must cease operations upon notification by a Commission representative, and such operations shall not resume until the interference can be resolved.</w:t>
      </w:r>
      <w:r w:rsidR="00017595" w:rsidRPr="005767FA">
        <w:rPr>
          <w:rStyle w:val="FootnoteReference"/>
          <w:szCs w:val="22"/>
        </w:rPr>
        <w:footnoteReference w:id="5"/>
      </w:r>
      <w:r w:rsidR="00874B91" w:rsidRPr="005767FA">
        <w:rPr>
          <w:color w:val="000000"/>
          <w:szCs w:val="22"/>
        </w:rPr>
        <w:t xml:space="preserve">  </w:t>
      </w:r>
    </w:p>
    <w:p w:rsidR="008645AC" w:rsidRPr="00821DD0" w:rsidRDefault="002C1BE1" w:rsidP="00AE7279">
      <w:pPr>
        <w:pStyle w:val="ParaNum"/>
        <w:widowControl/>
        <w:tabs>
          <w:tab w:val="clear" w:pos="1080"/>
          <w:tab w:val="num" w:pos="1440"/>
        </w:tabs>
        <w:spacing w:after="220"/>
        <w:rPr>
          <w:color w:val="000000"/>
        </w:rPr>
      </w:pPr>
      <w:r>
        <w:rPr>
          <w:color w:val="000000"/>
          <w:szCs w:val="22"/>
        </w:rPr>
        <w:t>In 2003</w:t>
      </w:r>
      <w:r w:rsidR="00D86429">
        <w:rPr>
          <w:color w:val="000000"/>
          <w:szCs w:val="22"/>
        </w:rPr>
        <w:t xml:space="preserve">, the Commission </w:t>
      </w:r>
      <w:r w:rsidR="00B87EF7">
        <w:rPr>
          <w:color w:val="000000"/>
          <w:szCs w:val="22"/>
        </w:rPr>
        <w:t xml:space="preserve">allocated additional spectrum for unlicensed use in the 5 GHz </w:t>
      </w:r>
      <w:r w:rsidR="00CE1BF7">
        <w:rPr>
          <w:color w:val="000000"/>
          <w:szCs w:val="22"/>
        </w:rPr>
        <w:t xml:space="preserve">band </w:t>
      </w:r>
      <w:r w:rsidR="00B87EF7">
        <w:rPr>
          <w:color w:val="000000"/>
          <w:szCs w:val="22"/>
        </w:rPr>
        <w:t xml:space="preserve">and </w:t>
      </w:r>
      <w:r w:rsidR="00D86429">
        <w:rPr>
          <w:color w:val="000000"/>
          <w:szCs w:val="22"/>
        </w:rPr>
        <w:t>established the Unlicensed National Information Infrastructure (U</w:t>
      </w:r>
      <w:r w:rsidR="0052438E">
        <w:rPr>
          <w:color w:val="000000"/>
          <w:szCs w:val="22"/>
        </w:rPr>
        <w:t>-</w:t>
      </w:r>
      <w:r w:rsidR="00D86429">
        <w:rPr>
          <w:color w:val="000000"/>
          <w:szCs w:val="22"/>
        </w:rPr>
        <w:t xml:space="preserve">NII) service to facilitate the deployment of </w:t>
      </w:r>
      <w:r w:rsidR="00B87EF7">
        <w:rPr>
          <w:color w:val="000000"/>
          <w:szCs w:val="22"/>
        </w:rPr>
        <w:t xml:space="preserve">competitive </w:t>
      </w:r>
      <w:r w:rsidR="00D86429">
        <w:rPr>
          <w:color w:val="000000"/>
          <w:szCs w:val="22"/>
        </w:rPr>
        <w:t>wireless broadband services.</w:t>
      </w:r>
      <w:r>
        <w:rPr>
          <w:rStyle w:val="FootnoteReference"/>
          <w:szCs w:val="22"/>
        </w:rPr>
        <w:footnoteReference w:id="6"/>
      </w:r>
      <w:r w:rsidR="00D86429">
        <w:rPr>
          <w:color w:val="000000"/>
          <w:szCs w:val="22"/>
        </w:rPr>
        <w:t xml:space="preserve">  </w:t>
      </w:r>
      <w:r w:rsidR="00B87EF7">
        <w:rPr>
          <w:color w:val="000000"/>
          <w:szCs w:val="22"/>
        </w:rPr>
        <w:t>Since then, U-NII devices have played a significant role in meeting the demand for wireless broadband services, particularly by providing wireless local area networking and broadband access.</w:t>
      </w:r>
      <w:r w:rsidR="00B87EF7">
        <w:rPr>
          <w:rStyle w:val="FootnoteReference"/>
          <w:szCs w:val="22"/>
        </w:rPr>
        <w:footnoteReference w:id="7"/>
      </w:r>
      <w:r w:rsidR="00B87EF7">
        <w:rPr>
          <w:color w:val="000000"/>
          <w:szCs w:val="22"/>
        </w:rPr>
        <w:t xml:space="preserve">  U-NII </w:t>
      </w:r>
      <w:r w:rsidR="00D86429">
        <w:rPr>
          <w:color w:val="000000"/>
          <w:szCs w:val="22"/>
        </w:rPr>
        <w:t>providers are authorized to oper</w:t>
      </w:r>
      <w:r>
        <w:rPr>
          <w:color w:val="000000"/>
          <w:szCs w:val="22"/>
        </w:rPr>
        <w:t>ate radio transmitters in the 5.15-5.35 GHz, 5.47-5.725 GHz, and 5.725-5.825 GHz</w:t>
      </w:r>
      <w:r w:rsidR="00D86429">
        <w:rPr>
          <w:color w:val="000000"/>
          <w:szCs w:val="22"/>
        </w:rPr>
        <w:t xml:space="preserve"> bands </w:t>
      </w:r>
      <w:r w:rsidR="00B87EF7">
        <w:rPr>
          <w:color w:val="000000"/>
          <w:szCs w:val="22"/>
        </w:rPr>
        <w:t xml:space="preserve">on an unlicensed basis, but must comply with </w:t>
      </w:r>
      <w:r w:rsidR="00D86429">
        <w:rPr>
          <w:color w:val="000000"/>
          <w:szCs w:val="22"/>
        </w:rPr>
        <w:t>technical rules specific to U</w:t>
      </w:r>
      <w:r w:rsidR="0052438E">
        <w:rPr>
          <w:color w:val="000000"/>
          <w:szCs w:val="22"/>
        </w:rPr>
        <w:t>-</w:t>
      </w:r>
      <w:r w:rsidR="00D86429">
        <w:rPr>
          <w:color w:val="000000"/>
          <w:szCs w:val="22"/>
        </w:rPr>
        <w:t>NII devices to prevent interference</w:t>
      </w:r>
      <w:r w:rsidR="002900DE">
        <w:rPr>
          <w:color w:val="000000"/>
          <w:szCs w:val="22"/>
        </w:rPr>
        <w:t>.</w:t>
      </w:r>
      <w:r>
        <w:rPr>
          <w:rStyle w:val="FootnoteReference"/>
          <w:szCs w:val="22"/>
        </w:rPr>
        <w:footnoteReference w:id="8"/>
      </w:r>
      <w:r w:rsidR="002900DE">
        <w:rPr>
          <w:color w:val="000000"/>
          <w:szCs w:val="22"/>
        </w:rPr>
        <w:t xml:space="preserve">  </w:t>
      </w:r>
      <w:r w:rsidR="007C351A">
        <w:rPr>
          <w:color w:val="000000"/>
          <w:szCs w:val="22"/>
        </w:rPr>
        <w:t>Moreover, a</w:t>
      </w:r>
      <w:r w:rsidR="00D01D94">
        <w:rPr>
          <w:color w:val="000000"/>
          <w:szCs w:val="22"/>
        </w:rPr>
        <w:t xml:space="preserve">s </w:t>
      </w:r>
      <w:r w:rsidR="007C351A">
        <w:rPr>
          <w:color w:val="000000"/>
          <w:szCs w:val="22"/>
        </w:rPr>
        <w:t xml:space="preserve">described above, as </w:t>
      </w:r>
      <w:r w:rsidR="00D01D94">
        <w:rPr>
          <w:color w:val="000000"/>
          <w:szCs w:val="22"/>
        </w:rPr>
        <w:t>Part 15 device</w:t>
      </w:r>
      <w:r w:rsidR="003D0F0B">
        <w:rPr>
          <w:color w:val="000000"/>
          <w:szCs w:val="22"/>
        </w:rPr>
        <w:t>s</w:t>
      </w:r>
      <w:r w:rsidR="00D01D94">
        <w:rPr>
          <w:color w:val="000000"/>
          <w:szCs w:val="22"/>
        </w:rPr>
        <w:t>, U-NII operator</w:t>
      </w:r>
      <w:r w:rsidR="003D0F0B">
        <w:rPr>
          <w:color w:val="000000"/>
          <w:szCs w:val="22"/>
        </w:rPr>
        <w:t>s</w:t>
      </w:r>
      <w:r w:rsidR="00D01D94">
        <w:rPr>
          <w:color w:val="000000"/>
          <w:szCs w:val="22"/>
        </w:rPr>
        <w:t xml:space="preserve"> must cease operations upon notification </w:t>
      </w:r>
      <w:r w:rsidR="003D0F0B">
        <w:rPr>
          <w:color w:val="000000"/>
          <w:szCs w:val="22"/>
        </w:rPr>
        <w:t>of</w:t>
      </w:r>
      <w:r w:rsidR="00D01D94">
        <w:rPr>
          <w:color w:val="000000"/>
          <w:szCs w:val="22"/>
        </w:rPr>
        <w:t xml:space="preserve"> harmful interference</w:t>
      </w:r>
      <w:r w:rsidR="007C351A">
        <w:rPr>
          <w:color w:val="000000"/>
          <w:szCs w:val="22"/>
        </w:rPr>
        <w:t xml:space="preserve"> and not resume operations until the interference can be resolved</w:t>
      </w:r>
      <w:r w:rsidR="00D86429">
        <w:rPr>
          <w:color w:val="000000"/>
          <w:szCs w:val="22"/>
        </w:rPr>
        <w:t>.</w:t>
      </w:r>
      <w:r w:rsidR="00D01D94">
        <w:rPr>
          <w:rStyle w:val="FootnoteReference"/>
          <w:szCs w:val="22"/>
        </w:rPr>
        <w:footnoteReference w:id="9"/>
      </w:r>
      <w:r w:rsidR="00D86429">
        <w:rPr>
          <w:color w:val="000000"/>
          <w:szCs w:val="22"/>
        </w:rPr>
        <w:t xml:space="preserve">  </w:t>
      </w:r>
      <w:r w:rsidR="00A45435">
        <w:rPr>
          <w:color w:val="000000"/>
          <w:szCs w:val="22"/>
        </w:rPr>
        <w:t xml:space="preserve">Any operation of a U-NII device that </w:t>
      </w:r>
      <w:r w:rsidR="007C351A">
        <w:rPr>
          <w:color w:val="000000"/>
          <w:szCs w:val="22"/>
        </w:rPr>
        <w:t xml:space="preserve">is </w:t>
      </w:r>
      <w:r w:rsidR="004D66DE" w:rsidRPr="007004CE">
        <w:rPr>
          <w:color w:val="000000"/>
          <w:szCs w:val="22"/>
        </w:rPr>
        <w:t xml:space="preserve">inconsistent with the Part 15 Rules </w:t>
      </w:r>
      <w:r w:rsidR="004D66DE">
        <w:rPr>
          <w:color w:val="000000"/>
          <w:szCs w:val="22"/>
        </w:rPr>
        <w:t>requires a license pursuant to S</w:t>
      </w:r>
      <w:r w:rsidR="004D66DE" w:rsidRPr="007004CE">
        <w:rPr>
          <w:color w:val="000000"/>
          <w:szCs w:val="22"/>
        </w:rPr>
        <w:t>ection 301 of the Act.</w:t>
      </w:r>
      <w:r w:rsidR="00A2186D">
        <w:rPr>
          <w:rStyle w:val="FootnoteReference"/>
          <w:szCs w:val="22"/>
        </w:rPr>
        <w:footnoteReference w:id="10"/>
      </w:r>
      <w:r w:rsidR="00401D41">
        <w:rPr>
          <w:color w:val="000000"/>
          <w:szCs w:val="22"/>
        </w:rPr>
        <w:t xml:space="preserve">   </w:t>
      </w:r>
      <w:r w:rsidR="004D66DE" w:rsidRPr="007004CE">
        <w:rPr>
          <w:color w:val="000000"/>
          <w:szCs w:val="22"/>
        </w:rPr>
        <w:t xml:space="preserve">  </w:t>
      </w:r>
    </w:p>
    <w:p w:rsidR="00E45E96" w:rsidRPr="00B601C9" w:rsidRDefault="005463E0" w:rsidP="00AE7279">
      <w:pPr>
        <w:pStyle w:val="ParaNum"/>
        <w:widowControl/>
        <w:tabs>
          <w:tab w:val="clear" w:pos="1080"/>
          <w:tab w:val="num" w:pos="1440"/>
        </w:tabs>
        <w:spacing w:after="220"/>
      </w:pPr>
      <w:r>
        <w:rPr>
          <w:color w:val="000000"/>
          <w:szCs w:val="22"/>
        </w:rPr>
        <w:t xml:space="preserve">In addition, such unlicensed operations </w:t>
      </w:r>
      <w:r w:rsidR="0039253C">
        <w:rPr>
          <w:color w:val="000000"/>
          <w:szCs w:val="22"/>
        </w:rPr>
        <w:t>could</w:t>
      </w:r>
      <w:r>
        <w:rPr>
          <w:color w:val="000000"/>
          <w:szCs w:val="22"/>
        </w:rPr>
        <w:t xml:space="preserve"> violate Section 333 of the Act.</w:t>
      </w:r>
      <w:r>
        <w:rPr>
          <w:rStyle w:val="FootnoteReference"/>
          <w:szCs w:val="22"/>
        </w:rPr>
        <w:footnoteReference w:id="11"/>
      </w:r>
      <w:r>
        <w:rPr>
          <w:color w:val="000000"/>
          <w:szCs w:val="22"/>
        </w:rPr>
        <w:t xml:space="preserve">  That provision </w:t>
      </w:r>
      <w:r w:rsidR="00A2186D" w:rsidRPr="00405A3C">
        <w:rPr>
          <w:spacing w:val="-2"/>
          <w:szCs w:val="22"/>
        </w:rPr>
        <w:t xml:space="preserve">states </w:t>
      </w:r>
      <w:r w:rsidR="00A2186D" w:rsidRPr="00A2186D">
        <w:rPr>
          <w:szCs w:val="22"/>
        </w:rPr>
        <w:t>that</w:t>
      </w:r>
      <w:r w:rsidR="00A2186D" w:rsidRPr="00405A3C">
        <w:rPr>
          <w:spacing w:val="-2"/>
          <w:szCs w:val="22"/>
        </w:rPr>
        <w:t xml:space="preserve"> “[n]o person shall willfully or maliciously interfere with or cause interference to any radio communications of any station licensed or authorized by or under this chapter or operated by the United States Government.”</w:t>
      </w:r>
      <w:r w:rsidR="00A2186D">
        <w:rPr>
          <w:rStyle w:val="FootnoteReference"/>
          <w:szCs w:val="22"/>
        </w:rPr>
        <w:footnoteReference w:id="12"/>
      </w:r>
      <w:r w:rsidR="00A2186D">
        <w:rPr>
          <w:spacing w:val="-2"/>
          <w:szCs w:val="22"/>
        </w:rPr>
        <w:t xml:space="preserve">  </w:t>
      </w:r>
      <w:r w:rsidR="00257D6E">
        <w:rPr>
          <w:spacing w:val="-2"/>
          <w:szCs w:val="22"/>
        </w:rPr>
        <w:t xml:space="preserve">According to </w:t>
      </w:r>
      <w:r w:rsidR="00257D6E">
        <w:rPr>
          <w:color w:val="000000"/>
          <w:szCs w:val="22"/>
          <w:shd w:val="clear" w:color="auto" w:fill="FFFFFF"/>
        </w:rPr>
        <w:t>t</w:t>
      </w:r>
      <w:r w:rsidR="00A2186D" w:rsidRPr="002F3095">
        <w:rPr>
          <w:color w:val="000000"/>
          <w:szCs w:val="22"/>
          <w:shd w:val="clear" w:color="auto" w:fill="FFFFFF"/>
        </w:rPr>
        <w:t xml:space="preserve">he legislative history for </w:t>
      </w:r>
      <w:r w:rsidR="00A2186D">
        <w:rPr>
          <w:color w:val="000000"/>
          <w:szCs w:val="22"/>
          <w:shd w:val="clear" w:color="auto" w:fill="FFFFFF"/>
        </w:rPr>
        <w:t>S</w:t>
      </w:r>
      <w:r w:rsidR="00A2186D" w:rsidRPr="009A2038">
        <w:rPr>
          <w:color w:val="000000"/>
          <w:szCs w:val="22"/>
          <w:shd w:val="clear" w:color="auto" w:fill="FFFFFF"/>
        </w:rPr>
        <w:t>ection 333</w:t>
      </w:r>
      <w:r w:rsidR="00257D6E">
        <w:rPr>
          <w:color w:val="000000"/>
          <w:szCs w:val="22"/>
          <w:shd w:val="clear" w:color="auto" w:fill="FFFFFF"/>
        </w:rPr>
        <w:t>,</w:t>
      </w:r>
      <w:r w:rsidR="00A2186D">
        <w:rPr>
          <w:color w:val="000000"/>
          <w:szCs w:val="22"/>
          <w:shd w:val="clear" w:color="auto" w:fill="FFFFFF"/>
        </w:rPr>
        <w:t xml:space="preserve"> </w:t>
      </w:r>
      <w:r w:rsidR="00A2186D" w:rsidRPr="009A2038">
        <w:rPr>
          <w:color w:val="000000"/>
          <w:szCs w:val="22"/>
          <w:shd w:val="clear" w:color="auto" w:fill="FFFFFF"/>
        </w:rPr>
        <w:t xml:space="preserve">willful and malicious interference </w:t>
      </w:r>
      <w:r w:rsidR="00C60ED1">
        <w:rPr>
          <w:color w:val="000000"/>
          <w:szCs w:val="22"/>
          <w:shd w:val="clear" w:color="auto" w:fill="FFFFFF"/>
        </w:rPr>
        <w:t xml:space="preserve">includes such activities </w:t>
      </w:r>
      <w:r w:rsidR="00A2186D" w:rsidRPr="009A2038">
        <w:rPr>
          <w:color w:val="000000"/>
          <w:szCs w:val="22"/>
          <w:shd w:val="clear" w:color="auto" w:fill="FFFFFF"/>
        </w:rPr>
        <w:t>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bookmarkStart w:id="1" w:name="FN[FN11]"/>
      <w:bookmarkEnd w:id="1"/>
      <w:r w:rsidR="0056024D">
        <w:rPr>
          <w:rStyle w:val="FootnoteReference"/>
          <w:szCs w:val="22"/>
          <w:shd w:val="clear" w:color="auto" w:fill="FFFFFF"/>
        </w:rPr>
        <w:footnoteReference w:id="13"/>
      </w:r>
      <w:r w:rsidR="00A2186D" w:rsidRPr="002F3095">
        <w:rPr>
          <w:spacing w:val="-2"/>
          <w:szCs w:val="22"/>
        </w:rPr>
        <w:t xml:space="preserve"> </w:t>
      </w:r>
      <w:r w:rsidR="00A2186D">
        <w:rPr>
          <w:spacing w:val="-2"/>
          <w:szCs w:val="22"/>
        </w:rPr>
        <w:t xml:space="preserve"> </w:t>
      </w:r>
    </w:p>
    <w:p w:rsidR="00B601C9" w:rsidRPr="00874B91" w:rsidRDefault="00CE1BF7" w:rsidP="00AE7279">
      <w:pPr>
        <w:pStyle w:val="ParaNum"/>
        <w:widowControl/>
        <w:tabs>
          <w:tab w:val="clear" w:pos="1080"/>
          <w:tab w:val="num" w:pos="1440"/>
        </w:tabs>
        <w:spacing w:after="220"/>
      </w:pPr>
      <w:r>
        <w:rPr>
          <w:szCs w:val="22"/>
        </w:rPr>
        <w:t>T</w:t>
      </w:r>
      <w:r w:rsidR="005463E0">
        <w:rPr>
          <w:szCs w:val="22"/>
        </w:rPr>
        <w:t xml:space="preserve">he Commission </w:t>
      </w:r>
      <w:r>
        <w:rPr>
          <w:szCs w:val="22"/>
        </w:rPr>
        <w:t xml:space="preserve">recently </w:t>
      </w:r>
      <w:r w:rsidR="005463E0">
        <w:rPr>
          <w:szCs w:val="22"/>
        </w:rPr>
        <w:t xml:space="preserve">has </w:t>
      </w:r>
      <w:r w:rsidR="00A022EE">
        <w:rPr>
          <w:szCs w:val="22"/>
        </w:rPr>
        <w:t xml:space="preserve">dealt with a number of </w:t>
      </w:r>
      <w:r w:rsidR="005463E0">
        <w:rPr>
          <w:szCs w:val="22"/>
        </w:rPr>
        <w:t xml:space="preserve">situations in which U-NII devices have caused interference to </w:t>
      </w:r>
      <w:r w:rsidR="00B601C9" w:rsidRPr="00071B69">
        <w:rPr>
          <w:szCs w:val="22"/>
        </w:rPr>
        <w:t>Terminal Doppler Weather Radar</w:t>
      </w:r>
      <w:r w:rsidR="00B601C9">
        <w:rPr>
          <w:color w:val="000000"/>
          <w:szCs w:val="22"/>
        </w:rPr>
        <w:t xml:space="preserve"> (TDWR) </w:t>
      </w:r>
      <w:r w:rsidR="009D23B9">
        <w:rPr>
          <w:color w:val="000000"/>
          <w:szCs w:val="22"/>
        </w:rPr>
        <w:t>systems</w:t>
      </w:r>
      <w:r w:rsidR="005463E0">
        <w:rPr>
          <w:color w:val="000000"/>
          <w:szCs w:val="22"/>
        </w:rPr>
        <w:t>.</w:t>
      </w:r>
      <w:r w:rsidR="005463E0">
        <w:rPr>
          <w:rStyle w:val="FootnoteReference"/>
          <w:szCs w:val="22"/>
        </w:rPr>
        <w:footnoteReference w:id="14"/>
      </w:r>
      <w:r w:rsidR="005463E0">
        <w:rPr>
          <w:color w:val="000000"/>
          <w:szCs w:val="22"/>
        </w:rPr>
        <w:t xml:space="preserve">  TDWR systems </w:t>
      </w:r>
      <w:r w:rsidR="009D23B9">
        <w:rPr>
          <w:color w:val="000000"/>
          <w:szCs w:val="22"/>
        </w:rPr>
        <w:t>operat</w:t>
      </w:r>
      <w:r w:rsidR="005463E0">
        <w:rPr>
          <w:color w:val="000000"/>
          <w:szCs w:val="22"/>
        </w:rPr>
        <w:t>e</w:t>
      </w:r>
      <w:r w:rsidR="009D23B9">
        <w:rPr>
          <w:color w:val="000000"/>
          <w:szCs w:val="22"/>
        </w:rPr>
        <w:t xml:space="preserve"> in the 5</w:t>
      </w:r>
      <w:r w:rsidR="00D553AF">
        <w:rPr>
          <w:color w:val="000000"/>
          <w:szCs w:val="22"/>
        </w:rPr>
        <w:t>.</w:t>
      </w:r>
      <w:r w:rsidR="009D23B9">
        <w:rPr>
          <w:color w:val="000000"/>
          <w:szCs w:val="22"/>
        </w:rPr>
        <w:t>6</w:t>
      </w:r>
      <w:r w:rsidR="00EA2F72">
        <w:rPr>
          <w:color w:val="000000"/>
          <w:szCs w:val="22"/>
        </w:rPr>
        <w:t>-</w:t>
      </w:r>
      <w:r w:rsidR="009D23B9">
        <w:rPr>
          <w:color w:val="000000"/>
          <w:szCs w:val="22"/>
        </w:rPr>
        <w:t>5</w:t>
      </w:r>
      <w:r w:rsidR="00D553AF">
        <w:rPr>
          <w:color w:val="000000"/>
          <w:szCs w:val="22"/>
        </w:rPr>
        <w:t>.</w:t>
      </w:r>
      <w:r w:rsidR="009D23B9">
        <w:rPr>
          <w:color w:val="000000"/>
          <w:szCs w:val="22"/>
        </w:rPr>
        <w:t xml:space="preserve">65 </w:t>
      </w:r>
      <w:r w:rsidR="00D553AF">
        <w:rPr>
          <w:color w:val="000000"/>
          <w:szCs w:val="22"/>
        </w:rPr>
        <w:t>G</w:t>
      </w:r>
      <w:r w:rsidR="009D23B9">
        <w:rPr>
          <w:color w:val="000000"/>
          <w:szCs w:val="22"/>
        </w:rPr>
        <w:t xml:space="preserve">Hz </w:t>
      </w:r>
      <w:r>
        <w:rPr>
          <w:color w:val="000000"/>
          <w:szCs w:val="22"/>
        </w:rPr>
        <w:t>b</w:t>
      </w:r>
      <w:r w:rsidR="009D23B9">
        <w:rPr>
          <w:color w:val="000000"/>
          <w:szCs w:val="22"/>
        </w:rPr>
        <w:t>and</w:t>
      </w:r>
      <w:r w:rsidR="00B601C9">
        <w:rPr>
          <w:color w:val="000000"/>
          <w:szCs w:val="22"/>
        </w:rPr>
        <w:t xml:space="preserve"> at 45 major airports in </w:t>
      </w:r>
      <w:r w:rsidR="004A1303">
        <w:rPr>
          <w:color w:val="000000"/>
          <w:szCs w:val="22"/>
        </w:rPr>
        <w:t xml:space="preserve">the contiguous </w:t>
      </w:r>
      <w:r w:rsidR="00B601C9">
        <w:rPr>
          <w:color w:val="000000"/>
          <w:szCs w:val="22"/>
        </w:rPr>
        <w:t>United States and Puerto Rico and assist air traffic controllers in detecting low-altitude wind shear that can pose a risk to aircraft.</w:t>
      </w:r>
      <w:r w:rsidR="00B601C9">
        <w:rPr>
          <w:rStyle w:val="FootnoteReference"/>
          <w:color w:val="000000"/>
          <w:szCs w:val="22"/>
        </w:rPr>
        <w:footnoteReference w:id="15"/>
      </w:r>
      <w:r w:rsidR="00B601C9">
        <w:rPr>
          <w:color w:val="000000"/>
          <w:szCs w:val="22"/>
        </w:rPr>
        <w:t xml:space="preserve">  Cognizant of the need to avoid interference to the FAA’s TDWR installations, the Commission requires that U-NII devices operating in the 5.25</w:t>
      </w:r>
      <w:r w:rsidR="00EA2F72">
        <w:rPr>
          <w:color w:val="000000"/>
          <w:szCs w:val="22"/>
        </w:rPr>
        <w:t>-</w:t>
      </w:r>
      <w:r w:rsidR="00B601C9">
        <w:rPr>
          <w:color w:val="000000"/>
          <w:szCs w:val="22"/>
        </w:rPr>
        <w:t>5.35 GHz and 5.47</w:t>
      </w:r>
      <w:r w:rsidR="00EA2F72">
        <w:rPr>
          <w:color w:val="000000"/>
          <w:szCs w:val="22"/>
        </w:rPr>
        <w:t>-</w:t>
      </w:r>
      <w:r w:rsidR="00B601C9">
        <w:rPr>
          <w:color w:val="000000"/>
          <w:szCs w:val="22"/>
        </w:rPr>
        <w:t xml:space="preserve">5.725 GHz bands have Dynamic Frequency Selection (DFS) radar detection functionality, which allows them to detect the presence of </w:t>
      </w:r>
      <w:r w:rsidR="00B601C9">
        <w:rPr>
          <w:szCs w:val="22"/>
        </w:rPr>
        <w:t>radar systems and avoid co-channel operations with radar systems.</w:t>
      </w:r>
      <w:bookmarkStart w:id="2" w:name="_Ref350170644"/>
      <w:r w:rsidR="00B601C9">
        <w:rPr>
          <w:rStyle w:val="FootnoteReference"/>
          <w:color w:val="000000"/>
          <w:szCs w:val="22"/>
        </w:rPr>
        <w:footnoteReference w:id="16"/>
      </w:r>
      <w:bookmarkEnd w:id="2"/>
      <w:r w:rsidR="00B601C9">
        <w:rPr>
          <w:szCs w:val="22"/>
        </w:rPr>
        <w:t xml:space="preserve">  </w:t>
      </w:r>
      <w:r w:rsidR="00AE4609">
        <w:rPr>
          <w:szCs w:val="22"/>
        </w:rPr>
        <w:t>Nevertheless</w:t>
      </w:r>
      <w:r w:rsidR="00AE4609" w:rsidRPr="00B601C9">
        <w:rPr>
          <w:szCs w:val="22"/>
        </w:rPr>
        <w:t xml:space="preserve">, Enforcement Bureau Field Offices </w:t>
      </w:r>
      <w:r w:rsidR="00AE4609">
        <w:rPr>
          <w:szCs w:val="22"/>
        </w:rPr>
        <w:t xml:space="preserve">continue to </w:t>
      </w:r>
      <w:r>
        <w:rPr>
          <w:szCs w:val="22"/>
        </w:rPr>
        <w:t>encounter</w:t>
      </w:r>
      <w:r w:rsidR="00AE4609">
        <w:rPr>
          <w:szCs w:val="22"/>
        </w:rPr>
        <w:t xml:space="preserve"> </w:t>
      </w:r>
      <w:r w:rsidR="00AE4609" w:rsidRPr="00B601C9">
        <w:rPr>
          <w:szCs w:val="22"/>
        </w:rPr>
        <w:t>instances of interference to TDWR systems caused by U-NII devices located in close proximity to TDWR installations.</w:t>
      </w:r>
      <w:r w:rsidR="00AE4609">
        <w:rPr>
          <w:rStyle w:val="FootnoteReference"/>
          <w:szCs w:val="22"/>
        </w:rPr>
        <w:footnoteReference w:id="17"/>
      </w:r>
      <w:r w:rsidR="00AE4609" w:rsidRPr="00B601C9">
        <w:rPr>
          <w:szCs w:val="22"/>
        </w:rPr>
        <w:t xml:space="preserve">  </w:t>
      </w:r>
      <w:r>
        <w:rPr>
          <w:szCs w:val="22"/>
        </w:rPr>
        <w:t>Such interference poses a clear hazard to air traffic safety and requires aggressive enforcement.</w:t>
      </w:r>
    </w:p>
    <w:p w:rsidR="00874B91" w:rsidRPr="00B601C9" w:rsidRDefault="009D23B9" w:rsidP="00AE7279">
      <w:pPr>
        <w:pStyle w:val="Heading2"/>
      </w:pPr>
      <w:r>
        <w:t xml:space="preserve">Towerstream’s </w:t>
      </w:r>
      <w:r w:rsidR="00874B91">
        <w:t xml:space="preserve">History of </w:t>
      </w:r>
      <w:r w:rsidR="00874B91" w:rsidRPr="009D23B9">
        <w:t>Interference</w:t>
      </w:r>
    </w:p>
    <w:p w:rsidR="004178D9" w:rsidRDefault="004178D9" w:rsidP="007247A7">
      <w:pPr>
        <w:pStyle w:val="ParaNum"/>
        <w:widowControl/>
        <w:tabs>
          <w:tab w:val="clear" w:pos="1080"/>
          <w:tab w:val="num" w:pos="1440"/>
        </w:tabs>
        <w:spacing w:after="220"/>
      </w:pPr>
      <w:bookmarkStart w:id="3" w:name="_Ref354475861"/>
      <w:r>
        <w:t>According to its website, Towerstream provides “</w:t>
      </w:r>
      <w:r w:rsidRPr="004178D9">
        <w:t>advanced, high-speed Internet access to businesses in 12 markets, including New York City, Boston, Los Angeles, Chicago, the San Francisco Bay Area, Miami, Seattle, Dallas/Fort Worth, Philadelphia, Nashville, Las Vegas/Reno and the greater Providence area where the Company is based.</w:t>
      </w:r>
      <w:r>
        <w:t>”</w:t>
      </w:r>
      <w:r>
        <w:rPr>
          <w:rStyle w:val="FootnoteReference"/>
        </w:rPr>
        <w:footnoteReference w:id="18"/>
      </w:r>
      <w:r>
        <w:t xml:space="preserve">  “</w:t>
      </w:r>
      <w:r w:rsidRPr="004178D9">
        <w:rPr>
          <w:szCs w:val="22"/>
        </w:rPr>
        <w:t>The company owns, operates, and leases Wi-Fi and Small Cell rooftop tower locations to cellular phone operators, tower, Internet and cable companies and hosts a variety of customers on its network.</w:t>
      </w:r>
      <w:r>
        <w:t>”</w:t>
      </w:r>
      <w:r>
        <w:rPr>
          <w:rStyle w:val="FootnoteReference"/>
        </w:rPr>
        <w:footnoteReference w:id="19"/>
      </w:r>
      <w:r>
        <w:t xml:space="preserve">  </w:t>
      </w:r>
    </w:p>
    <w:p w:rsidR="00F033C4" w:rsidRPr="00B601C9" w:rsidRDefault="00AB7B92" w:rsidP="00D03743">
      <w:pPr>
        <w:pStyle w:val="ParaNum"/>
        <w:widowControl/>
        <w:tabs>
          <w:tab w:val="clear" w:pos="1080"/>
          <w:tab w:val="num" w:pos="1440"/>
        </w:tabs>
        <w:spacing w:after="220"/>
      </w:pPr>
      <w:r>
        <w:t>In 2009, t</w:t>
      </w:r>
      <w:r w:rsidR="00B601C9" w:rsidRPr="00B601C9">
        <w:t xml:space="preserve">he </w:t>
      </w:r>
      <w:r w:rsidR="000E5734" w:rsidRPr="00B601C9">
        <w:t xml:space="preserve">Enforcement Bureau </w:t>
      </w:r>
      <w:r>
        <w:t>began receiving complai</w:t>
      </w:r>
      <w:r w:rsidR="0008729E">
        <w:t>nts from FAA TDWR systems</w:t>
      </w:r>
      <w:r>
        <w:t xml:space="preserve"> </w:t>
      </w:r>
      <w:r w:rsidR="00E04A24">
        <w:t xml:space="preserve">about interference </w:t>
      </w:r>
      <w:r w:rsidR="0008729E">
        <w:t>caused by U-NII devices.  S</w:t>
      </w:r>
      <w:r>
        <w:t xml:space="preserve">everal </w:t>
      </w:r>
      <w:r w:rsidR="0008729E">
        <w:t xml:space="preserve">of those early investigations </w:t>
      </w:r>
      <w:r w:rsidR="001A2037" w:rsidRPr="00B601C9">
        <w:t>of harmful interference to TDWR systems involv</w:t>
      </w:r>
      <w:r w:rsidR="00D45720">
        <w:t>ed</w:t>
      </w:r>
      <w:r w:rsidR="001A2037" w:rsidRPr="00B601C9">
        <w:t xml:space="preserve"> </w:t>
      </w:r>
      <w:r w:rsidR="00DE677A" w:rsidRPr="00B601C9">
        <w:t>Towerstream</w:t>
      </w:r>
      <w:r w:rsidR="00B601C9">
        <w:t>’s U-NII devices</w:t>
      </w:r>
      <w:r w:rsidR="00FA7599" w:rsidRPr="00B601C9">
        <w:t>.  On June 29</w:t>
      </w:r>
      <w:r w:rsidR="000E5734" w:rsidRPr="00B601C9">
        <w:t>, 200</w:t>
      </w:r>
      <w:r w:rsidR="00874B91">
        <w:t xml:space="preserve">9, agents from the </w:t>
      </w:r>
      <w:r w:rsidR="00334898">
        <w:t xml:space="preserve">Enforcement Bureau’s </w:t>
      </w:r>
      <w:r w:rsidR="00874B91">
        <w:t>New York</w:t>
      </w:r>
      <w:r w:rsidR="000E5734" w:rsidRPr="00B601C9">
        <w:t xml:space="preserve"> </w:t>
      </w:r>
      <w:r w:rsidR="00334898">
        <w:t xml:space="preserve">Field </w:t>
      </w:r>
      <w:r w:rsidR="000E5734" w:rsidRPr="00B601C9">
        <w:t xml:space="preserve">Office found that Towerstream operated transmitters on </w:t>
      </w:r>
      <w:r w:rsidR="009D23B9">
        <w:t xml:space="preserve">or adjacent to 5.647 GHz </w:t>
      </w:r>
      <w:r w:rsidR="00334898">
        <w:t>from the Empire State Building</w:t>
      </w:r>
      <w:r w:rsidR="00334898" w:rsidRPr="00B601C9">
        <w:t xml:space="preserve"> </w:t>
      </w:r>
      <w:r w:rsidR="00334898">
        <w:t xml:space="preserve">that </w:t>
      </w:r>
      <w:r w:rsidR="00CE1BF7">
        <w:t>caused</w:t>
      </w:r>
      <w:r w:rsidR="00334898">
        <w:t xml:space="preserve"> </w:t>
      </w:r>
      <w:r w:rsidR="000E5734" w:rsidRPr="00B601C9">
        <w:t>interference to the TDWR system serving John F. Kennedy International Airport</w:t>
      </w:r>
      <w:r w:rsidR="00F033C4" w:rsidRPr="00B601C9">
        <w:t xml:space="preserve"> (JFK</w:t>
      </w:r>
      <w:r w:rsidR="00F96919">
        <w:t xml:space="preserve"> TDWR</w:t>
      </w:r>
      <w:r w:rsidR="00F033C4" w:rsidRPr="00B601C9">
        <w:t>)</w:t>
      </w:r>
      <w:r w:rsidR="000E5734" w:rsidRPr="00B601C9">
        <w:t xml:space="preserve">.  </w:t>
      </w:r>
      <w:r w:rsidR="006B2EAA" w:rsidRPr="00B601C9">
        <w:t xml:space="preserve">That same day, agents </w:t>
      </w:r>
      <w:r w:rsidR="00334898">
        <w:t xml:space="preserve">orally </w:t>
      </w:r>
      <w:r w:rsidR="006B2EAA" w:rsidRPr="00B601C9">
        <w:t xml:space="preserve">informed </w:t>
      </w:r>
      <w:r w:rsidR="000E5734" w:rsidRPr="00B601C9">
        <w:t>Towerstream o</w:t>
      </w:r>
      <w:r w:rsidR="00DE7B8B" w:rsidRPr="00B601C9">
        <w:t>f its unauthorized operation</w:t>
      </w:r>
      <w:r w:rsidR="008551C9" w:rsidRPr="00B601C9">
        <w:t xml:space="preserve">s and </w:t>
      </w:r>
      <w:r w:rsidR="006B2EAA" w:rsidRPr="00B601C9">
        <w:t>interference</w:t>
      </w:r>
      <w:r w:rsidR="00426B76" w:rsidRPr="00B601C9">
        <w:t xml:space="preserve"> and advised </w:t>
      </w:r>
      <w:r w:rsidR="00334898">
        <w:t xml:space="preserve">the company </w:t>
      </w:r>
      <w:r w:rsidR="00B87357" w:rsidRPr="00B601C9">
        <w:t xml:space="preserve">not </w:t>
      </w:r>
      <w:r w:rsidR="00426B76" w:rsidRPr="00B601C9">
        <w:t>to operate in the 5</w:t>
      </w:r>
      <w:r w:rsidR="00D553AF">
        <w:t>.</w:t>
      </w:r>
      <w:r w:rsidR="00426B76" w:rsidRPr="00B601C9">
        <w:t>59-5</w:t>
      </w:r>
      <w:r w:rsidR="00D553AF">
        <w:t>.</w:t>
      </w:r>
      <w:r w:rsidR="00426B76" w:rsidRPr="00B601C9">
        <w:t xml:space="preserve">677 </w:t>
      </w:r>
      <w:r w:rsidR="00D553AF">
        <w:t>G</w:t>
      </w:r>
      <w:r w:rsidR="00426B76" w:rsidRPr="00B601C9">
        <w:t>Hz band</w:t>
      </w:r>
      <w:r w:rsidR="00D553AF">
        <w:rPr>
          <w:rStyle w:val="FootnoteReference"/>
        </w:rPr>
        <w:footnoteReference w:id="20"/>
      </w:r>
      <w:r w:rsidR="001A2037" w:rsidRPr="00B601C9">
        <w:t xml:space="preserve"> </w:t>
      </w:r>
      <w:r w:rsidR="00B601C9">
        <w:t xml:space="preserve">from </w:t>
      </w:r>
      <w:r w:rsidR="00334898">
        <w:t xml:space="preserve">the </w:t>
      </w:r>
      <w:r w:rsidR="00B601C9">
        <w:t>Empire State Building</w:t>
      </w:r>
      <w:r w:rsidR="00D5092D" w:rsidRPr="00B601C9">
        <w:t xml:space="preserve"> to avoid interference to the </w:t>
      </w:r>
      <w:r w:rsidR="003C122E" w:rsidRPr="00B601C9">
        <w:t>TDWRs serving</w:t>
      </w:r>
      <w:r w:rsidR="00D24FB3" w:rsidRPr="00B601C9">
        <w:t xml:space="preserve"> </w:t>
      </w:r>
      <w:r w:rsidR="003C122E" w:rsidRPr="00B601C9">
        <w:t>JFK and Newark Liberty International</w:t>
      </w:r>
      <w:r w:rsidR="00D24FB3" w:rsidRPr="00B601C9">
        <w:t xml:space="preserve"> </w:t>
      </w:r>
      <w:r w:rsidR="003C122E" w:rsidRPr="00B601C9">
        <w:t>Airport</w:t>
      </w:r>
      <w:r w:rsidR="00D24FB3" w:rsidRPr="00B601C9">
        <w:t xml:space="preserve">.  </w:t>
      </w:r>
      <w:r w:rsidR="001463AC" w:rsidRPr="00B601C9">
        <w:t xml:space="preserve">On </w:t>
      </w:r>
      <w:r w:rsidR="00BB52BE" w:rsidRPr="00B601C9">
        <w:t>July 22, 2009</w:t>
      </w:r>
      <w:r w:rsidR="001463AC" w:rsidRPr="00B601C9">
        <w:t xml:space="preserve">, the New York Office </w:t>
      </w:r>
      <w:r w:rsidR="00D03743">
        <w:t>follow</w:t>
      </w:r>
      <w:r w:rsidR="004D4BF1">
        <w:t>ed</w:t>
      </w:r>
      <w:r w:rsidR="00D03743">
        <w:t xml:space="preserve"> up with </w:t>
      </w:r>
      <w:r w:rsidR="001463AC" w:rsidRPr="00B601C9">
        <w:t>Towerstream</w:t>
      </w:r>
      <w:r w:rsidR="00D03743">
        <w:t xml:space="preserve"> by issuing</w:t>
      </w:r>
      <w:r w:rsidR="001463AC" w:rsidRPr="00B601C9">
        <w:t xml:space="preserve"> a Notification of Harmful Interference informing it that its operations on 5.647 GHz were causing harmful interference and must cease until the interference t</w:t>
      </w:r>
      <w:r w:rsidR="001A2037" w:rsidRPr="00B601C9">
        <w:t xml:space="preserve">o the </w:t>
      </w:r>
      <w:r w:rsidR="00F96919">
        <w:t xml:space="preserve">JFK </w:t>
      </w:r>
      <w:r w:rsidR="001A2037" w:rsidRPr="00B601C9">
        <w:t>TDWR could be</w:t>
      </w:r>
      <w:r w:rsidR="001463AC" w:rsidRPr="00B601C9">
        <w:t xml:space="preserve"> resolved.</w:t>
      </w:r>
      <w:r w:rsidR="001463AC">
        <w:rPr>
          <w:rStyle w:val="FootnoteReference"/>
          <w:szCs w:val="22"/>
        </w:rPr>
        <w:footnoteReference w:id="21"/>
      </w:r>
      <w:bookmarkEnd w:id="3"/>
      <w:r w:rsidR="001463AC" w:rsidRPr="00B601C9">
        <w:t xml:space="preserve">  </w:t>
      </w:r>
    </w:p>
    <w:p w:rsidR="00A227D7" w:rsidRPr="00A227D7" w:rsidRDefault="00A227D7" w:rsidP="00AE7279">
      <w:pPr>
        <w:pStyle w:val="ParaNum"/>
        <w:widowControl/>
        <w:tabs>
          <w:tab w:val="clear" w:pos="1080"/>
          <w:tab w:val="num" w:pos="1440"/>
        </w:tabs>
        <w:spacing w:after="220"/>
        <w:rPr>
          <w:szCs w:val="22"/>
        </w:rPr>
      </w:pPr>
      <w:r>
        <w:t>On September 17, 2009, the Chicago Office of the Enforcement Bureau determined that Towerstream’s U-NII devices at the AON Center in Chicago were the source of interference to the TDWR system</w:t>
      </w:r>
      <w:r w:rsidR="000B393A">
        <w:t>s</w:t>
      </w:r>
      <w:r>
        <w:t xml:space="preserve"> serving Midway </w:t>
      </w:r>
      <w:r w:rsidR="00EA2F72">
        <w:t>and O’</w:t>
      </w:r>
      <w:r w:rsidR="000B393A">
        <w:t xml:space="preserve">Hare </w:t>
      </w:r>
      <w:r>
        <w:t>Airport</w:t>
      </w:r>
      <w:r w:rsidR="000B393A">
        <w:t>s</w:t>
      </w:r>
      <w:r>
        <w:t xml:space="preserve">.  The Chicago Office issued an oral warning to Towerstream the next day and the interference to Midway </w:t>
      </w:r>
      <w:r w:rsidR="00EA2F72">
        <w:t>and O’</w:t>
      </w:r>
      <w:r w:rsidR="000B393A">
        <w:t xml:space="preserve">Hare </w:t>
      </w:r>
      <w:r>
        <w:t>Airport</w:t>
      </w:r>
      <w:r w:rsidR="000B393A">
        <w:t>s</w:t>
      </w:r>
      <w:r>
        <w:t xml:space="preserve"> ceased</w:t>
      </w:r>
      <w:r w:rsidR="000B393A">
        <w:t xml:space="preserve"> after the company retuned its equipment</w:t>
      </w:r>
      <w:r>
        <w:t>.</w:t>
      </w:r>
      <w:r w:rsidRPr="00A227D7">
        <w:rPr>
          <w:rStyle w:val="FootnoteReference"/>
          <w:szCs w:val="22"/>
        </w:rPr>
        <w:t xml:space="preserve"> </w:t>
      </w:r>
      <w:r>
        <w:rPr>
          <w:rStyle w:val="FootnoteReference"/>
          <w:szCs w:val="22"/>
        </w:rPr>
        <w:footnoteReference w:id="22"/>
      </w:r>
    </w:p>
    <w:p w:rsidR="00AE7279" w:rsidRDefault="00671E65" w:rsidP="00AE7279">
      <w:pPr>
        <w:pStyle w:val="ParaNum"/>
        <w:widowControl/>
        <w:tabs>
          <w:tab w:val="clear" w:pos="1080"/>
          <w:tab w:val="num" w:pos="1440"/>
        </w:tabs>
        <w:spacing w:after="220"/>
        <w:rPr>
          <w:szCs w:val="22"/>
        </w:rPr>
      </w:pPr>
      <w:r w:rsidRPr="00AE7279">
        <w:rPr>
          <w:szCs w:val="22"/>
        </w:rPr>
        <w:t xml:space="preserve">On September 21, 2009, agents from the </w:t>
      </w:r>
      <w:r w:rsidR="00E81707" w:rsidRPr="00AE7279">
        <w:rPr>
          <w:szCs w:val="22"/>
        </w:rPr>
        <w:t xml:space="preserve">Enforcement Bureau’s </w:t>
      </w:r>
      <w:r w:rsidRPr="00AE7279">
        <w:rPr>
          <w:szCs w:val="22"/>
        </w:rPr>
        <w:t xml:space="preserve">Miami </w:t>
      </w:r>
      <w:r w:rsidR="00E81707" w:rsidRPr="00AE7279">
        <w:rPr>
          <w:szCs w:val="22"/>
        </w:rPr>
        <w:t xml:space="preserve">Field </w:t>
      </w:r>
      <w:r w:rsidRPr="00AE7279">
        <w:rPr>
          <w:szCs w:val="22"/>
        </w:rPr>
        <w:t>Office determined that Towerstream’s U-NII devices at the Wachov</w:t>
      </w:r>
      <w:r w:rsidR="00666A54" w:rsidRPr="00AE7279">
        <w:rPr>
          <w:szCs w:val="22"/>
        </w:rPr>
        <w:t>i</w:t>
      </w:r>
      <w:r w:rsidRPr="00AE7279">
        <w:rPr>
          <w:szCs w:val="22"/>
        </w:rPr>
        <w:t xml:space="preserve">a Financial Center (currently Southeast Financial Center) in Miami, Florida </w:t>
      </w:r>
      <w:r w:rsidR="00A45435">
        <w:rPr>
          <w:szCs w:val="22"/>
        </w:rPr>
        <w:t xml:space="preserve">were </w:t>
      </w:r>
      <w:r w:rsidR="00CE1BF7" w:rsidRPr="00AE7279">
        <w:rPr>
          <w:szCs w:val="22"/>
        </w:rPr>
        <w:t xml:space="preserve">causing </w:t>
      </w:r>
      <w:r w:rsidRPr="00AE7279">
        <w:rPr>
          <w:szCs w:val="22"/>
        </w:rPr>
        <w:t xml:space="preserve">interference to the TDWR system serving </w:t>
      </w:r>
      <w:r w:rsidR="00B601C9" w:rsidRPr="00AE7279">
        <w:rPr>
          <w:szCs w:val="22"/>
        </w:rPr>
        <w:t>Miami International Airport (Miami TDWR</w:t>
      </w:r>
      <w:r w:rsidRPr="00AE7279">
        <w:rPr>
          <w:szCs w:val="22"/>
        </w:rPr>
        <w:t>).</w:t>
      </w:r>
      <w:r w:rsidR="00164C33" w:rsidRPr="00AE7279">
        <w:rPr>
          <w:szCs w:val="22"/>
        </w:rPr>
        <w:t xml:space="preserve">  Agents from the Miami Office spoke to Towerstream via telephone and in person and notified the</w:t>
      </w:r>
      <w:r w:rsidR="00E81707" w:rsidRPr="00AE7279">
        <w:rPr>
          <w:szCs w:val="22"/>
        </w:rPr>
        <w:t xml:space="preserve"> company</w:t>
      </w:r>
      <w:r w:rsidR="00164C33" w:rsidRPr="00AE7279">
        <w:rPr>
          <w:szCs w:val="22"/>
        </w:rPr>
        <w:t xml:space="preserve"> of the interference.  </w:t>
      </w:r>
      <w:r w:rsidR="00D75E3E" w:rsidRPr="00AE7279">
        <w:rPr>
          <w:szCs w:val="22"/>
        </w:rPr>
        <w:t>On September 22, 2009, a</w:t>
      </w:r>
      <w:r w:rsidR="00415AC0" w:rsidRPr="00AE7279">
        <w:rPr>
          <w:szCs w:val="22"/>
        </w:rPr>
        <w:t xml:space="preserve">gents </w:t>
      </w:r>
      <w:r w:rsidR="00D75E3E" w:rsidRPr="00AE7279">
        <w:rPr>
          <w:szCs w:val="22"/>
        </w:rPr>
        <w:t xml:space="preserve">from the Miami Office </w:t>
      </w:r>
      <w:r w:rsidR="00415AC0" w:rsidRPr="00AE7279">
        <w:rPr>
          <w:szCs w:val="22"/>
        </w:rPr>
        <w:t>provided Towerstream with the</w:t>
      </w:r>
      <w:r w:rsidR="00D24FB3" w:rsidRPr="00AE7279">
        <w:rPr>
          <w:szCs w:val="22"/>
        </w:rPr>
        <w:t xml:space="preserve"> frequencies of the TDWRs serving </w:t>
      </w:r>
      <w:r w:rsidR="00B601C9" w:rsidRPr="00AE7279">
        <w:rPr>
          <w:szCs w:val="22"/>
        </w:rPr>
        <w:t>the Miami</w:t>
      </w:r>
      <w:r w:rsidR="00415AC0" w:rsidRPr="00AE7279">
        <w:rPr>
          <w:szCs w:val="22"/>
        </w:rPr>
        <w:t xml:space="preserve"> and F</w:t>
      </w:r>
      <w:r w:rsidR="00D24FB3" w:rsidRPr="00AE7279">
        <w:rPr>
          <w:szCs w:val="22"/>
        </w:rPr>
        <w:t xml:space="preserve">ort </w:t>
      </w:r>
      <w:r w:rsidR="00415AC0" w:rsidRPr="00AE7279">
        <w:rPr>
          <w:szCs w:val="22"/>
        </w:rPr>
        <w:t>L</w:t>
      </w:r>
      <w:r w:rsidR="00D24FB3" w:rsidRPr="00AE7279">
        <w:rPr>
          <w:szCs w:val="22"/>
        </w:rPr>
        <w:t>auderdale-Hollywood International Airport</w:t>
      </w:r>
      <w:r w:rsidR="00B601C9" w:rsidRPr="00AE7279">
        <w:rPr>
          <w:szCs w:val="22"/>
        </w:rPr>
        <w:t>s</w:t>
      </w:r>
      <w:r w:rsidR="00D24FB3" w:rsidRPr="00AE7279">
        <w:rPr>
          <w:szCs w:val="22"/>
        </w:rPr>
        <w:t xml:space="preserve"> </w:t>
      </w:r>
      <w:r w:rsidR="00415AC0" w:rsidRPr="00AE7279">
        <w:rPr>
          <w:szCs w:val="22"/>
        </w:rPr>
        <w:t>and warned the</w:t>
      </w:r>
      <w:r w:rsidR="00E81707" w:rsidRPr="00AE7279">
        <w:rPr>
          <w:szCs w:val="22"/>
        </w:rPr>
        <w:t xml:space="preserve"> company</w:t>
      </w:r>
      <w:r w:rsidR="00415AC0" w:rsidRPr="00AE7279">
        <w:rPr>
          <w:szCs w:val="22"/>
        </w:rPr>
        <w:t xml:space="preserve"> that </w:t>
      </w:r>
      <w:r w:rsidR="00AE7DF3" w:rsidRPr="00AE7279">
        <w:rPr>
          <w:szCs w:val="22"/>
        </w:rPr>
        <w:t xml:space="preserve">to avoid future interference, </w:t>
      </w:r>
      <w:r w:rsidR="00E81707" w:rsidRPr="00AE7279">
        <w:rPr>
          <w:szCs w:val="22"/>
        </w:rPr>
        <w:t xml:space="preserve">it </w:t>
      </w:r>
      <w:r w:rsidR="00415AC0" w:rsidRPr="00AE7279">
        <w:rPr>
          <w:szCs w:val="22"/>
        </w:rPr>
        <w:t xml:space="preserve">must </w:t>
      </w:r>
      <w:r w:rsidR="00AE7DF3" w:rsidRPr="00AE7279">
        <w:rPr>
          <w:szCs w:val="22"/>
        </w:rPr>
        <w:t xml:space="preserve">ensure that the band edges of </w:t>
      </w:r>
      <w:r w:rsidR="00E81707" w:rsidRPr="00AE7279">
        <w:rPr>
          <w:szCs w:val="22"/>
        </w:rPr>
        <w:t xml:space="preserve">its </w:t>
      </w:r>
      <w:r w:rsidR="00AE7DF3" w:rsidRPr="00AE7279">
        <w:rPr>
          <w:szCs w:val="22"/>
        </w:rPr>
        <w:t xml:space="preserve">U-NII signals </w:t>
      </w:r>
      <w:r w:rsidR="00E81707" w:rsidRPr="00AE7279">
        <w:rPr>
          <w:szCs w:val="22"/>
        </w:rPr>
        <w:t>we</w:t>
      </w:r>
      <w:r w:rsidR="00AE7DF3" w:rsidRPr="00AE7279">
        <w:rPr>
          <w:szCs w:val="22"/>
        </w:rPr>
        <w:t>re at</w:t>
      </w:r>
      <w:r w:rsidR="009E7652" w:rsidRPr="00AE7279">
        <w:rPr>
          <w:szCs w:val="22"/>
        </w:rPr>
        <w:t xml:space="preserve"> least 25 MHz away from </w:t>
      </w:r>
      <w:r w:rsidR="00AE7DF3" w:rsidRPr="00AE7279">
        <w:rPr>
          <w:szCs w:val="22"/>
        </w:rPr>
        <w:t xml:space="preserve">each of the </w:t>
      </w:r>
      <w:r w:rsidR="009E7652" w:rsidRPr="00AE7279">
        <w:rPr>
          <w:szCs w:val="22"/>
        </w:rPr>
        <w:t>TDWR</w:t>
      </w:r>
      <w:r w:rsidR="00AE7DF3" w:rsidRPr="00AE7279">
        <w:rPr>
          <w:szCs w:val="22"/>
        </w:rPr>
        <w:t>’s</w:t>
      </w:r>
      <w:r w:rsidR="009E7652" w:rsidRPr="00AE7279">
        <w:rPr>
          <w:szCs w:val="22"/>
        </w:rPr>
        <w:t xml:space="preserve"> </w:t>
      </w:r>
      <w:r w:rsidR="00AE7DF3" w:rsidRPr="00AE7279">
        <w:rPr>
          <w:szCs w:val="22"/>
        </w:rPr>
        <w:t xml:space="preserve">center </w:t>
      </w:r>
      <w:r w:rsidR="009E7652" w:rsidRPr="00AE7279">
        <w:rPr>
          <w:szCs w:val="22"/>
        </w:rPr>
        <w:t>frequenc</w:t>
      </w:r>
      <w:r w:rsidR="00AE7DF3" w:rsidRPr="00AE7279">
        <w:rPr>
          <w:szCs w:val="22"/>
        </w:rPr>
        <w:t>ies</w:t>
      </w:r>
      <w:r w:rsidR="00341783" w:rsidRPr="00AE7279">
        <w:rPr>
          <w:szCs w:val="22"/>
        </w:rPr>
        <w:t>.</w:t>
      </w:r>
      <w:r w:rsidR="00164C33" w:rsidRPr="00AE7279">
        <w:rPr>
          <w:szCs w:val="22"/>
        </w:rPr>
        <w:t xml:space="preserve"> </w:t>
      </w:r>
      <w:r w:rsidRPr="00AE7279">
        <w:rPr>
          <w:szCs w:val="22"/>
        </w:rPr>
        <w:t xml:space="preserve"> </w:t>
      </w:r>
      <w:r w:rsidR="006B2EAA" w:rsidRPr="00AE7279">
        <w:rPr>
          <w:szCs w:val="22"/>
        </w:rPr>
        <w:t xml:space="preserve">  </w:t>
      </w:r>
    </w:p>
    <w:p w:rsidR="004A15A7" w:rsidRPr="00AE7279" w:rsidRDefault="006B2EAA" w:rsidP="00AE7279">
      <w:pPr>
        <w:pStyle w:val="ParaNum"/>
        <w:widowControl/>
        <w:tabs>
          <w:tab w:val="clear" w:pos="1080"/>
          <w:tab w:val="num" w:pos="1440"/>
        </w:tabs>
        <w:spacing w:after="220"/>
        <w:rPr>
          <w:szCs w:val="22"/>
        </w:rPr>
      </w:pPr>
      <w:r w:rsidRPr="00AE7279">
        <w:rPr>
          <w:szCs w:val="22"/>
        </w:rPr>
        <w:t xml:space="preserve">On October 29, 2009, agents from the Miami Office </w:t>
      </w:r>
      <w:r w:rsidR="001A2037" w:rsidRPr="00AE7279">
        <w:rPr>
          <w:szCs w:val="22"/>
        </w:rPr>
        <w:t>observed</w:t>
      </w:r>
      <w:r w:rsidRPr="00AE7279">
        <w:rPr>
          <w:szCs w:val="22"/>
        </w:rPr>
        <w:t xml:space="preserve"> that Towerstream</w:t>
      </w:r>
      <w:r w:rsidR="009D23B9" w:rsidRPr="00AE7279">
        <w:rPr>
          <w:szCs w:val="22"/>
        </w:rPr>
        <w:t>’s</w:t>
      </w:r>
      <w:r w:rsidRPr="00AE7279">
        <w:rPr>
          <w:szCs w:val="22"/>
        </w:rPr>
        <w:t xml:space="preserve"> transmitters </w:t>
      </w:r>
      <w:r w:rsidR="009D23B9" w:rsidRPr="00AE7279">
        <w:rPr>
          <w:szCs w:val="22"/>
        </w:rPr>
        <w:t xml:space="preserve">operating </w:t>
      </w:r>
      <w:r w:rsidRPr="00AE7279">
        <w:rPr>
          <w:szCs w:val="22"/>
        </w:rPr>
        <w:t>on U-NII frequencies from 121 Alhambra Plaza in Coral Gables, Florida</w:t>
      </w:r>
      <w:r w:rsidR="009D23B9" w:rsidRPr="00AE7279">
        <w:rPr>
          <w:szCs w:val="22"/>
        </w:rPr>
        <w:t xml:space="preserve"> were </w:t>
      </w:r>
      <w:r w:rsidRPr="00AE7279">
        <w:rPr>
          <w:szCs w:val="22"/>
        </w:rPr>
        <w:t xml:space="preserve">causing interference to the </w:t>
      </w:r>
      <w:r w:rsidR="00B601C9" w:rsidRPr="00AE7279">
        <w:rPr>
          <w:szCs w:val="22"/>
        </w:rPr>
        <w:t>TDWR installat</w:t>
      </w:r>
      <w:r w:rsidR="00477C96">
        <w:rPr>
          <w:szCs w:val="22"/>
        </w:rPr>
        <w:t>ion serving the Fort Lauderdale</w:t>
      </w:r>
      <w:r w:rsidR="00EA2F72">
        <w:rPr>
          <w:szCs w:val="22"/>
        </w:rPr>
        <w:t>-</w:t>
      </w:r>
      <w:r w:rsidR="002216F2" w:rsidRPr="00AE7279">
        <w:rPr>
          <w:szCs w:val="22"/>
        </w:rPr>
        <w:t>Hollywood International Airport (Fort Lauderdale</w:t>
      </w:r>
      <w:r w:rsidR="00D24FB3" w:rsidRPr="00AE7279">
        <w:rPr>
          <w:szCs w:val="22"/>
        </w:rPr>
        <w:t xml:space="preserve"> </w:t>
      </w:r>
      <w:r w:rsidRPr="00AE7279">
        <w:rPr>
          <w:szCs w:val="22"/>
        </w:rPr>
        <w:t>TDWR</w:t>
      </w:r>
      <w:r w:rsidR="002216F2" w:rsidRPr="00AE7279">
        <w:rPr>
          <w:szCs w:val="22"/>
        </w:rPr>
        <w:t>)</w:t>
      </w:r>
      <w:r w:rsidR="00671E65" w:rsidRPr="00AE7279">
        <w:rPr>
          <w:szCs w:val="22"/>
        </w:rPr>
        <w:t>.</w:t>
      </w:r>
      <w:r w:rsidR="00D24FB3" w:rsidRPr="00AE7279">
        <w:rPr>
          <w:szCs w:val="22"/>
        </w:rPr>
        <w:t xml:space="preserve">  </w:t>
      </w:r>
      <w:r w:rsidRPr="00AE7279">
        <w:rPr>
          <w:szCs w:val="22"/>
        </w:rPr>
        <w:t>Several days later, an agent</w:t>
      </w:r>
      <w:r w:rsidR="00DE677A" w:rsidRPr="00AE7279">
        <w:rPr>
          <w:szCs w:val="22"/>
        </w:rPr>
        <w:t xml:space="preserve"> from the Miami Office informed Towerstream of</w:t>
      </w:r>
      <w:r w:rsidRPr="00AE7279">
        <w:rPr>
          <w:szCs w:val="22"/>
        </w:rPr>
        <w:t xml:space="preserve"> </w:t>
      </w:r>
      <w:r w:rsidR="00DE7B8B" w:rsidRPr="00AE7279">
        <w:rPr>
          <w:szCs w:val="22"/>
        </w:rPr>
        <w:t>its unauthorized operations</w:t>
      </w:r>
      <w:r w:rsidRPr="00AE7279">
        <w:rPr>
          <w:szCs w:val="22"/>
        </w:rPr>
        <w:t xml:space="preserve"> </w:t>
      </w:r>
      <w:r w:rsidR="00DE7B8B" w:rsidRPr="00AE7279">
        <w:rPr>
          <w:szCs w:val="22"/>
        </w:rPr>
        <w:t xml:space="preserve">and the </w:t>
      </w:r>
      <w:r w:rsidRPr="00AE7279">
        <w:rPr>
          <w:szCs w:val="22"/>
        </w:rPr>
        <w:t>interference</w:t>
      </w:r>
      <w:r w:rsidR="00DE7B8B" w:rsidRPr="00AE7279">
        <w:rPr>
          <w:szCs w:val="22"/>
        </w:rPr>
        <w:t>.</w:t>
      </w:r>
      <w:r w:rsidRPr="00AE7279">
        <w:rPr>
          <w:szCs w:val="22"/>
        </w:rPr>
        <w:t xml:space="preserve"> </w:t>
      </w:r>
      <w:r w:rsidR="00DE7B8B" w:rsidRPr="00AE7279">
        <w:rPr>
          <w:szCs w:val="22"/>
        </w:rPr>
        <w:t xml:space="preserve"> </w:t>
      </w:r>
      <w:r w:rsidRPr="00AE7279">
        <w:rPr>
          <w:szCs w:val="22"/>
        </w:rPr>
        <w:t xml:space="preserve">Towerstream later </w:t>
      </w:r>
      <w:r w:rsidR="00DE7B8B" w:rsidRPr="00AE7279">
        <w:rPr>
          <w:szCs w:val="22"/>
        </w:rPr>
        <w:t>replied</w:t>
      </w:r>
      <w:r w:rsidR="008551C9" w:rsidRPr="00AE7279">
        <w:rPr>
          <w:szCs w:val="22"/>
        </w:rPr>
        <w:t xml:space="preserve"> that it ha</w:t>
      </w:r>
      <w:r w:rsidR="00941595" w:rsidRPr="00AE7279">
        <w:rPr>
          <w:szCs w:val="22"/>
        </w:rPr>
        <w:t>d</w:t>
      </w:r>
      <w:r w:rsidRPr="00AE7279">
        <w:rPr>
          <w:szCs w:val="22"/>
        </w:rPr>
        <w:t xml:space="preserve"> “stayed away from </w:t>
      </w:r>
      <w:r w:rsidR="00D553AF">
        <w:rPr>
          <w:szCs w:val="22"/>
        </w:rPr>
        <w:t>[</w:t>
      </w:r>
      <w:r w:rsidRPr="00AE7279">
        <w:rPr>
          <w:szCs w:val="22"/>
        </w:rPr>
        <w:t>5</w:t>
      </w:r>
      <w:r w:rsidR="00D553AF">
        <w:rPr>
          <w:szCs w:val="22"/>
        </w:rPr>
        <w:t>.</w:t>
      </w:r>
      <w:r w:rsidRPr="00AE7279">
        <w:rPr>
          <w:szCs w:val="22"/>
        </w:rPr>
        <w:t>56-5</w:t>
      </w:r>
      <w:r w:rsidR="00D553AF">
        <w:rPr>
          <w:szCs w:val="22"/>
        </w:rPr>
        <w:t>.</w:t>
      </w:r>
      <w:r w:rsidRPr="00AE7279">
        <w:rPr>
          <w:szCs w:val="22"/>
        </w:rPr>
        <w:t>67</w:t>
      </w:r>
      <w:r w:rsidR="00D553AF">
        <w:rPr>
          <w:szCs w:val="22"/>
        </w:rPr>
        <w:t xml:space="preserve"> GHz]</w:t>
      </w:r>
      <w:r w:rsidRPr="00AE7279">
        <w:rPr>
          <w:szCs w:val="22"/>
        </w:rPr>
        <w:t xml:space="preserve"> center channels as agreed.”</w:t>
      </w:r>
      <w:bookmarkStart w:id="4" w:name="_Ref349295710"/>
      <w:r>
        <w:rPr>
          <w:rStyle w:val="FootnoteReference"/>
          <w:szCs w:val="22"/>
        </w:rPr>
        <w:footnoteReference w:id="23"/>
      </w:r>
      <w:bookmarkEnd w:id="4"/>
      <w:r w:rsidRPr="00AE7279">
        <w:rPr>
          <w:szCs w:val="22"/>
        </w:rPr>
        <w:t xml:space="preserve"> </w:t>
      </w:r>
      <w:r w:rsidR="00BC178C" w:rsidRPr="00AE7279">
        <w:rPr>
          <w:szCs w:val="22"/>
        </w:rPr>
        <w:t xml:space="preserve"> </w:t>
      </w:r>
    </w:p>
    <w:p w:rsidR="00DE7B8B" w:rsidRDefault="00AB59C0" w:rsidP="00AE7279">
      <w:pPr>
        <w:pStyle w:val="ParaNum"/>
        <w:widowControl/>
        <w:tabs>
          <w:tab w:val="clear" w:pos="1080"/>
          <w:tab w:val="num" w:pos="1440"/>
        </w:tabs>
        <w:spacing w:after="220"/>
        <w:rPr>
          <w:szCs w:val="22"/>
        </w:rPr>
      </w:pPr>
      <w:bookmarkStart w:id="5" w:name="_Ref354475867"/>
      <w:r>
        <w:rPr>
          <w:szCs w:val="22"/>
        </w:rPr>
        <w:t xml:space="preserve">Given </w:t>
      </w:r>
      <w:r w:rsidR="0035754C">
        <w:rPr>
          <w:szCs w:val="22"/>
        </w:rPr>
        <w:t xml:space="preserve">that agents from the Commission’s Field Offices determined </w:t>
      </w:r>
      <w:r w:rsidR="00612513">
        <w:rPr>
          <w:szCs w:val="22"/>
        </w:rPr>
        <w:t>four</w:t>
      </w:r>
      <w:r w:rsidR="0035754C">
        <w:rPr>
          <w:szCs w:val="22"/>
        </w:rPr>
        <w:t xml:space="preserve"> times in 2009 that Towerstream caused interference to TDWR installations, and issued </w:t>
      </w:r>
      <w:r w:rsidR="00CA500C">
        <w:rPr>
          <w:szCs w:val="22"/>
        </w:rPr>
        <w:t>verbal and/or written warnings</w:t>
      </w:r>
      <w:r w:rsidR="00A45435">
        <w:rPr>
          <w:szCs w:val="22"/>
        </w:rPr>
        <w:t>,</w:t>
      </w:r>
      <w:r>
        <w:rPr>
          <w:szCs w:val="22"/>
        </w:rPr>
        <w:t xml:space="preserve"> o</w:t>
      </w:r>
      <w:r w:rsidR="004A15A7">
        <w:rPr>
          <w:szCs w:val="22"/>
        </w:rPr>
        <w:t xml:space="preserve">n November 9, 2009, the </w:t>
      </w:r>
      <w:r w:rsidR="00874B91">
        <w:rPr>
          <w:szCs w:val="22"/>
        </w:rPr>
        <w:t>Enforcement Bureau</w:t>
      </w:r>
      <w:r w:rsidR="004A15A7">
        <w:rPr>
          <w:szCs w:val="22"/>
        </w:rPr>
        <w:t xml:space="preserve"> issued a Letter of Inquiry to </w:t>
      </w:r>
      <w:r>
        <w:rPr>
          <w:szCs w:val="22"/>
        </w:rPr>
        <w:t xml:space="preserve">the company </w:t>
      </w:r>
      <w:r w:rsidR="009D23B9">
        <w:rPr>
          <w:szCs w:val="22"/>
        </w:rPr>
        <w:t>seeking i</w:t>
      </w:r>
      <w:r w:rsidR="00E71BBE">
        <w:rPr>
          <w:szCs w:val="22"/>
        </w:rPr>
        <w:t xml:space="preserve">nformation on its </w:t>
      </w:r>
      <w:r w:rsidR="00D02A96">
        <w:rPr>
          <w:szCs w:val="22"/>
        </w:rPr>
        <w:t xml:space="preserve">internal </w:t>
      </w:r>
      <w:r w:rsidR="00E71BBE">
        <w:rPr>
          <w:szCs w:val="22"/>
        </w:rPr>
        <w:t xml:space="preserve">procedures to prevent </w:t>
      </w:r>
      <w:r w:rsidR="0035754C">
        <w:rPr>
          <w:szCs w:val="22"/>
        </w:rPr>
        <w:t xml:space="preserve">future </w:t>
      </w:r>
      <w:r w:rsidR="00E71BBE">
        <w:rPr>
          <w:szCs w:val="22"/>
        </w:rPr>
        <w:t>interference to TDWR systems</w:t>
      </w:r>
      <w:r w:rsidR="004A15A7">
        <w:rPr>
          <w:szCs w:val="22"/>
        </w:rPr>
        <w:t>.</w:t>
      </w:r>
      <w:bookmarkStart w:id="6" w:name="_Ref349296743"/>
      <w:r w:rsidR="004A15A7">
        <w:rPr>
          <w:rStyle w:val="FootnoteReference"/>
          <w:szCs w:val="22"/>
        </w:rPr>
        <w:footnoteReference w:id="24"/>
      </w:r>
      <w:bookmarkEnd w:id="6"/>
      <w:r w:rsidR="004A15A7">
        <w:rPr>
          <w:szCs w:val="22"/>
        </w:rPr>
        <w:t xml:space="preserve">  In response, Towerstream stated that “[a]t the request of FAA engineers and FCC field agents, Towerstream retuned its equipment to cease transmitting on certain specified frequencies in the New York, Chicago, Miami and Ft. Lauderdale markets.”</w:t>
      </w:r>
      <w:bookmarkStart w:id="7" w:name="_Ref349302704"/>
      <w:r w:rsidR="004A15A7">
        <w:rPr>
          <w:rStyle w:val="FootnoteReference"/>
          <w:szCs w:val="22"/>
        </w:rPr>
        <w:footnoteReference w:id="25"/>
      </w:r>
      <w:bookmarkEnd w:id="7"/>
      <w:r w:rsidR="004A15A7">
        <w:rPr>
          <w:szCs w:val="22"/>
        </w:rPr>
        <w:t xml:space="preserve">  Towerstream correctly listed the operating frequencies for the TDWRs serving Chicago, New York, and Miami</w:t>
      </w:r>
      <w:r w:rsidR="00100A5E">
        <w:rPr>
          <w:rStyle w:val="FootnoteReference"/>
          <w:szCs w:val="22"/>
        </w:rPr>
        <w:footnoteReference w:id="26"/>
      </w:r>
      <w:r w:rsidR="004A15A7">
        <w:rPr>
          <w:szCs w:val="22"/>
        </w:rPr>
        <w:t xml:space="preserve"> and stated that it </w:t>
      </w:r>
      <w:r>
        <w:rPr>
          <w:szCs w:val="22"/>
        </w:rPr>
        <w:t xml:space="preserve">would </w:t>
      </w:r>
      <w:r w:rsidR="004A15A7">
        <w:rPr>
          <w:szCs w:val="22"/>
        </w:rPr>
        <w:t>“configure its monitoring system to send Towerstream instantaneous alerts of frequency changes in all markets in which TDWRs exist, which will then be reviewed by a Towerstream engineer.  When such automated frequency changes appear to pose interference concerns, Towerstream will dispatch engineers to manually modify the frequency.”</w:t>
      </w:r>
      <w:bookmarkStart w:id="8" w:name="_Ref354501124"/>
      <w:r w:rsidR="004A15A7">
        <w:rPr>
          <w:rStyle w:val="FootnoteReference"/>
          <w:szCs w:val="22"/>
        </w:rPr>
        <w:footnoteReference w:id="27"/>
      </w:r>
      <w:bookmarkEnd w:id="8"/>
      <w:r w:rsidR="00821DD0">
        <w:rPr>
          <w:szCs w:val="22"/>
        </w:rPr>
        <w:t xml:space="preserve">  </w:t>
      </w:r>
      <w:bookmarkEnd w:id="5"/>
      <w:r w:rsidR="00874B91">
        <w:rPr>
          <w:szCs w:val="22"/>
        </w:rPr>
        <w:t>Satisfied</w:t>
      </w:r>
      <w:r w:rsidR="00E71BBE">
        <w:rPr>
          <w:szCs w:val="22"/>
        </w:rPr>
        <w:t xml:space="preserve"> </w:t>
      </w:r>
      <w:r w:rsidR="00874B91">
        <w:rPr>
          <w:szCs w:val="22"/>
        </w:rPr>
        <w:t xml:space="preserve">that </w:t>
      </w:r>
      <w:r w:rsidR="00E71BBE">
        <w:rPr>
          <w:szCs w:val="22"/>
        </w:rPr>
        <w:t>To</w:t>
      </w:r>
      <w:r w:rsidR="00874B91">
        <w:rPr>
          <w:szCs w:val="22"/>
        </w:rPr>
        <w:t xml:space="preserve">werstream’s </w:t>
      </w:r>
      <w:r w:rsidR="00100A5E">
        <w:rPr>
          <w:szCs w:val="22"/>
        </w:rPr>
        <w:t>pledge to avoid the frequencies adjacent to the TDWR systems</w:t>
      </w:r>
      <w:r w:rsidR="00DA1C41">
        <w:rPr>
          <w:szCs w:val="22"/>
        </w:rPr>
        <w:t xml:space="preserve"> and </w:t>
      </w:r>
      <w:r w:rsidR="00E04A24">
        <w:rPr>
          <w:szCs w:val="22"/>
        </w:rPr>
        <w:t xml:space="preserve">to </w:t>
      </w:r>
      <w:r w:rsidR="009D172F">
        <w:rPr>
          <w:szCs w:val="22"/>
        </w:rPr>
        <w:t>implement</w:t>
      </w:r>
      <w:r w:rsidR="00DA1C41">
        <w:rPr>
          <w:szCs w:val="22"/>
        </w:rPr>
        <w:t xml:space="preserve"> </w:t>
      </w:r>
      <w:r w:rsidR="00874B91">
        <w:rPr>
          <w:szCs w:val="22"/>
        </w:rPr>
        <w:t xml:space="preserve">procedures </w:t>
      </w:r>
      <w:r w:rsidR="00DA1C41">
        <w:rPr>
          <w:szCs w:val="22"/>
        </w:rPr>
        <w:t xml:space="preserve">to retune its frequencies should interference occur </w:t>
      </w:r>
      <w:r w:rsidR="00E04A24">
        <w:rPr>
          <w:szCs w:val="22"/>
        </w:rPr>
        <w:t xml:space="preserve">would be </w:t>
      </w:r>
      <w:r w:rsidR="00874B91">
        <w:rPr>
          <w:szCs w:val="22"/>
        </w:rPr>
        <w:t xml:space="preserve">sufficient to prevent </w:t>
      </w:r>
      <w:r w:rsidR="00E71BBE">
        <w:rPr>
          <w:szCs w:val="22"/>
        </w:rPr>
        <w:t xml:space="preserve">future </w:t>
      </w:r>
      <w:r w:rsidR="00874B91">
        <w:rPr>
          <w:szCs w:val="22"/>
        </w:rPr>
        <w:t xml:space="preserve">interference and </w:t>
      </w:r>
      <w:r w:rsidR="00E71BBE">
        <w:rPr>
          <w:szCs w:val="22"/>
        </w:rPr>
        <w:t xml:space="preserve">lacking any </w:t>
      </w:r>
      <w:r w:rsidR="00874B91">
        <w:rPr>
          <w:szCs w:val="22"/>
        </w:rPr>
        <w:t xml:space="preserve">evidence of </w:t>
      </w:r>
      <w:r w:rsidR="00E71BBE">
        <w:rPr>
          <w:szCs w:val="22"/>
        </w:rPr>
        <w:t xml:space="preserve">current </w:t>
      </w:r>
      <w:r w:rsidR="00874B91">
        <w:rPr>
          <w:szCs w:val="22"/>
        </w:rPr>
        <w:t xml:space="preserve">interference </w:t>
      </w:r>
      <w:r w:rsidR="00E71BBE">
        <w:rPr>
          <w:szCs w:val="22"/>
        </w:rPr>
        <w:t xml:space="preserve">to TDWR systems, the Enforcement Bureau closed the Towerstream investigations </w:t>
      </w:r>
      <w:r w:rsidR="00DA1C41">
        <w:rPr>
          <w:szCs w:val="22"/>
        </w:rPr>
        <w:t xml:space="preserve">conducted by the </w:t>
      </w:r>
      <w:r w:rsidR="00E71BBE">
        <w:rPr>
          <w:szCs w:val="22"/>
        </w:rPr>
        <w:t>New York and Miami</w:t>
      </w:r>
      <w:r w:rsidR="00DA1C41">
        <w:rPr>
          <w:szCs w:val="22"/>
        </w:rPr>
        <w:t xml:space="preserve"> Offices</w:t>
      </w:r>
      <w:r w:rsidR="00874B91">
        <w:rPr>
          <w:szCs w:val="22"/>
        </w:rPr>
        <w:t>.</w:t>
      </w:r>
    </w:p>
    <w:p w:rsidR="00821DD0" w:rsidRDefault="00DA1C41" w:rsidP="00AE7279">
      <w:pPr>
        <w:pStyle w:val="ParaNum"/>
        <w:widowControl/>
        <w:tabs>
          <w:tab w:val="clear" w:pos="1080"/>
          <w:tab w:val="num" w:pos="1440"/>
        </w:tabs>
        <w:spacing w:after="220"/>
        <w:rPr>
          <w:szCs w:val="22"/>
        </w:rPr>
      </w:pPr>
      <w:r>
        <w:rPr>
          <w:szCs w:val="22"/>
        </w:rPr>
        <w:t xml:space="preserve">Based on the experience gained in resolving the </w:t>
      </w:r>
      <w:r w:rsidR="00874B91">
        <w:rPr>
          <w:szCs w:val="22"/>
        </w:rPr>
        <w:t>interference</w:t>
      </w:r>
      <w:r w:rsidR="00961704">
        <w:rPr>
          <w:szCs w:val="22"/>
        </w:rPr>
        <w:t xml:space="preserve"> caused by Towerstream, </w:t>
      </w:r>
      <w:r w:rsidR="00821DD0">
        <w:rPr>
          <w:szCs w:val="22"/>
        </w:rPr>
        <w:t xml:space="preserve">on July 27, 2010, the Office of Engineering and Technology (OET) </w:t>
      </w:r>
      <w:r w:rsidR="00093BD3">
        <w:rPr>
          <w:szCs w:val="22"/>
        </w:rPr>
        <w:t xml:space="preserve">and the Enforcement Bureau </w:t>
      </w:r>
      <w:r w:rsidR="00821DD0">
        <w:rPr>
          <w:szCs w:val="22"/>
        </w:rPr>
        <w:t xml:space="preserve">issued a </w:t>
      </w:r>
      <w:r w:rsidR="00093BD3">
        <w:rPr>
          <w:szCs w:val="22"/>
        </w:rPr>
        <w:t xml:space="preserve">joint </w:t>
      </w:r>
      <w:r w:rsidR="00821DD0">
        <w:rPr>
          <w:szCs w:val="22"/>
        </w:rPr>
        <w:t xml:space="preserve">Memorandum summarizing steps that </w:t>
      </w:r>
      <w:r w:rsidR="00961704">
        <w:rPr>
          <w:szCs w:val="22"/>
        </w:rPr>
        <w:t>sh</w:t>
      </w:r>
      <w:r w:rsidR="00821DD0">
        <w:rPr>
          <w:szCs w:val="22"/>
        </w:rPr>
        <w:t xml:space="preserve">ould be taken immediately by </w:t>
      </w:r>
      <w:r w:rsidR="001D53CB">
        <w:rPr>
          <w:szCs w:val="22"/>
        </w:rPr>
        <w:t xml:space="preserve">all </w:t>
      </w:r>
      <w:r w:rsidR="00821DD0">
        <w:rPr>
          <w:szCs w:val="22"/>
        </w:rPr>
        <w:t>U-NII operators to eliminate interference to TDWR systems operating in the 5</w:t>
      </w:r>
      <w:r w:rsidR="00D553AF">
        <w:rPr>
          <w:szCs w:val="22"/>
        </w:rPr>
        <w:t>.</w:t>
      </w:r>
      <w:r w:rsidR="00821DD0">
        <w:rPr>
          <w:szCs w:val="22"/>
        </w:rPr>
        <w:t>6-5</w:t>
      </w:r>
      <w:r w:rsidR="00D553AF">
        <w:rPr>
          <w:szCs w:val="22"/>
        </w:rPr>
        <w:t>.</w:t>
      </w:r>
      <w:r w:rsidR="00821DD0">
        <w:rPr>
          <w:szCs w:val="22"/>
        </w:rPr>
        <w:t xml:space="preserve">65 </w:t>
      </w:r>
      <w:r w:rsidR="00D553AF">
        <w:rPr>
          <w:szCs w:val="22"/>
        </w:rPr>
        <w:t>G</w:t>
      </w:r>
      <w:r w:rsidR="00821DD0">
        <w:rPr>
          <w:szCs w:val="22"/>
        </w:rPr>
        <w:t>Hz band.</w:t>
      </w:r>
      <w:bookmarkStart w:id="9" w:name="_Ref350170683"/>
      <w:r w:rsidR="00821DD0">
        <w:rPr>
          <w:rStyle w:val="FootnoteReference"/>
          <w:szCs w:val="22"/>
        </w:rPr>
        <w:footnoteReference w:id="28"/>
      </w:r>
      <w:bookmarkEnd w:id="9"/>
      <w:r w:rsidR="00821DD0">
        <w:rPr>
          <w:szCs w:val="22"/>
        </w:rPr>
        <w:t xml:space="preserve">  Most notably, U-NII operators operating transmitters within 35 km or line-of-sight of TDWRs were urged to operate at least 30 MHz away from TDWR operational frequencies.</w:t>
      </w:r>
      <w:r w:rsidR="00821DD0">
        <w:rPr>
          <w:rStyle w:val="FootnoteReference"/>
          <w:szCs w:val="22"/>
        </w:rPr>
        <w:footnoteReference w:id="29"/>
      </w:r>
      <w:r w:rsidR="00821DD0">
        <w:rPr>
          <w:szCs w:val="22"/>
        </w:rPr>
        <w:t xml:space="preserve">  </w:t>
      </w:r>
    </w:p>
    <w:p w:rsidR="00AB59C0" w:rsidRDefault="00612513" w:rsidP="00AE7279">
      <w:pPr>
        <w:pStyle w:val="ParaNum"/>
        <w:widowControl/>
        <w:tabs>
          <w:tab w:val="clear" w:pos="1080"/>
          <w:tab w:val="num" w:pos="1440"/>
        </w:tabs>
        <w:spacing w:after="220"/>
        <w:rPr>
          <w:szCs w:val="22"/>
        </w:rPr>
      </w:pPr>
      <w:r>
        <w:rPr>
          <w:szCs w:val="22"/>
        </w:rPr>
        <w:t>At Towerstream’s request</w:t>
      </w:r>
      <w:r w:rsidR="00AB7B92">
        <w:rPr>
          <w:szCs w:val="22"/>
        </w:rPr>
        <w:t>, OET</w:t>
      </w:r>
      <w:r w:rsidR="009B7B6D">
        <w:rPr>
          <w:szCs w:val="22"/>
        </w:rPr>
        <w:t xml:space="preserve"> staff </w:t>
      </w:r>
      <w:r>
        <w:rPr>
          <w:szCs w:val="22"/>
        </w:rPr>
        <w:t xml:space="preserve">met with the company </w:t>
      </w:r>
      <w:r w:rsidR="00893EE7">
        <w:rPr>
          <w:szCs w:val="22"/>
        </w:rPr>
        <w:t xml:space="preserve">on February 10, 2011 to discuss </w:t>
      </w:r>
      <w:r w:rsidR="00AB7B92">
        <w:rPr>
          <w:szCs w:val="22"/>
        </w:rPr>
        <w:t xml:space="preserve">implementation of </w:t>
      </w:r>
      <w:r w:rsidR="00893EE7">
        <w:rPr>
          <w:szCs w:val="22"/>
        </w:rPr>
        <w:t xml:space="preserve">the </w:t>
      </w:r>
      <w:r w:rsidR="00E97D7B">
        <w:rPr>
          <w:i/>
          <w:szCs w:val="22"/>
        </w:rPr>
        <w:t>OET/EB Memo</w:t>
      </w:r>
      <w:r w:rsidR="00AB7B92" w:rsidRPr="00E97D7B">
        <w:rPr>
          <w:i/>
          <w:szCs w:val="22"/>
        </w:rPr>
        <w:t>’s</w:t>
      </w:r>
      <w:r w:rsidR="00AB7B92">
        <w:rPr>
          <w:szCs w:val="22"/>
        </w:rPr>
        <w:t xml:space="preserve"> guidelines</w:t>
      </w:r>
      <w:r w:rsidR="00893EE7">
        <w:rPr>
          <w:szCs w:val="22"/>
        </w:rPr>
        <w:t xml:space="preserve">.  </w:t>
      </w:r>
      <w:r w:rsidR="00AB59C0">
        <w:rPr>
          <w:szCs w:val="22"/>
        </w:rPr>
        <w:t xml:space="preserve">Following that </w:t>
      </w:r>
      <w:r w:rsidR="00893EE7">
        <w:rPr>
          <w:szCs w:val="22"/>
        </w:rPr>
        <w:t>meeting</w:t>
      </w:r>
      <w:r w:rsidR="005C6CAC">
        <w:rPr>
          <w:szCs w:val="22"/>
        </w:rPr>
        <w:t>, Towerstream outlined steps that it “has taken and will continue to take to ensure its 5.4 GHz Band operations do not cause interference to the FAA TDWR.”</w:t>
      </w:r>
      <w:bookmarkStart w:id="10" w:name="_Ref349302855"/>
      <w:r w:rsidR="004609CF">
        <w:rPr>
          <w:rStyle w:val="FootnoteReference"/>
          <w:szCs w:val="22"/>
        </w:rPr>
        <w:footnoteReference w:id="30"/>
      </w:r>
      <w:bookmarkEnd w:id="10"/>
      <w:r w:rsidR="005C6CAC">
        <w:rPr>
          <w:szCs w:val="22"/>
        </w:rPr>
        <w:t xml:space="preserve">  </w:t>
      </w:r>
      <w:r w:rsidR="00AB59C0">
        <w:rPr>
          <w:szCs w:val="22"/>
        </w:rPr>
        <w:t xml:space="preserve">Specifically, </w:t>
      </w:r>
      <w:r w:rsidR="004609CF">
        <w:rPr>
          <w:szCs w:val="22"/>
        </w:rPr>
        <w:t xml:space="preserve">Towerstream </w:t>
      </w:r>
      <w:r w:rsidR="00AB59C0">
        <w:rPr>
          <w:szCs w:val="22"/>
        </w:rPr>
        <w:t xml:space="preserve">stated that it </w:t>
      </w:r>
    </w:p>
    <w:p w:rsidR="005C6CAC" w:rsidRDefault="004609CF" w:rsidP="00AE7279">
      <w:pPr>
        <w:pStyle w:val="ParaNum"/>
        <w:widowControl/>
        <w:numPr>
          <w:ilvl w:val="0"/>
          <w:numId w:val="0"/>
        </w:numPr>
        <w:spacing w:after="220"/>
        <w:ind w:left="720" w:right="720"/>
        <w:rPr>
          <w:szCs w:val="22"/>
        </w:rPr>
      </w:pPr>
      <w:r>
        <w:rPr>
          <w:szCs w:val="22"/>
        </w:rPr>
        <w:t>has taken it upon itself to self-police 105 megahertz of spectrum within the 5.4 GHz band to protect spectrum being used by TDWRs.  By establishing a spectrum buffer around TDWRs, Towerstream can ensure that its operations in the markets will not cause these radars unintended interference.  Towerstream has also entered the locations and parameters of the TDWRs in a company-wide engineering database to ensure that modification, new installations and system upgrades will not interfere with TDWR operations.</w:t>
      </w:r>
      <w:r>
        <w:rPr>
          <w:rStyle w:val="FootnoteReference"/>
          <w:szCs w:val="22"/>
        </w:rPr>
        <w:footnoteReference w:id="31"/>
      </w:r>
    </w:p>
    <w:p w:rsidR="00AB59C0" w:rsidRPr="005F6F85" w:rsidRDefault="00AB59C0" w:rsidP="00AE7279">
      <w:pPr>
        <w:pStyle w:val="ParaNum"/>
        <w:widowControl/>
        <w:numPr>
          <w:ilvl w:val="0"/>
          <w:numId w:val="0"/>
        </w:numPr>
        <w:spacing w:after="220"/>
        <w:rPr>
          <w:szCs w:val="22"/>
        </w:rPr>
      </w:pPr>
      <w:r>
        <w:rPr>
          <w:szCs w:val="22"/>
        </w:rPr>
        <w:t xml:space="preserve">As discussed below, however, </w:t>
      </w:r>
      <w:r w:rsidR="00DA1C41">
        <w:rPr>
          <w:szCs w:val="22"/>
        </w:rPr>
        <w:t>Towerstream</w:t>
      </w:r>
      <w:r w:rsidR="009D172F">
        <w:rPr>
          <w:szCs w:val="22"/>
        </w:rPr>
        <w:t>’s</w:t>
      </w:r>
      <w:r w:rsidR="00DA1C41">
        <w:rPr>
          <w:szCs w:val="22"/>
        </w:rPr>
        <w:t xml:space="preserve"> failure to avoid frequencies adjacent to TDWR frequencies </w:t>
      </w:r>
      <w:r w:rsidR="005A6D17">
        <w:rPr>
          <w:szCs w:val="22"/>
        </w:rPr>
        <w:t xml:space="preserve">resulted in additional </w:t>
      </w:r>
      <w:r>
        <w:rPr>
          <w:szCs w:val="22"/>
        </w:rPr>
        <w:t xml:space="preserve">interference </w:t>
      </w:r>
      <w:r w:rsidR="005C59FF">
        <w:rPr>
          <w:szCs w:val="22"/>
        </w:rPr>
        <w:t xml:space="preserve">to </w:t>
      </w:r>
      <w:r w:rsidR="005A6D17">
        <w:rPr>
          <w:szCs w:val="22"/>
        </w:rPr>
        <w:t>the JFK</w:t>
      </w:r>
      <w:r w:rsidR="00B04B1E">
        <w:rPr>
          <w:szCs w:val="22"/>
        </w:rPr>
        <w:t xml:space="preserve">, Miami, </w:t>
      </w:r>
      <w:r w:rsidR="00AA3A00">
        <w:rPr>
          <w:szCs w:val="22"/>
        </w:rPr>
        <w:t xml:space="preserve">and </w:t>
      </w:r>
      <w:r w:rsidR="00B04B1E">
        <w:rPr>
          <w:szCs w:val="22"/>
        </w:rPr>
        <w:t>Fort Lauderdale</w:t>
      </w:r>
      <w:r w:rsidR="005A6D17">
        <w:rPr>
          <w:szCs w:val="22"/>
        </w:rPr>
        <w:t xml:space="preserve"> TDWRs</w:t>
      </w:r>
      <w:r w:rsidR="00AA3A00">
        <w:rPr>
          <w:szCs w:val="22"/>
        </w:rPr>
        <w:t xml:space="preserve">, </w:t>
      </w:r>
      <w:r w:rsidR="005A6D17">
        <w:rPr>
          <w:szCs w:val="22"/>
        </w:rPr>
        <w:t>which form the basis for the</w:t>
      </w:r>
      <w:r w:rsidR="00AA3A00">
        <w:rPr>
          <w:szCs w:val="22"/>
        </w:rPr>
        <w:t xml:space="preserve"> instant enforcement action. </w:t>
      </w:r>
    </w:p>
    <w:p w:rsidR="00B85A5F" w:rsidRDefault="00B85A5F" w:rsidP="00AE7279">
      <w:pPr>
        <w:pStyle w:val="Heading2"/>
      </w:pPr>
      <w:r w:rsidRPr="007A4FF7">
        <w:t>Current Violations</w:t>
      </w:r>
    </w:p>
    <w:p w:rsidR="00DE677A" w:rsidRPr="00DE677A" w:rsidRDefault="00023279" w:rsidP="00AE7279">
      <w:pPr>
        <w:pStyle w:val="ParaNum"/>
        <w:widowControl/>
        <w:numPr>
          <w:ilvl w:val="0"/>
          <w:numId w:val="11"/>
        </w:numPr>
        <w:spacing w:after="220"/>
        <w:rPr>
          <w:b/>
        </w:rPr>
      </w:pPr>
      <w:r>
        <w:rPr>
          <w:b/>
        </w:rPr>
        <w:t xml:space="preserve">The </w:t>
      </w:r>
      <w:r w:rsidR="00097BA0">
        <w:rPr>
          <w:b/>
        </w:rPr>
        <w:t xml:space="preserve">Empire State Building </w:t>
      </w:r>
      <w:r>
        <w:rPr>
          <w:b/>
        </w:rPr>
        <w:t>Devices</w:t>
      </w:r>
      <w:r w:rsidR="00097BA0">
        <w:rPr>
          <w:b/>
        </w:rPr>
        <w:t xml:space="preserve"> </w:t>
      </w:r>
    </w:p>
    <w:p w:rsidR="00E80D0A" w:rsidRPr="00BA592D" w:rsidRDefault="008551C9" w:rsidP="00AE7279">
      <w:pPr>
        <w:pStyle w:val="ParaNum"/>
        <w:widowControl/>
        <w:tabs>
          <w:tab w:val="clear" w:pos="1080"/>
          <w:tab w:val="num" w:pos="1440"/>
        </w:tabs>
        <w:spacing w:after="220"/>
        <w:rPr>
          <w:szCs w:val="22"/>
        </w:rPr>
      </w:pPr>
      <w:r w:rsidRPr="00BA592D">
        <w:rPr>
          <w:szCs w:val="22"/>
        </w:rPr>
        <w:t>T</w:t>
      </w:r>
      <w:r w:rsidR="00E511B3" w:rsidRPr="00BA592D">
        <w:rPr>
          <w:szCs w:val="22"/>
        </w:rPr>
        <w:t xml:space="preserve">he </w:t>
      </w:r>
      <w:r w:rsidR="00F96919" w:rsidRPr="00BA592D">
        <w:rPr>
          <w:szCs w:val="22"/>
        </w:rPr>
        <w:t xml:space="preserve">JFK </w:t>
      </w:r>
      <w:r w:rsidRPr="00BA592D">
        <w:rPr>
          <w:szCs w:val="22"/>
        </w:rPr>
        <w:t>TDWR operates</w:t>
      </w:r>
      <w:r w:rsidR="008C2BAF">
        <w:rPr>
          <w:szCs w:val="22"/>
        </w:rPr>
        <w:t xml:space="preserve"> on a</w:t>
      </w:r>
      <w:r w:rsidR="00E511B3" w:rsidRPr="00BA592D">
        <w:rPr>
          <w:szCs w:val="22"/>
        </w:rPr>
        <w:t xml:space="preserve"> ce</w:t>
      </w:r>
      <w:r w:rsidR="00F96919" w:rsidRPr="00BA592D">
        <w:rPr>
          <w:szCs w:val="22"/>
        </w:rPr>
        <w:t>nter frequency of 5</w:t>
      </w:r>
      <w:r w:rsidR="00D553AF">
        <w:rPr>
          <w:szCs w:val="22"/>
        </w:rPr>
        <w:t>.</w:t>
      </w:r>
      <w:r w:rsidR="00F96919" w:rsidRPr="00BA592D">
        <w:rPr>
          <w:szCs w:val="22"/>
        </w:rPr>
        <w:t xml:space="preserve">647 </w:t>
      </w:r>
      <w:r w:rsidR="00D553AF">
        <w:rPr>
          <w:szCs w:val="22"/>
        </w:rPr>
        <w:t>G</w:t>
      </w:r>
      <w:r w:rsidR="00F96919" w:rsidRPr="00BA592D">
        <w:rPr>
          <w:szCs w:val="22"/>
        </w:rPr>
        <w:t>Hz.  The Empire State Building</w:t>
      </w:r>
      <w:r w:rsidR="00E511B3" w:rsidRPr="00BA592D">
        <w:rPr>
          <w:szCs w:val="22"/>
        </w:rPr>
        <w:t xml:space="preserve"> is 19.93 km from</w:t>
      </w:r>
      <w:r w:rsidR="00D24FB3" w:rsidRPr="00BA592D">
        <w:rPr>
          <w:szCs w:val="22"/>
        </w:rPr>
        <w:t>,</w:t>
      </w:r>
      <w:r w:rsidR="00513BD0" w:rsidRPr="00BA592D">
        <w:rPr>
          <w:szCs w:val="22"/>
        </w:rPr>
        <w:t xml:space="preserve"> and within line-of-</w:t>
      </w:r>
      <w:r w:rsidR="00E511B3" w:rsidRPr="00BA592D">
        <w:rPr>
          <w:szCs w:val="22"/>
        </w:rPr>
        <w:t>sight of</w:t>
      </w:r>
      <w:r w:rsidR="00A45435">
        <w:rPr>
          <w:szCs w:val="22"/>
        </w:rPr>
        <w:t>,</w:t>
      </w:r>
      <w:r w:rsidR="00E511B3" w:rsidRPr="00BA592D">
        <w:rPr>
          <w:szCs w:val="22"/>
        </w:rPr>
        <w:t xml:space="preserve"> the </w:t>
      </w:r>
      <w:r w:rsidR="00F96919" w:rsidRPr="00BA592D">
        <w:rPr>
          <w:szCs w:val="22"/>
        </w:rPr>
        <w:t xml:space="preserve">JFK </w:t>
      </w:r>
      <w:r w:rsidR="00E511B3" w:rsidRPr="00BA592D">
        <w:rPr>
          <w:szCs w:val="22"/>
        </w:rPr>
        <w:t xml:space="preserve">TDWR.  </w:t>
      </w:r>
      <w:bookmarkStart w:id="11" w:name="_Ref354482692"/>
      <w:r w:rsidR="005134F1">
        <w:rPr>
          <w:szCs w:val="22"/>
        </w:rPr>
        <w:t>O</w:t>
      </w:r>
      <w:r w:rsidR="00E80D0A" w:rsidRPr="00BA592D">
        <w:rPr>
          <w:szCs w:val="22"/>
        </w:rPr>
        <w:t xml:space="preserve">n August 7, 2012, in response to complaints of interference to the </w:t>
      </w:r>
      <w:r w:rsidR="00F96919" w:rsidRPr="00BA592D">
        <w:rPr>
          <w:szCs w:val="22"/>
        </w:rPr>
        <w:t xml:space="preserve">JFK </w:t>
      </w:r>
      <w:r w:rsidR="00E80D0A" w:rsidRPr="00BA592D">
        <w:rPr>
          <w:szCs w:val="22"/>
        </w:rPr>
        <w:t>TDWR, agents from the New</w:t>
      </w:r>
      <w:r w:rsidR="00B87357" w:rsidRPr="00BA592D">
        <w:rPr>
          <w:szCs w:val="22"/>
        </w:rPr>
        <w:t xml:space="preserve"> York Office determined that </w:t>
      </w:r>
      <w:r w:rsidR="009A6A7B">
        <w:rPr>
          <w:szCs w:val="22"/>
        </w:rPr>
        <w:t>three</w:t>
      </w:r>
      <w:r w:rsidR="00E80D0A" w:rsidRPr="00BA592D">
        <w:rPr>
          <w:szCs w:val="22"/>
        </w:rPr>
        <w:t xml:space="preserve"> of</w:t>
      </w:r>
      <w:r w:rsidR="001263A4" w:rsidRPr="00BA592D">
        <w:rPr>
          <w:szCs w:val="22"/>
        </w:rPr>
        <w:t xml:space="preserve"> Towerstream’s</w:t>
      </w:r>
      <w:r w:rsidRPr="00BA592D">
        <w:rPr>
          <w:szCs w:val="22"/>
        </w:rPr>
        <w:t xml:space="preserve"> U-NII devices were operating o</w:t>
      </w:r>
      <w:r w:rsidR="0034274A" w:rsidRPr="00BA592D">
        <w:rPr>
          <w:szCs w:val="22"/>
        </w:rPr>
        <w:t>n</w:t>
      </w:r>
      <w:r w:rsidR="001263A4" w:rsidRPr="00BA592D">
        <w:rPr>
          <w:szCs w:val="22"/>
        </w:rPr>
        <w:t xml:space="preserve"> the frequenc</w:t>
      </w:r>
      <w:r w:rsidR="0034274A" w:rsidRPr="00BA592D">
        <w:rPr>
          <w:szCs w:val="22"/>
        </w:rPr>
        <w:t xml:space="preserve">y </w:t>
      </w:r>
      <w:r w:rsidRPr="00BA592D">
        <w:rPr>
          <w:szCs w:val="22"/>
        </w:rPr>
        <w:t>bands of</w:t>
      </w:r>
      <w:r w:rsidR="00E80D0A" w:rsidRPr="00BA592D">
        <w:rPr>
          <w:szCs w:val="22"/>
        </w:rPr>
        <w:t xml:space="preserve"> </w:t>
      </w:r>
      <w:r w:rsidR="00F471A7" w:rsidRPr="00BA592D">
        <w:rPr>
          <w:szCs w:val="22"/>
        </w:rPr>
        <w:t>5</w:t>
      </w:r>
      <w:r w:rsidR="00D553AF">
        <w:rPr>
          <w:szCs w:val="22"/>
        </w:rPr>
        <w:t>.</w:t>
      </w:r>
      <w:r w:rsidR="00F471A7" w:rsidRPr="00BA592D">
        <w:rPr>
          <w:szCs w:val="22"/>
        </w:rPr>
        <w:t>657-5</w:t>
      </w:r>
      <w:r w:rsidR="00D553AF">
        <w:rPr>
          <w:szCs w:val="22"/>
        </w:rPr>
        <w:t>.</w:t>
      </w:r>
      <w:r w:rsidR="00F471A7" w:rsidRPr="00BA592D">
        <w:rPr>
          <w:szCs w:val="22"/>
        </w:rPr>
        <w:t xml:space="preserve">693, </w:t>
      </w:r>
      <w:r w:rsidR="001263A4" w:rsidRPr="00BA592D">
        <w:rPr>
          <w:szCs w:val="22"/>
        </w:rPr>
        <w:t>5</w:t>
      </w:r>
      <w:r w:rsidR="00D553AF">
        <w:rPr>
          <w:szCs w:val="22"/>
        </w:rPr>
        <w:t>.</w:t>
      </w:r>
      <w:r w:rsidR="002B72AD" w:rsidRPr="00BA592D">
        <w:rPr>
          <w:szCs w:val="22"/>
        </w:rPr>
        <w:t>669-5</w:t>
      </w:r>
      <w:r w:rsidR="00D553AF">
        <w:rPr>
          <w:szCs w:val="22"/>
        </w:rPr>
        <w:t>.</w:t>
      </w:r>
      <w:r w:rsidR="002B72AD" w:rsidRPr="00BA592D">
        <w:rPr>
          <w:szCs w:val="22"/>
        </w:rPr>
        <w:t>692</w:t>
      </w:r>
      <w:r w:rsidR="001263A4" w:rsidRPr="00BA592D">
        <w:rPr>
          <w:szCs w:val="22"/>
        </w:rPr>
        <w:t>, 5</w:t>
      </w:r>
      <w:r w:rsidR="00D553AF">
        <w:rPr>
          <w:szCs w:val="22"/>
        </w:rPr>
        <w:t>.</w:t>
      </w:r>
      <w:r w:rsidR="001263A4" w:rsidRPr="00BA592D">
        <w:rPr>
          <w:szCs w:val="22"/>
        </w:rPr>
        <w:t>667-5</w:t>
      </w:r>
      <w:r w:rsidR="00D553AF">
        <w:rPr>
          <w:szCs w:val="22"/>
        </w:rPr>
        <w:t>.</w:t>
      </w:r>
      <w:r w:rsidR="001263A4" w:rsidRPr="00BA592D">
        <w:rPr>
          <w:szCs w:val="22"/>
        </w:rPr>
        <w:t>69,</w:t>
      </w:r>
      <w:r w:rsidR="00E80D0A" w:rsidRPr="00BA592D">
        <w:rPr>
          <w:szCs w:val="22"/>
        </w:rPr>
        <w:t xml:space="preserve"> </w:t>
      </w:r>
      <w:r w:rsidR="001263A4" w:rsidRPr="00BA592D">
        <w:rPr>
          <w:szCs w:val="22"/>
        </w:rPr>
        <w:t>and 5</w:t>
      </w:r>
      <w:r w:rsidR="00D553AF">
        <w:rPr>
          <w:szCs w:val="22"/>
        </w:rPr>
        <w:t>.</w:t>
      </w:r>
      <w:r w:rsidR="001263A4" w:rsidRPr="00BA592D">
        <w:rPr>
          <w:szCs w:val="22"/>
        </w:rPr>
        <w:t>65-5</w:t>
      </w:r>
      <w:r w:rsidR="00D553AF">
        <w:rPr>
          <w:szCs w:val="22"/>
        </w:rPr>
        <w:t>.</w:t>
      </w:r>
      <w:r w:rsidR="001263A4" w:rsidRPr="00BA592D">
        <w:rPr>
          <w:szCs w:val="22"/>
        </w:rPr>
        <w:t xml:space="preserve">679 </w:t>
      </w:r>
      <w:r w:rsidR="00D553AF">
        <w:rPr>
          <w:szCs w:val="22"/>
        </w:rPr>
        <w:t>G</w:t>
      </w:r>
      <w:r w:rsidR="00E80D0A" w:rsidRPr="00BA592D">
        <w:rPr>
          <w:szCs w:val="22"/>
        </w:rPr>
        <w:t xml:space="preserve">Hz from </w:t>
      </w:r>
      <w:r w:rsidR="00F96919" w:rsidRPr="00BA592D">
        <w:rPr>
          <w:szCs w:val="22"/>
        </w:rPr>
        <w:t>atop the Empire State Building</w:t>
      </w:r>
      <w:r w:rsidR="001263A4" w:rsidRPr="00BA592D">
        <w:rPr>
          <w:szCs w:val="22"/>
        </w:rPr>
        <w:t xml:space="preserve"> and were</w:t>
      </w:r>
      <w:r w:rsidR="00E80D0A" w:rsidRPr="00BA592D">
        <w:rPr>
          <w:szCs w:val="22"/>
        </w:rPr>
        <w:t xml:space="preserve"> the source</w:t>
      </w:r>
      <w:r w:rsidR="001263A4" w:rsidRPr="00BA592D">
        <w:rPr>
          <w:szCs w:val="22"/>
        </w:rPr>
        <w:t>s</w:t>
      </w:r>
      <w:r w:rsidR="00E80D0A" w:rsidRPr="00BA592D">
        <w:rPr>
          <w:szCs w:val="22"/>
        </w:rPr>
        <w:t xml:space="preserve"> of the interference</w:t>
      </w:r>
      <w:r w:rsidR="00341783" w:rsidRPr="00BA592D">
        <w:rPr>
          <w:szCs w:val="22"/>
        </w:rPr>
        <w:t xml:space="preserve"> to the </w:t>
      </w:r>
      <w:r w:rsidR="00F96919" w:rsidRPr="00BA592D">
        <w:rPr>
          <w:szCs w:val="22"/>
        </w:rPr>
        <w:t xml:space="preserve">JFK </w:t>
      </w:r>
      <w:r w:rsidR="00341783" w:rsidRPr="00BA592D">
        <w:rPr>
          <w:szCs w:val="22"/>
        </w:rPr>
        <w:t>TDWR</w:t>
      </w:r>
      <w:r w:rsidR="00E80D0A" w:rsidRPr="00BA592D">
        <w:rPr>
          <w:szCs w:val="22"/>
        </w:rPr>
        <w:t xml:space="preserve">.  </w:t>
      </w:r>
      <w:r w:rsidR="00AA3A00">
        <w:rPr>
          <w:szCs w:val="22"/>
        </w:rPr>
        <w:t>That same day</w:t>
      </w:r>
      <w:r w:rsidR="00E80D0A" w:rsidRPr="00BA592D">
        <w:rPr>
          <w:szCs w:val="22"/>
        </w:rPr>
        <w:t>, agents from the New York</w:t>
      </w:r>
      <w:r w:rsidR="00F96919" w:rsidRPr="00BA592D">
        <w:rPr>
          <w:szCs w:val="22"/>
        </w:rPr>
        <w:t xml:space="preserve"> Office met with Towerstream at the Empire State Building</w:t>
      </w:r>
      <w:r w:rsidR="00E80D0A" w:rsidRPr="00BA592D">
        <w:rPr>
          <w:szCs w:val="22"/>
        </w:rPr>
        <w:t xml:space="preserve"> to discuss the interference problem.  Towerstream admitted that it</w:t>
      </w:r>
      <w:r w:rsidR="00DC0F1F">
        <w:rPr>
          <w:szCs w:val="22"/>
        </w:rPr>
        <w:t xml:space="preserve"> owned all three</w:t>
      </w:r>
      <w:r w:rsidR="000069ED" w:rsidRPr="00BA592D">
        <w:rPr>
          <w:szCs w:val="22"/>
        </w:rPr>
        <w:t xml:space="preserve"> of the U-NII devices</w:t>
      </w:r>
      <w:r w:rsidR="00F96919" w:rsidRPr="00BA592D">
        <w:rPr>
          <w:szCs w:val="22"/>
        </w:rPr>
        <w:t xml:space="preserve"> </w:t>
      </w:r>
      <w:r w:rsidR="000069ED" w:rsidRPr="00BA592D">
        <w:rPr>
          <w:szCs w:val="22"/>
        </w:rPr>
        <w:t>and that it</w:t>
      </w:r>
      <w:r w:rsidR="00E80D0A" w:rsidRPr="00BA592D">
        <w:rPr>
          <w:szCs w:val="22"/>
        </w:rPr>
        <w:t xml:space="preserve"> operat</w:t>
      </w:r>
      <w:r w:rsidR="00AA3A00">
        <w:rPr>
          <w:szCs w:val="22"/>
        </w:rPr>
        <w:t>ed</w:t>
      </w:r>
      <w:r w:rsidR="00E80D0A" w:rsidRPr="00BA592D">
        <w:rPr>
          <w:szCs w:val="22"/>
        </w:rPr>
        <w:t xml:space="preserve"> </w:t>
      </w:r>
      <w:r w:rsidR="000069ED" w:rsidRPr="00BA592D">
        <w:rPr>
          <w:szCs w:val="22"/>
        </w:rPr>
        <w:t>them</w:t>
      </w:r>
      <w:r w:rsidR="00E80D0A" w:rsidRPr="00BA592D">
        <w:rPr>
          <w:szCs w:val="22"/>
        </w:rPr>
        <w:t xml:space="preserve"> </w:t>
      </w:r>
      <w:r w:rsidR="00873E22" w:rsidRPr="00BA592D">
        <w:rPr>
          <w:szCs w:val="22"/>
        </w:rPr>
        <w:t xml:space="preserve">(collectively </w:t>
      </w:r>
      <w:r w:rsidR="00873E22">
        <w:rPr>
          <w:szCs w:val="22"/>
        </w:rPr>
        <w:t xml:space="preserve">the </w:t>
      </w:r>
      <w:r w:rsidR="00873E22" w:rsidRPr="00BA592D">
        <w:rPr>
          <w:szCs w:val="22"/>
        </w:rPr>
        <w:t>New York U-NII devices)</w:t>
      </w:r>
      <w:r w:rsidR="00873E22">
        <w:rPr>
          <w:szCs w:val="22"/>
        </w:rPr>
        <w:t xml:space="preserve"> </w:t>
      </w:r>
      <w:r w:rsidR="00834945">
        <w:rPr>
          <w:szCs w:val="22"/>
        </w:rPr>
        <w:t>on the above-</w:t>
      </w:r>
      <w:r w:rsidR="0034274A" w:rsidRPr="00BA592D">
        <w:rPr>
          <w:szCs w:val="22"/>
        </w:rPr>
        <w:t>listed frequency ranges</w:t>
      </w:r>
      <w:r w:rsidR="001263A4" w:rsidRPr="00BA592D">
        <w:rPr>
          <w:szCs w:val="22"/>
        </w:rPr>
        <w:t xml:space="preserve"> </w:t>
      </w:r>
      <w:r w:rsidR="00DE677A" w:rsidRPr="00BA592D">
        <w:rPr>
          <w:szCs w:val="22"/>
        </w:rPr>
        <w:t>from the building</w:t>
      </w:r>
      <w:r w:rsidR="00E80D0A" w:rsidRPr="00BA592D">
        <w:rPr>
          <w:szCs w:val="22"/>
        </w:rPr>
        <w:t xml:space="preserve">.  The agents provided Towerstream with a copy of the </w:t>
      </w:r>
      <w:r w:rsidR="00E80D0A" w:rsidRPr="00BA592D">
        <w:rPr>
          <w:i/>
          <w:szCs w:val="22"/>
        </w:rPr>
        <w:t>OET</w:t>
      </w:r>
      <w:r w:rsidR="009B7B6D">
        <w:rPr>
          <w:i/>
          <w:szCs w:val="22"/>
        </w:rPr>
        <w:t>/EB</w:t>
      </w:r>
      <w:r w:rsidR="00E80D0A" w:rsidRPr="00BA592D">
        <w:rPr>
          <w:i/>
          <w:szCs w:val="22"/>
        </w:rPr>
        <w:t xml:space="preserve"> Memo</w:t>
      </w:r>
      <w:r w:rsidR="00E80D0A" w:rsidRPr="00BA592D">
        <w:rPr>
          <w:szCs w:val="22"/>
        </w:rPr>
        <w:t xml:space="preserve"> and </w:t>
      </w:r>
      <w:r w:rsidR="00DE677A" w:rsidRPr="00BA592D">
        <w:rPr>
          <w:szCs w:val="22"/>
        </w:rPr>
        <w:t xml:space="preserve">again </w:t>
      </w:r>
      <w:r w:rsidR="00E80D0A" w:rsidRPr="00BA592D">
        <w:rPr>
          <w:szCs w:val="22"/>
        </w:rPr>
        <w:t xml:space="preserve">instructed it to </w:t>
      </w:r>
      <w:r w:rsidR="008C2BAF">
        <w:rPr>
          <w:szCs w:val="22"/>
        </w:rPr>
        <w:t>implement a spectrum buffer around the JFK TDWR frequencies</w:t>
      </w:r>
      <w:r w:rsidRPr="00BA592D">
        <w:rPr>
          <w:szCs w:val="22"/>
        </w:rPr>
        <w:t xml:space="preserve"> at</w:t>
      </w:r>
      <w:r w:rsidR="00F96919" w:rsidRPr="00BA592D">
        <w:rPr>
          <w:szCs w:val="22"/>
        </w:rPr>
        <w:t xml:space="preserve"> the Empire State Building</w:t>
      </w:r>
      <w:r w:rsidR="00E80D0A" w:rsidRPr="00BA592D">
        <w:rPr>
          <w:szCs w:val="22"/>
        </w:rPr>
        <w:t>.</w:t>
      </w:r>
      <w:bookmarkEnd w:id="11"/>
      <w:r w:rsidR="00E80D0A" w:rsidRPr="00BA592D">
        <w:rPr>
          <w:szCs w:val="22"/>
        </w:rPr>
        <w:t xml:space="preserve">  </w:t>
      </w:r>
    </w:p>
    <w:p w:rsidR="00E80D0A" w:rsidRDefault="007C06FA" w:rsidP="00AE7279">
      <w:pPr>
        <w:pStyle w:val="ParaNum"/>
        <w:widowControl/>
        <w:tabs>
          <w:tab w:val="clear" w:pos="1080"/>
          <w:tab w:val="num" w:pos="1440"/>
        </w:tabs>
        <w:spacing w:after="220"/>
        <w:rPr>
          <w:szCs w:val="22"/>
        </w:rPr>
      </w:pPr>
      <w:r>
        <w:rPr>
          <w:szCs w:val="22"/>
        </w:rPr>
        <w:t>Subsequently</w:t>
      </w:r>
      <w:r w:rsidR="00E80D0A">
        <w:rPr>
          <w:szCs w:val="22"/>
        </w:rPr>
        <w:t xml:space="preserve">, the New York Office </w:t>
      </w:r>
      <w:r w:rsidR="005134F1">
        <w:rPr>
          <w:szCs w:val="22"/>
        </w:rPr>
        <w:t xml:space="preserve">reiterated its verbal warning with </w:t>
      </w:r>
      <w:r w:rsidR="00E80D0A">
        <w:rPr>
          <w:szCs w:val="22"/>
        </w:rPr>
        <w:t xml:space="preserve">a </w:t>
      </w:r>
      <w:r w:rsidR="005134F1">
        <w:rPr>
          <w:szCs w:val="22"/>
        </w:rPr>
        <w:t xml:space="preserve">written </w:t>
      </w:r>
      <w:r w:rsidR="00E80D0A">
        <w:rPr>
          <w:szCs w:val="22"/>
        </w:rPr>
        <w:t>warning of Unlicensed Operation and Notice of Harmful Interference,</w:t>
      </w:r>
      <w:r w:rsidR="00375B59">
        <w:rPr>
          <w:rStyle w:val="FootnoteReference"/>
          <w:szCs w:val="22"/>
        </w:rPr>
        <w:footnoteReference w:id="32"/>
      </w:r>
      <w:r w:rsidR="00E80D0A">
        <w:rPr>
          <w:szCs w:val="22"/>
        </w:rPr>
        <w:t xml:space="preserve"> stating that </w:t>
      </w:r>
      <w:r w:rsidR="00B312BD">
        <w:rPr>
          <w:szCs w:val="22"/>
        </w:rPr>
        <w:t xml:space="preserve">Towerstream’s </w:t>
      </w:r>
      <w:r w:rsidR="00E80D0A">
        <w:rPr>
          <w:szCs w:val="22"/>
        </w:rPr>
        <w:t>operation</w:t>
      </w:r>
      <w:r w:rsidR="00FA6F86">
        <w:rPr>
          <w:szCs w:val="22"/>
        </w:rPr>
        <w:t xml:space="preserve"> on August 7, 2012,</w:t>
      </w:r>
      <w:r w:rsidR="00E80D0A">
        <w:rPr>
          <w:szCs w:val="22"/>
        </w:rPr>
        <w:t xml:space="preserve"> of </w:t>
      </w:r>
      <w:r w:rsidR="00F96919">
        <w:rPr>
          <w:szCs w:val="22"/>
        </w:rPr>
        <w:t xml:space="preserve">the New York </w:t>
      </w:r>
      <w:r w:rsidR="00E80D0A">
        <w:rPr>
          <w:szCs w:val="22"/>
        </w:rPr>
        <w:t xml:space="preserve">U-NII devices on </w:t>
      </w:r>
      <w:r w:rsidR="001263A4">
        <w:rPr>
          <w:szCs w:val="22"/>
        </w:rPr>
        <w:t xml:space="preserve">or adjacent to 5.647 GHz </w:t>
      </w:r>
      <w:r w:rsidR="00E80D0A">
        <w:rPr>
          <w:szCs w:val="22"/>
        </w:rPr>
        <w:t xml:space="preserve">atop </w:t>
      </w:r>
      <w:r w:rsidR="00F96919">
        <w:rPr>
          <w:szCs w:val="22"/>
        </w:rPr>
        <w:t>the Empire State Building</w:t>
      </w:r>
      <w:r w:rsidR="00E80D0A">
        <w:rPr>
          <w:szCs w:val="22"/>
        </w:rPr>
        <w:t xml:space="preserve"> was causing harmful interference to the </w:t>
      </w:r>
      <w:r w:rsidR="00F96919">
        <w:rPr>
          <w:szCs w:val="22"/>
        </w:rPr>
        <w:t xml:space="preserve">JFK </w:t>
      </w:r>
      <w:r w:rsidR="00E80D0A">
        <w:rPr>
          <w:szCs w:val="22"/>
        </w:rPr>
        <w:t>TDWR and that operations must not r</w:t>
      </w:r>
      <w:r w:rsidR="005F3CD8">
        <w:rPr>
          <w:szCs w:val="22"/>
        </w:rPr>
        <w:t>esume until the interference could</w:t>
      </w:r>
      <w:r w:rsidR="00E80D0A">
        <w:rPr>
          <w:szCs w:val="22"/>
        </w:rPr>
        <w:t xml:space="preserve"> be resolved.</w:t>
      </w:r>
      <w:r w:rsidR="00A210C1">
        <w:rPr>
          <w:szCs w:val="22"/>
        </w:rPr>
        <w:t xml:space="preserve">  </w:t>
      </w:r>
      <w:r w:rsidR="00C97400">
        <w:rPr>
          <w:szCs w:val="22"/>
        </w:rPr>
        <w:t xml:space="preserve">Towerstream subsequently responded to the Notice verbally, stating that it </w:t>
      </w:r>
      <w:r w:rsidR="008C2BAF">
        <w:rPr>
          <w:szCs w:val="22"/>
        </w:rPr>
        <w:t xml:space="preserve">would </w:t>
      </w:r>
      <w:r w:rsidR="00D27005">
        <w:rPr>
          <w:szCs w:val="22"/>
        </w:rPr>
        <w:t xml:space="preserve">ensure </w:t>
      </w:r>
      <w:r w:rsidR="008C2BAF">
        <w:rPr>
          <w:szCs w:val="22"/>
        </w:rPr>
        <w:t>that a spectrum buffer remained in place around the JFK TDWR frequencies at</w:t>
      </w:r>
      <w:r w:rsidR="00D27005">
        <w:rPr>
          <w:szCs w:val="22"/>
        </w:rPr>
        <w:t xml:space="preserve"> the Empire State Building</w:t>
      </w:r>
      <w:r w:rsidR="00C97400">
        <w:rPr>
          <w:szCs w:val="22"/>
        </w:rPr>
        <w:t>.</w:t>
      </w:r>
      <w:r w:rsidR="00C97400">
        <w:rPr>
          <w:rStyle w:val="FootnoteReference"/>
          <w:szCs w:val="22"/>
        </w:rPr>
        <w:footnoteReference w:id="33"/>
      </w:r>
      <w:r w:rsidR="00C97400">
        <w:rPr>
          <w:szCs w:val="22"/>
        </w:rPr>
        <w:t xml:space="preserve">  The FAA later confirmed that the interference to the JFK TDWR </w:t>
      </w:r>
      <w:r w:rsidR="00097BA0">
        <w:rPr>
          <w:szCs w:val="22"/>
        </w:rPr>
        <w:t xml:space="preserve">had </w:t>
      </w:r>
      <w:r w:rsidR="008C2BAF">
        <w:rPr>
          <w:szCs w:val="22"/>
        </w:rPr>
        <w:t>ceased</w:t>
      </w:r>
      <w:r w:rsidR="00C97400">
        <w:rPr>
          <w:szCs w:val="22"/>
        </w:rPr>
        <w:t>.</w:t>
      </w:r>
      <w:r w:rsidR="00C97400">
        <w:rPr>
          <w:rStyle w:val="FootnoteReference"/>
          <w:szCs w:val="22"/>
        </w:rPr>
        <w:footnoteReference w:id="34"/>
      </w:r>
      <w:r w:rsidR="00E80D0A">
        <w:rPr>
          <w:szCs w:val="22"/>
        </w:rPr>
        <w:t xml:space="preserve">  </w:t>
      </w:r>
    </w:p>
    <w:p w:rsidR="00DE677A" w:rsidRDefault="00CC3B8E" w:rsidP="00AE7279">
      <w:pPr>
        <w:pStyle w:val="ParaNum"/>
        <w:widowControl/>
        <w:numPr>
          <w:ilvl w:val="0"/>
          <w:numId w:val="11"/>
        </w:numPr>
        <w:spacing w:after="220"/>
        <w:rPr>
          <w:b/>
          <w:szCs w:val="22"/>
        </w:rPr>
      </w:pPr>
      <w:r>
        <w:rPr>
          <w:b/>
          <w:szCs w:val="22"/>
        </w:rPr>
        <w:t xml:space="preserve">The </w:t>
      </w:r>
      <w:r w:rsidR="00DE677A">
        <w:rPr>
          <w:b/>
          <w:szCs w:val="22"/>
        </w:rPr>
        <w:t xml:space="preserve">Miami Four Seasons </w:t>
      </w:r>
      <w:r w:rsidR="00023279">
        <w:rPr>
          <w:b/>
          <w:szCs w:val="22"/>
        </w:rPr>
        <w:t>Devices</w:t>
      </w:r>
    </w:p>
    <w:p w:rsidR="00E45A2E" w:rsidRPr="00DE677A" w:rsidRDefault="00097BA0" w:rsidP="00AE7279">
      <w:pPr>
        <w:pStyle w:val="ParaNum"/>
        <w:widowControl/>
        <w:numPr>
          <w:ilvl w:val="1"/>
          <w:numId w:val="11"/>
        </w:numPr>
        <w:spacing w:after="220"/>
        <w:rPr>
          <w:b/>
          <w:szCs w:val="22"/>
        </w:rPr>
      </w:pPr>
      <w:r>
        <w:rPr>
          <w:b/>
          <w:szCs w:val="22"/>
        </w:rPr>
        <w:t xml:space="preserve">The </w:t>
      </w:r>
      <w:r w:rsidR="00E45A2E">
        <w:rPr>
          <w:b/>
          <w:szCs w:val="22"/>
        </w:rPr>
        <w:t xml:space="preserve">Fort Lauderdale </w:t>
      </w:r>
      <w:r>
        <w:rPr>
          <w:b/>
          <w:szCs w:val="22"/>
        </w:rPr>
        <w:t>Interference</w:t>
      </w:r>
    </w:p>
    <w:p w:rsidR="00431B35" w:rsidRDefault="008551C9" w:rsidP="00AE7279">
      <w:pPr>
        <w:pStyle w:val="ParaNum"/>
        <w:widowControl/>
        <w:tabs>
          <w:tab w:val="clear" w:pos="1080"/>
          <w:tab w:val="num" w:pos="1440"/>
        </w:tabs>
        <w:spacing w:after="220"/>
      </w:pPr>
      <w:r w:rsidRPr="00A96D72">
        <w:t>T</w:t>
      </w:r>
      <w:r w:rsidR="00E511B3" w:rsidRPr="00A96D72">
        <w:t xml:space="preserve">he </w:t>
      </w:r>
      <w:r w:rsidR="003876BC">
        <w:t xml:space="preserve">Fort Lauderdale </w:t>
      </w:r>
      <w:r w:rsidR="00E511B3" w:rsidRPr="00A96D72">
        <w:t>TDWR operat</w:t>
      </w:r>
      <w:r w:rsidRPr="00A96D72">
        <w:t>es</w:t>
      </w:r>
      <w:r w:rsidR="008C2BAF">
        <w:t xml:space="preserve"> on a</w:t>
      </w:r>
      <w:r w:rsidR="00E511B3" w:rsidRPr="00A96D72">
        <w:t xml:space="preserve"> center frequency of 5</w:t>
      </w:r>
      <w:r w:rsidR="00D553AF">
        <w:t>.</w:t>
      </w:r>
      <w:r w:rsidR="00E511B3" w:rsidRPr="00A96D72">
        <w:t xml:space="preserve">645 </w:t>
      </w:r>
      <w:r w:rsidR="00D553AF">
        <w:t>G</w:t>
      </w:r>
      <w:r w:rsidR="00E511B3" w:rsidRPr="00A96D72">
        <w:t>Hz.  The Four Seasons Building</w:t>
      </w:r>
      <w:r w:rsidR="000402E8" w:rsidRPr="00A96D72">
        <w:t>, located at 1435 Brickell Avenue, Miami, F</w:t>
      </w:r>
      <w:r w:rsidR="00F20C5B" w:rsidRPr="00A96D72">
        <w:t>lorida,</w:t>
      </w:r>
      <w:r w:rsidR="000402E8" w:rsidRPr="00A96D72">
        <w:t xml:space="preserve"> </w:t>
      </w:r>
      <w:r w:rsidR="00513BD0">
        <w:t>is located within line-of-</w:t>
      </w:r>
      <w:r w:rsidR="00E511B3" w:rsidRPr="00A96D72">
        <w:t xml:space="preserve">sight of the </w:t>
      </w:r>
      <w:r w:rsidR="003876BC">
        <w:t xml:space="preserve">Fort Lauderdale </w:t>
      </w:r>
      <w:r w:rsidR="00E511B3" w:rsidRPr="00A96D72">
        <w:t>TDWR.</w:t>
      </w:r>
      <w:r w:rsidR="00097BA0">
        <w:t xml:space="preserve">  </w:t>
      </w:r>
      <w:bookmarkStart w:id="12" w:name="_Ref354485126"/>
      <w:r w:rsidR="00015FE4" w:rsidRPr="00A96D72">
        <w:t xml:space="preserve">On </w:t>
      </w:r>
      <w:r w:rsidR="00B85A5F" w:rsidRPr="00A96D72">
        <w:t xml:space="preserve">September 13, 2012, in response to complaints of interference to the </w:t>
      </w:r>
      <w:r w:rsidR="003876BC">
        <w:t xml:space="preserve">Fort Lauderdale </w:t>
      </w:r>
      <w:r w:rsidR="00B85A5F" w:rsidRPr="00A96D72">
        <w:t>TDWR, agents from the Miami Office</w:t>
      </w:r>
      <w:r w:rsidR="00D02A96">
        <w:t xml:space="preserve">, using hand-held direction finding equipment, </w:t>
      </w:r>
      <w:r w:rsidR="00B85A5F" w:rsidRPr="00A96D72">
        <w:t>determined that two of Towerstream’s U-NII devices were</w:t>
      </w:r>
      <w:r w:rsidR="0034274A" w:rsidRPr="00A96D72">
        <w:t xml:space="preserve"> operating on the frequency </w:t>
      </w:r>
      <w:r w:rsidRPr="00A96D72">
        <w:t>bands of</w:t>
      </w:r>
      <w:r w:rsidR="00B85A5F" w:rsidRPr="00A96D72">
        <w:t xml:space="preserve"> </w:t>
      </w:r>
      <w:r w:rsidR="0034274A" w:rsidRPr="00A96D72">
        <w:t>5</w:t>
      </w:r>
      <w:r w:rsidR="00D553AF">
        <w:t>.</w:t>
      </w:r>
      <w:r w:rsidR="0034274A" w:rsidRPr="00A96D72">
        <w:t>635-5</w:t>
      </w:r>
      <w:r w:rsidR="00D553AF">
        <w:t>.</w:t>
      </w:r>
      <w:r w:rsidR="0034274A" w:rsidRPr="00A96D72">
        <w:t>655</w:t>
      </w:r>
      <w:r w:rsidR="00B85A5F" w:rsidRPr="00A96D72">
        <w:t xml:space="preserve"> </w:t>
      </w:r>
      <w:r w:rsidR="00D553AF">
        <w:t>G</w:t>
      </w:r>
      <w:r w:rsidR="00B85A5F" w:rsidRPr="00A96D72">
        <w:t xml:space="preserve">Hz and </w:t>
      </w:r>
      <w:r w:rsidR="0034274A" w:rsidRPr="00A96D72">
        <w:t>5</w:t>
      </w:r>
      <w:r w:rsidR="00D553AF">
        <w:t>.</w:t>
      </w:r>
      <w:r w:rsidR="0034274A" w:rsidRPr="00A96D72">
        <w:t>655-5</w:t>
      </w:r>
      <w:r w:rsidR="00D553AF">
        <w:t>.</w:t>
      </w:r>
      <w:r w:rsidR="0034274A" w:rsidRPr="00A96D72">
        <w:t>675</w:t>
      </w:r>
      <w:r w:rsidR="00B85A5F" w:rsidRPr="00A96D72">
        <w:t xml:space="preserve"> </w:t>
      </w:r>
      <w:r w:rsidR="00D553AF">
        <w:t>G</w:t>
      </w:r>
      <w:r w:rsidR="00B85A5F" w:rsidRPr="00A96D72">
        <w:t xml:space="preserve">Hz from </w:t>
      </w:r>
      <w:r w:rsidR="00DE677A" w:rsidRPr="00A96D72">
        <w:t>a</w:t>
      </w:r>
      <w:r w:rsidR="00B85A5F" w:rsidRPr="00A96D72">
        <w:t xml:space="preserve">top </w:t>
      </w:r>
      <w:r w:rsidR="003876BC">
        <w:t>the Four Seasons Building</w:t>
      </w:r>
      <w:r w:rsidR="00E45A2E">
        <w:t xml:space="preserve"> (collectively </w:t>
      </w:r>
      <w:r w:rsidR="005E1F55">
        <w:t xml:space="preserve">the </w:t>
      </w:r>
      <w:r w:rsidR="00E45A2E">
        <w:t>Miami U-NII devices)</w:t>
      </w:r>
      <w:r w:rsidR="00B85A5F" w:rsidRPr="00A96D72">
        <w:t xml:space="preserve">.  The agents determined that </w:t>
      </w:r>
      <w:r w:rsidR="00E511B3" w:rsidRPr="00A96D72">
        <w:t>these</w:t>
      </w:r>
      <w:r w:rsidR="00B85A5F" w:rsidRPr="00A96D72">
        <w:t xml:space="preserve"> devices were causing interference to the </w:t>
      </w:r>
      <w:r w:rsidR="003876BC">
        <w:t xml:space="preserve">Fort Lauderdale </w:t>
      </w:r>
      <w:r w:rsidR="00B85A5F" w:rsidRPr="00A96D72">
        <w:t>TDWR</w:t>
      </w:r>
      <w:r w:rsidR="009D608E" w:rsidRPr="00A96D72">
        <w:t>.</w:t>
      </w:r>
      <w:r w:rsidR="003300E5" w:rsidRPr="00A96D72">
        <w:t xml:space="preserve">  An</w:t>
      </w:r>
      <w:r w:rsidR="00A7704A" w:rsidRPr="00A96D72">
        <w:t xml:space="preserve"> agent from the Miami Office </w:t>
      </w:r>
      <w:r w:rsidR="00AE7DF3">
        <w:t>contacted Towerstream via telephone</w:t>
      </w:r>
      <w:r w:rsidR="002A4BBA">
        <w:t>,</w:t>
      </w:r>
      <w:r w:rsidR="00AE7DF3">
        <w:t xml:space="preserve"> informed the</w:t>
      </w:r>
      <w:r w:rsidR="009B7B6D">
        <w:t xml:space="preserve"> company</w:t>
      </w:r>
      <w:r w:rsidR="00A7704A" w:rsidRPr="00A96D72">
        <w:t xml:space="preserve"> about the interference</w:t>
      </w:r>
      <w:r w:rsidR="002A4BBA">
        <w:t>,</w:t>
      </w:r>
      <w:r w:rsidR="003300E5" w:rsidRPr="00A96D72">
        <w:t xml:space="preserve"> and </w:t>
      </w:r>
      <w:r w:rsidR="00DD5E0C" w:rsidRPr="00A96D72">
        <w:t xml:space="preserve">requested </w:t>
      </w:r>
      <w:r w:rsidR="009D608E" w:rsidRPr="00A96D72">
        <w:t xml:space="preserve">a list of </w:t>
      </w:r>
      <w:r w:rsidR="009B7B6D">
        <w:t xml:space="preserve">its </w:t>
      </w:r>
      <w:r w:rsidR="003300E5" w:rsidRPr="00A96D72">
        <w:t>current operating frequencies</w:t>
      </w:r>
      <w:r w:rsidR="009D608E" w:rsidRPr="00A96D72">
        <w:t xml:space="preserve">.  </w:t>
      </w:r>
      <w:r w:rsidR="00FA72F7" w:rsidRPr="00A96D72">
        <w:t xml:space="preserve">Towerstream </w:t>
      </w:r>
      <w:r w:rsidR="00FA72F7">
        <w:t>provided lists, verbally via telephone</w:t>
      </w:r>
      <w:r w:rsidR="00F0351A">
        <w:t>,</w:t>
      </w:r>
      <w:r w:rsidR="00FA72F7">
        <w:t xml:space="preserve"> and by email, of the operating frequencies at the Four Seasons Building,</w:t>
      </w:r>
      <w:r w:rsidR="00FA72F7" w:rsidRPr="00A96D72">
        <w:t xml:space="preserve"> which included center frequencies of 4</w:t>
      </w:r>
      <w:r w:rsidR="00FA72F7">
        <w:t>.</w:t>
      </w:r>
      <w:r w:rsidR="00FA72F7" w:rsidRPr="00A96D72">
        <w:t xml:space="preserve">965 </w:t>
      </w:r>
      <w:r w:rsidR="00FA72F7">
        <w:t>G</w:t>
      </w:r>
      <w:r w:rsidR="00FA72F7" w:rsidRPr="00A96D72">
        <w:t>Hz, 5</w:t>
      </w:r>
      <w:r w:rsidR="00FA72F7">
        <w:t>.</w:t>
      </w:r>
      <w:r w:rsidR="00FA72F7" w:rsidRPr="00A96D72">
        <w:t xml:space="preserve">645 </w:t>
      </w:r>
      <w:r w:rsidR="00FA72F7">
        <w:t>G</w:t>
      </w:r>
      <w:r w:rsidR="00FA72F7" w:rsidRPr="00A96D72">
        <w:t>Hz, and 5</w:t>
      </w:r>
      <w:r w:rsidR="00FA72F7">
        <w:t>.6</w:t>
      </w:r>
      <w:r w:rsidR="00FA72F7" w:rsidRPr="00A96D72">
        <w:t xml:space="preserve">65 </w:t>
      </w:r>
      <w:r w:rsidR="00FA72F7">
        <w:t>G</w:t>
      </w:r>
      <w:r w:rsidR="00FA72F7" w:rsidRPr="00A96D72">
        <w:t>Hz.</w:t>
      </w:r>
      <w:bookmarkStart w:id="13" w:name="_Ref354482456"/>
      <w:r w:rsidR="00FA72F7">
        <w:rPr>
          <w:rStyle w:val="FootnoteReference"/>
        </w:rPr>
        <w:footnoteReference w:id="35"/>
      </w:r>
      <w:bookmarkEnd w:id="13"/>
      <w:r w:rsidR="009D608E" w:rsidRPr="00A96D72">
        <w:t xml:space="preserve">  </w:t>
      </w:r>
      <w:r w:rsidR="00DD5E0C" w:rsidRPr="00A96D72">
        <w:t>T</w:t>
      </w:r>
      <w:r w:rsidR="00A7704A" w:rsidRPr="00A96D72">
        <w:t xml:space="preserve">owerstream </w:t>
      </w:r>
      <w:r w:rsidR="000402E8" w:rsidRPr="00A96D72">
        <w:t xml:space="preserve">verbally </w:t>
      </w:r>
      <w:r w:rsidR="00A7704A" w:rsidRPr="00A96D72">
        <w:t>agreed to</w:t>
      </w:r>
      <w:r w:rsidR="000402E8" w:rsidRPr="00A96D72">
        <w:t xml:space="preserve"> </w:t>
      </w:r>
      <w:r w:rsidR="00913207">
        <w:t xml:space="preserve">implement a spectrum buffer around the Fort Lauderdale and Miami TDWR frequencies </w:t>
      </w:r>
      <w:r w:rsidR="007A4FF7" w:rsidRPr="00A96D72">
        <w:t xml:space="preserve">in close proximity to the </w:t>
      </w:r>
      <w:r w:rsidR="003876BC">
        <w:t xml:space="preserve">Fort Lauderdale and Miami </w:t>
      </w:r>
      <w:r w:rsidR="007A4FF7" w:rsidRPr="00A96D72">
        <w:t>TDWR</w:t>
      </w:r>
      <w:r w:rsidR="003876BC">
        <w:t>s</w:t>
      </w:r>
      <w:r w:rsidR="007A4FF7" w:rsidRPr="00A96D72">
        <w:t xml:space="preserve">.  </w:t>
      </w:r>
      <w:r w:rsidR="00DE35F1">
        <w:t>On</w:t>
      </w:r>
      <w:r w:rsidR="00DD5E0C" w:rsidRPr="00A96D72">
        <w:t xml:space="preserve"> September </w:t>
      </w:r>
      <w:r w:rsidR="001934C7" w:rsidRPr="00A96D72">
        <w:t xml:space="preserve">19, 2012, Towerstream </w:t>
      </w:r>
      <w:r w:rsidR="000D3C4A">
        <w:t>provided</w:t>
      </w:r>
      <w:r w:rsidR="00DD5E0C" w:rsidRPr="00A96D72">
        <w:t xml:space="preserve"> an agent from the Miami Office</w:t>
      </w:r>
      <w:r w:rsidR="000D3C4A">
        <w:t xml:space="preserve"> a</w:t>
      </w:r>
      <w:r w:rsidR="00DD5E0C" w:rsidRPr="00A96D72">
        <w:t xml:space="preserve"> </w:t>
      </w:r>
      <w:r w:rsidR="000D3C4A" w:rsidRPr="00A96D72">
        <w:t>list</w:t>
      </w:r>
      <w:r w:rsidR="000D3C4A">
        <w:t xml:space="preserve"> of</w:t>
      </w:r>
      <w:r w:rsidR="000D3C4A" w:rsidRPr="00A96D72">
        <w:t xml:space="preserve"> </w:t>
      </w:r>
      <w:r w:rsidR="00DD5E0C" w:rsidRPr="00A96D72">
        <w:t>the</w:t>
      </w:r>
      <w:r w:rsidR="00F02F3E" w:rsidRPr="00A96D72">
        <w:t xml:space="preserve"> “new”</w:t>
      </w:r>
      <w:r w:rsidR="00DD5E0C" w:rsidRPr="00A96D72">
        <w:t xml:space="preserve"> </w:t>
      </w:r>
      <w:r w:rsidRPr="00A96D72">
        <w:t>center</w:t>
      </w:r>
      <w:r w:rsidR="00E61E21" w:rsidRPr="00A96D72">
        <w:t xml:space="preserve"> frequencies at </w:t>
      </w:r>
      <w:r w:rsidR="00E45A2E">
        <w:t>the building</w:t>
      </w:r>
      <w:r w:rsidR="009D608E" w:rsidRPr="00A96D72">
        <w:t xml:space="preserve">, which did not </w:t>
      </w:r>
      <w:r w:rsidR="00D24FB3" w:rsidRPr="00A96D72">
        <w:t xml:space="preserve">include </w:t>
      </w:r>
      <w:r w:rsidR="009D608E" w:rsidRPr="00A96D72">
        <w:t>5</w:t>
      </w:r>
      <w:r w:rsidR="00D553AF">
        <w:t>.</w:t>
      </w:r>
      <w:r w:rsidR="009D608E" w:rsidRPr="00A96D72">
        <w:t xml:space="preserve">645 </w:t>
      </w:r>
      <w:r w:rsidR="00D553AF">
        <w:t>G</w:t>
      </w:r>
      <w:r w:rsidR="009D608E" w:rsidRPr="00A96D72">
        <w:t>Hz and 5</w:t>
      </w:r>
      <w:r w:rsidR="00D553AF">
        <w:t>.</w:t>
      </w:r>
      <w:r w:rsidR="009D608E" w:rsidRPr="00A96D72">
        <w:t xml:space="preserve">665 </w:t>
      </w:r>
      <w:r w:rsidR="00D553AF">
        <w:t>G</w:t>
      </w:r>
      <w:r w:rsidR="009D608E" w:rsidRPr="00A96D72">
        <w:t>Hz, but which continued to list an operating frequency of 4</w:t>
      </w:r>
      <w:r w:rsidR="00D553AF">
        <w:t>.</w:t>
      </w:r>
      <w:r w:rsidR="009D608E" w:rsidRPr="00A96D72">
        <w:t xml:space="preserve">965 </w:t>
      </w:r>
      <w:r w:rsidR="00D553AF">
        <w:t>G</w:t>
      </w:r>
      <w:r w:rsidR="009D608E" w:rsidRPr="00A96D72">
        <w:t>Hz.</w:t>
      </w:r>
      <w:bookmarkStart w:id="14" w:name="_Ref349294587"/>
      <w:r w:rsidR="00DE677A" w:rsidRPr="00A96D72">
        <w:rPr>
          <w:rStyle w:val="FootnoteReference"/>
        </w:rPr>
        <w:footnoteReference w:id="36"/>
      </w:r>
      <w:bookmarkEnd w:id="14"/>
      <w:r w:rsidR="00BA7490" w:rsidRPr="00A96D72">
        <w:t xml:space="preserve">  T</w:t>
      </w:r>
      <w:r w:rsidR="009D608E" w:rsidRPr="00A96D72">
        <w:t xml:space="preserve">he </w:t>
      </w:r>
      <w:r w:rsidR="00666A54" w:rsidRPr="00A96D72">
        <w:t xml:space="preserve">agent received information </w:t>
      </w:r>
      <w:r w:rsidR="00E45A2E">
        <w:t>that the interference to the Fort Lauderdale</w:t>
      </w:r>
      <w:r w:rsidR="009D608E" w:rsidRPr="00A96D72">
        <w:t xml:space="preserve"> TDWR ceased on September 18, 2012</w:t>
      </w:r>
      <w:r w:rsidR="00375B59">
        <w:t>,</w:t>
      </w:r>
      <w:r w:rsidR="00BA7490" w:rsidRPr="00A96D72">
        <w:t xml:space="preserve"> af</w:t>
      </w:r>
      <w:r w:rsidR="00D24FB3" w:rsidRPr="00A96D72">
        <w:t xml:space="preserve">ter Towerstream </w:t>
      </w:r>
      <w:r w:rsidR="00A45435">
        <w:t xml:space="preserve">had </w:t>
      </w:r>
      <w:r w:rsidR="00D24FB3" w:rsidRPr="00A96D72">
        <w:t>change</w:t>
      </w:r>
      <w:r w:rsidR="00BA7490" w:rsidRPr="00A96D72">
        <w:t>d frequencies</w:t>
      </w:r>
      <w:r w:rsidR="009D608E" w:rsidRPr="00A96D72">
        <w:t>.</w:t>
      </w:r>
      <w:bookmarkEnd w:id="12"/>
      <w:r w:rsidR="009D608E" w:rsidRPr="00A96D72">
        <w:t xml:space="preserve"> </w:t>
      </w:r>
      <w:r w:rsidR="00F02F3E" w:rsidRPr="00A96D72">
        <w:t xml:space="preserve"> </w:t>
      </w:r>
      <w:r w:rsidR="009D608E" w:rsidRPr="00A96D72">
        <w:t xml:space="preserve"> </w:t>
      </w:r>
      <w:r w:rsidR="00F02F3E" w:rsidRPr="00A96D72">
        <w:t xml:space="preserve"> </w:t>
      </w:r>
      <w:r w:rsidR="001934C7" w:rsidRPr="00A96D72">
        <w:t xml:space="preserve"> </w:t>
      </w:r>
    </w:p>
    <w:p w:rsidR="00B85A5F" w:rsidRDefault="007C06FA" w:rsidP="00AE7279">
      <w:pPr>
        <w:pStyle w:val="ParaNum"/>
        <w:widowControl/>
        <w:tabs>
          <w:tab w:val="clear" w:pos="1080"/>
          <w:tab w:val="num" w:pos="1440"/>
        </w:tabs>
        <w:spacing w:after="220"/>
      </w:pPr>
      <w:r>
        <w:t>Subsequently</w:t>
      </w:r>
      <w:r w:rsidR="007A4FF7" w:rsidRPr="00A96D72">
        <w:t>, the Miami Office</w:t>
      </w:r>
      <w:r w:rsidR="005134F1">
        <w:t xml:space="preserve"> reiterated its verbal warning with a written</w:t>
      </w:r>
      <w:r w:rsidR="007A4FF7" w:rsidRPr="00A96D72">
        <w:t xml:space="preserve"> Notification of Harmful Interference</w:t>
      </w:r>
      <w:r w:rsidR="005134F1">
        <w:t>,</w:t>
      </w:r>
      <w:r w:rsidR="007A4FF7" w:rsidRPr="00A96D72">
        <w:t xml:space="preserve"> stating that </w:t>
      </w:r>
      <w:r w:rsidR="009B7B6D">
        <w:t xml:space="preserve">the company’s </w:t>
      </w:r>
      <w:r w:rsidR="007A4FF7" w:rsidRPr="00A96D72">
        <w:t>operations</w:t>
      </w:r>
      <w:r w:rsidR="007A4FF7">
        <w:t xml:space="preserve"> on </w:t>
      </w:r>
      <w:r w:rsidR="004609CF">
        <w:t xml:space="preserve">the </w:t>
      </w:r>
      <w:r w:rsidR="00666A54">
        <w:t xml:space="preserve">center frequencies </w:t>
      </w:r>
      <w:r w:rsidR="007A4FF7">
        <w:t>5</w:t>
      </w:r>
      <w:r w:rsidR="00D553AF">
        <w:t>.</w:t>
      </w:r>
      <w:r w:rsidR="007A4FF7">
        <w:t xml:space="preserve">645 </w:t>
      </w:r>
      <w:r w:rsidR="00D553AF">
        <w:t>G</w:t>
      </w:r>
      <w:r w:rsidR="007A4FF7">
        <w:t>Hz and 5</w:t>
      </w:r>
      <w:r w:rsidR="00D553AF">
        <w:t>.</w:t>
      </w:r>
      <w:r w:rsidR="007A4FF7">
        <w:t xml:space="preserve">665 </w:t>
      </w:r>
      <w:r w:rsidR="00D553AF">
        <w:t>G</w:t>
      </w:r>
      <w:r w:rsidR="007A4FF7">
        <w:t xml:space="preserve">Hz from </w:t>
      </w:r>
      <w:r w:rsidR="00076E27">
        <w:t>a</w:t>
      </w:r>
      <w:r w:rsidR="00E45A2E">
        <w:t>top the Four Seasons Building</w:t>
      </w:r>
      <w:r w:rsidR="00E511B3">
        <w:t xml:space="preserve"> in Miami </w:t>
      </w:r>
      <w:r w:rsidR="004902A8">
        <w:t xml:space="preserve">on September 13, 2012, </w:t>
      </w:r>
      <w:r w:rsidR="00E45A2E">
        <w:t>caused</w:t>
      </w:r>
      <w:r w:rsidR="007A4FF7">
        <w:t xml:space="preserve"> harmful interference to the F</w:t>
      </w:r>
      <w:r w:rsidR="00E45A2E">
        <w:t>ort Lauderdale TDWR</w:t>
      </w:r>
      <w:r w:rsidR="007A4FF7">
        <w:t xml:space="preserve"> and must </w:t>
      </w:r>
      <w:r w:rsidR="00E45A2E">
        <w:t>not resum</w:t>
      </w:r>
      <w:r w:rsidR="007A4FF7">
        <w:t>e until the interference c</w:t>
      </w:r>
      <w:r>
        <w:t>ould</w:t>
      </w:r>
      <w:r w:rsidR="007A4FF7">
        <w:t xml:space="preserve"> be resolved.</w:t>
      </w:r>
      <w:r w:rsidR="008C6404">
        <w:rPr>
          <w:rStyle w:val="FootnoteReference"/>
        </w:rPr>
        <w:footnoteReference w:id="37"/>
      </w:r>
      <w:r w:rsidR="007A4FF7">
        <w:t xml:space="preserve">  In response, </w:t>
      </w:r>
      <w:r w:rsidR="008C6404">
        <w:t xml:space="preserve">Towerstream stated that it “has insufficient information that its operations were the cause of the harmful interference experienced by the FLL </w:t>
      </w:r>
      <w:r w:rsidR="009B7B6D">
        <w:t xml:space="preserve">[Fort Lauderdale] </w:t>
      </w:r>
      <w:r w:rsidR="008C6404">
        <w:t>TDWR</w:t>
      </w:r>
      <w:r w:rsidR="00D253B1">
        <w:t xml:space="preserve"> . . . ,</w:t>
      </w:r>
      <w:r w:rsidR="008C6404">
        <w:t xml:space="preserve">” but nevertheless “ceased operations on, and will not resume operations on, the </w:t>
      </w:r>
      <w:r w:rsidR="00D553AF">
        <w:t>[</w:t>
      </w:r>
      <w:r w:rsidR="008C6404">
        <w:t>5</w:t>
      </w:r>
      <w:r w:rsidR="00D553AF">
        <w:t>.</w:t>
      </w:r>
      <w:r w:rsidR="008C6404">
        <w:t xml:space="preserve">545 </w:t>
      </w:r>
      <w:r w:rsidR="00D553AF">
        <w:t>G</w:t>
      </w:r>
      <w:r w:rsidR="008C6404">
        <w:t>Hz, 5</w:t>
      </w:r>
      <w:r w:rsidR="00D553AF">
        <w:t>.</w:t>
      </w:r>
      <w:r w:rsidR="008C6404">
        <w:t xml:space="preserve">645 </w:t>
      </w:r>
      <w:r w:rsidR="00D553AF">
        <w:t>G</w:t>
      </w:r>
      <w:r w:rsidR="008C6404">
        <w:t>Hz, and 5</w:t>
      </w:r>
      <w:r w:rsidR="00D553AF">
        <w:t>.</w:t>
      </w:r>
      <w:r w:rsidR="008C6404">
        <w:t>66</w:t>
      </w:r>
      <w:r w:rsidR="000402E8">
        <w:t>5</w:t>
      </w:r>
      <w:r w:rsidR="008C6404">
        <w:t xml:space="preserve"> </w:t>
      </w:r>
      <w:r w:rsidR="00D553AF">
        <w:t>G</w:t>
      </w:r>
      <w:r w:rsidR="008C6404">
        <w:t>Hz</w:t>
      </w:r>
      <w:r w:rsidR="00D553AF">
        <w:t>]</w:t>
      </w:r>
      <w:r w:rsidR="008C6404">
        <w:t xml:space="preserve"> bands.”</w:t>
      </w:r>
      <w:bookmarkStart w:id="15" w:name="_Ref349302899"/>
      <w:r w:rsidR="008C6404">
        <w:rPr>
          <w:rStyle w:val="FootnoteReference"/>
        </w:rPr>
        <w:footnoteReference w:id="38"/>
      </w:r>
      <w:bookmarkEnd w:id="15"/>
      <w:r w:rsidR="008C6404">
        <w:t xml:space="preserve">  “Additionally, while Towerstream has long had a 30 megahertz guard band in place to protect the Miami International Airport TDWR which is within 35 kilometers of the Four Seasons, Towerstream has now added a 30 megahertz guard band to protect FLL TDWR operations as well.  Towerstream did not previously believe that such a guard band would be necessary for the FLL TDWR operations, as the FLL TDWR is more than 35 kilometers from the Four Seasons.”</w:t>
      </w:r>
      <w:bookmarkStart w:id="16" w:name="_Ref353872092"/>
      <w:r w:rsidR="008C6404">
        <w:rPr>
          <w:rStyle w:val="FootnoteReference"/>
        </w:rPr>
        <w:footnoteReference w:id="39"/>
      </w:r>
      <w:bookmarkEnd w:id="16"/>
    </w:p>
    <w:p w:rsidR="00E45A2E" w:rsidRPr="00E45A2E" w:rsidRDefault="00097BA0" w:rsidP="00AE7279">
      <w:pPr>
        <w:pStyle w:val="ParaNum"/>
        <w:widowControl/>
        <w:numPr>
          <w:ilvl w:val="1"/>
          <w:numId w:val="11"/>
        </w:numPr>
        <w:spacing w:after="220"/>
        <w:rPr>
          <w:b/>
        </w:rPr>
      </w:pPr>
      <w:r>
        <w:rPr>
          <w:b/>
        </w:rPr>
        <w:t xml:space="preserve">The </w:t>
      </w:r>
      <w:r w:rsidR="00E45A2E" w:rsidRPr="00E45A2E">
        <w:rPr>
          <w:b/>
        </w:rPr>
        <w:t xml:space="preserve">Miami </w:t>
      </w:r>
      <w:r>
        <w:rPr>
          <w:b/>
        </w:rPr>
        <w:t>Interference</w:t>
      </w:r>
    </w:p>
    <w:p w:rsidR="00524315" w:rsidRDefault="00040542" w:rsidP="00AE7279">
      <w:pPr>
        <w:pStyle w:val="ParaNum"/>
        <w:widowControl/>
        <w:tabs>
          <w:tab w:val="clear" w:pos="1080"/>
          <w:tab w:val="left" w:pos="1440"/>
        </w:tabs>
        <w:spacing w:after="220"/>
      </w:pPr>
      <w:r>
        <w:t>T</w:t>
      </w:r>
      <w:r w:rsidR="00E511B3">
        <w:t xml:space="preserve">he </w:t>
      </w:r>
      <w:r w:rsidR="00E45A2E">
        <w:t xml:space="preserve">Miami </w:t>
      </w:r>
      <w:r w:rsidR="00E511B3">
        <w:t xml:space="preserve">TDWR </w:t>
      </w:r>
      <w:r>
        <w:t>operates</w:t>
      </w:r>
      <w:r w:rsidR="00E511B3">
        <w:t xml:space="preserve"> on a ce</w:t>
      </w:r>
      <w:r w:rsidR="00E45A2E">
        <w:t>nter frequency of 5</w:t>
      </w:r>
      <w:r w:rsidR="00D553AF">
        <w:t>.</w:t>
      </w:r>
      <w:r w:rsidR="00E45A2E">
        <w:t xml:space="preserve">605 </w:t>
      </w:r>
      <w:r w:rsidR="00D553AF">
        <w:t>G</w:t>
      </w:r>
      <w:r w:rsidR="00E45A2E">
        <w:t>Hz.  The Four Seasons Building</w:t>
      </w:r>
      <w:r w:rsidR="00E511B3">
        <w:t xml:space="preserve"> is located </w:t>
      </w:r>
      <w:r w:rsidR="00513BD0">
        <w:t>within 30 km of and within line-of-</w:t>
      </w:r>
      <w:r w:rsidR="00E511B3">
        <w:t xml:space="preserve">sight of the </w:t>
      </w:r>
      <w:r w:rsidR="00E45A2E">
        <w:t xml:space="preserve">Miami </w:t>
      </w:r>
      <w:r w:rsidR="00E511B3">
        <w:t xml:space="preserve">TDWR.  </w:t>
      </w:r>
      <w:bookmarkStart w:id="17" w:name="_Ref354485166"/>
      <w:r w:rsidR="00B85A5F">
        <w:t xml:space="preserve">On October </w:t>
      </w:r>
      <w:r w:rsidR="00524315">
        <w:t xml:space="preserve">2, 2012, in response to </w:t>
      </w:r>
      <w:r w:rsidR="00B85A5F">
        <w:t xml:space="preserve">complaints of interference to the </w:t>
      </w:r>
      <w:r w:rsidR="00E45A2E">
        <w:t xml:space="preserve">Miami </w:t>
      </w:r>
      <w:r w:rsidR="00B85A5F">
        <w:t xml:space="preserve">TDWR, agents from the Miami Office </w:t>
      </w:r>
      <w:r w:rsidR="005F3CD8">
        <w:t>observ</w:t>
      </w:r>
      <w:r w:rsidR="00B85A5F">
        <w:t xml:space="preserve">ed that one of Towerstream’s U-NII devices </w:t>
      </w:r>
      <w:r w:rsidR="00076E27">
        <w:t>atop</w:t>
      </w:r>
      <w:r w:rsidR="00B85A5F">
        <w:t xml:space="preserve"> </w:t>
      </w:r>
      <w:r w:rsidR="00E45A2E">
        <w:t>the Four Seasons Building</w:t>
      </w:r>
      <w:r w:rsidR="00B85A5F">
        <w:t xml:space="preserve"> </w:t>
      </w:r>
      <w:r w:rsidR="00524315">
        <w:t xml:space="preserve">was operating on the frequency </w:t>
      </w:r>
      <w:r>
        <w:t>band of</w:t>
      </w:r>
      <w:r w:rsidR="0034274A">
        <w:t xml:space="preserve"> 5</w:t>
      </w:r>
      <w:r w:rsidR="00D553AF">
        <w:t>.</w:t>
      </w:r>
      <w:r w:rsidR="0034274A">
        <w:t>575-5</w:t>
      </w:r>
      <w:r w:rsidR="00D553AF">
        <w:t>.</w:t>
      </w:r>
      <w:r w:rsidR="0034274A">
        <w:t>595</w:t>
      </w:r>
      <w:r w:rsidR="00524315">
        <w:t xml:space="preserve"> </w:t>
      </w:r>
      <w:r w:rsidR="00D553AF">
        <w:t>G</w:t>
      </w:r>
      <w:r w:rsidR="00524315">
        <w:t>Hz.  The agents</w:t>
      </w:r>
      <w:r w:rsidR="00D02A96">
        <w:t>, using hand-held direction finding equipment,</w:t>
      </w:r>
      <w:r w:rsidR="00524315">
        <w:t xml:space="preserve"> determined that </w:t>
      </w:r>
      <w:r w:rsidR="00E511B3">
        <w:t>this</w:t>
      </w:r>
      <w:r w:rsidR="00524315">
        <w:t xml:space="preserve"> device was causing interference to the </w:t>
      </w:r>
      <w:r w:rsidR="00E45A2E">
        <w:t xml:space="preserve">Miami </w:t>
      </w:r>
      <w:r w:rsidR="00524315">
        <w:t>TDWR.</w:t>
      </w:r>
      <w:r w:rsidR="001934C7">
        <w:t xml:space="preserve">  The agents observed that</w:t>
      </w:r>
      <w:r w:rsidR="00375B59">
        <w:t xml:space="preserve"> the interference to the Miami TDWR ceased on October 10, 2012</w:t>
      </w:r>
      <w:r w:rsidR="00A45435">
        <w:t>,</w:t>
      </w:r>
      <w:r w:rsidR="00375B59">
        <w:t xml:space="preserve"> when </w:t>
      </w:r>
      <w:r w:rsidR="001934C7">
        <w:t>Towerstream</w:t>
      </w:r>
      <w:r>
        <w:t xml:space="preserve"> voluntarily stopped operating o</w:t>
      </w:r>
      <w:r w:rsidR="001934C7">
        <w:t xml:space="preserve">n </w:t>
      </w:r>
      <w:r w:rsidR="0034274A">
        <w:t>this</w:t>
      </w:r>
      <w:r w:rsidR="00076E27">
        <w:t xml:space="preserve"> frequency </w:t>
      </w:r>
      <w:r>
        <w:t>band</w:t>
      </w:r>
      <w:r w:rsidR="001934C7">
        <w:t>.</w:t>
      </w:r>
      <w:bookmarkEnd w:id="17"/>
    </w:p>
    <w:p w:rsidR="00015FE4" w:rsidRPr="002323A2" w:rsidRDefault="00CC3B8E" w:rsidP="007247A7">
      <w:pPr>
        <w:pStyle w:val="ParaNum"/>
        <w:widowControl/>
        <w:tabs>
          <w:tab w:val="clear" w:pos="1080"/>
          <w:tab w:val="left" w:pos="1440"/>
        </w:tabs>
        <w:spacing w:after="220"/>
      </w:pPr>
      <w:bookmarkStart w:id="18" w:name="_Ref354485269"/>
      <w:r>
        <w:t>In addition, o</w:t>
      </w:r>
      <w:r w:rsidR="001934C7">
        <w:t xml:space="preserve">n </w:t>
      </w:r>
      <w:r w:rsidR="00666A54">
        <w:t>October 2, 2012</w:t>
      </w:r>
      <w:r w:rsidR="000A1E17">
        <w:t>,</w:t>
      </w:r>
      <w:r w:rsidR="00666A54">
        <w:t xml:space="preserve"> and </w:t>
      </w:r>
      <w:r w:rsidR="001934C7">
        <w:t>November 8, 2012, agents from the Miami Office determined</w:t>
      </w:r>
      <w:r w:rsidR="00A15E31">
        <w:t xml:space="preserve"> that one of Towerstream’s broadband wireless transceiver</w:t>
      </w:r>
      <w:r w:rsidR="00040542">
        <w:t>s</w:t>
      </w:r>
      <w:r w:rsidR="001934C7">
        <w:t xml:space="preserve"> </w:t>
      </w:r>
      <w:r w:rsidR="00076E27">
        <w:t>a</w:t>
      </w:r>
      <w:r w:rsidR="001934C7">
        <w:t xml:space="preserve">top </w:t>
      </w:r>
      <w:r w:rsidR="00E45A2E">
        <w:t>the Four Seasons Building</w:t>
      </w:r>
      <w:r w:rsidR="001934C7">
        <w:t xml:space="preserve"> was operating on the </w:t>
      </w:r>
      <w:r w:rsidR="00040542">
        <w:t xml:space="preserve">center </w:t>
      </w:r>
      <w:r w:rsidR="001934C7">
        <w:t>frequency 4</w:t>
      </w:r>
      <w:r w:rsidR="00D553AF">
        <w:t>.</w:t>
      </w:r>
      <w:r w:rsidR="001934C7">
        <w:t xml:space="preserve">965 </w:t>
      </w:r>
      <w:r w:rsidR="00D553AF">
        <w:t>G</w:t>
      </w:r>
      <w:r w:rsidR="001934C7">
        <w:t>Hz</w:t>
      </w:r>
      <w:r w:rsidR="004609CF">
        <w:t>, thus confirming information previously provided by Towerstream regarding its operational frequencies</w:t>
      </w:r>
      <w:r w:rsidR="001934C7">
        <w:t>.</w:t>
      </w:r>
      <w:r w:rsidR="004609CF">
        <w:rPr>
          <w:rStyle w:val="FootnoteReference"/>
        </w:rPr>
        <w:footnoteReference w:id="40"/>
      </w:r>
      <w:r w:rsidR="00F86254">
        <w:t xml:space="preserve">  </w:t>
      </w:r>
      <w:r w:rsidR="00FA72F7">
        <w:t>Part 15 operations are strictly prohibited in the 4.5-5.15 GHz band.</w:t>
      </w:r>
      <w:r w:rsidR="00FA72F7">
        <w:rPr>
          <w:rStyle w:val="FootnoteReference"/>
        </w:rPr>
        <w:footnoteReference w:id="41"/>
      </w:r>
      <w:r w:rsidR="00FA72F7">
        <w:t xml:space="preserve">  </w:t>
      </w:r>
      <w:r w:rsidR="007C06FA">
        <w:t>Subsequently</w:t>
      </w:r>
      <w:r w:rsidR="00E61E21">
        <w:t>, an agent from the Miami Office left a voice message for Towerstream</w:t>
      </w:r>
      <w:r w:rsidR="00BD4B7D">
        <w:t>,</w:t>
      </w:r>
      <w:r w:rsidR="00E61E21">
        <w:t xml:space="preserve"> inquiring whether </w:t>
      </w:r>
      <w:r w:rsidR="009B7B6D">
        <w:t>it has</w:t>
      </w:r>
      <w:r w:rsidR="00E61E21">
        <w:t xml:space="preserve"> a license to operate on 4</w:t>
      </w:r>
      <w:r w:rsidR="00D553AF">
        <w:t>.</w:t>
      </w:r>
      <w:r w:rsidR="00E61E21">
        <w:t xml:space="preserve">965 </w:t>
      </w:r>
      <w:r w:rsidR="00D553AF">
        <w:t>G</w:t>
      </w:r>
      <w:r w:rsidR="00E61E21">
        <w:t xml:space="preserve">Hz from </w:t>
      </w:r>
      <w:r w:rsidR="00E45A2E">
        <w:t>this location</w:t>
      </w:r>
      <w:r w:rsidR="009625E9">
        <w:t>.</w:t>
      </w:r>
      <w:r w:rsidR="007C06FA">
        <w:rPr>
          <w:rStyle w:val="FootnoteReference"/>
        </w:rPr>
        <w:footnoteReference w:id="42"/>
      </w:r>
      <w:r w:rsidR="009625E9">
        <w:t xml:space="preserve">  While,</w:t>
      </w:r>
      <w:r w:rsidR="00E61E21">
        <w:t xml:space="preserve"> </w:t>
      </w:r>
      <w:r w:rsidR="00076E27">
        <w:t xml:space="preserve">to date, </w:t>
      </w:r>
      <w:r w:rsidR="0038142B">
        <w:t>we have no record of receiving any response from the company</w:t>
      </w:r>
      <w:r w:rsidR="009625E9">
        <w:t>, according to Commission records, Towerstream does not hold an authorization to operate on 4.965 GHz from this location</w:t>
      </w:r>
      <w:r w:rsidR="00E61E21">
        <w:t>.</w:t>
      </w:r>
      <w:bookmarkEnd w:id="18"/>
    </w:p>
    <w:p w:rsidR="00015FE4" w:rsidRPr="002323A2" w:rsidRDefault="00015FE4" w:rsidP="00AE7279">
      <w:pPr>
        <w:pStyle w:val="Heading1"/>
        <w:widowControl/>
        <w:spacing w:after="220"/>
        <w:rPr>
          <w:rFonts w:ascii="Times New Roman" w:hAnsi="Times New Roman"/>
        </w:rPr>
      </w:pPr>
      <w:r w:rsidRPr="002323A2">
        <w:rPr>
          <w:rFonts w:ascii="Times New Roman" w:hAnsi="Times New Roman"/>
        </w:rPr>
        <w:t>DISCUSSION</w:t>
      </w:r>
    </w:p>
    <w:p w:rsidR="00015FE4" w:rsidRPr="004150C5" w:rsidRDefault="00015FE4" w:rsidP="00AE7279">
      <w:pPr>
        <w:pStyle w:val="ParaNum"/>
        <w:widowControl/>
        <w:tabs>
          <w:tab w:val="clear" w:pos="1080"/>
          <w:tab w:val="num" w:pos="1440"/>
        </w:tabs>
        <w:spacing w:after="220"/>
        <w:rPr>
          <w:color w:val="000000"/>
        </w:rPr>
      </w:pPr>
      <w:r w:rsidRPr="002323A2">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323A2">
        <w:rPr>
          <w:rStyle w:val="FootnoteReference"/>
          <w:szCs w:val="22"/>
        </w:rPr>
        <w:footnoteReference w:id="43"/>
      </w:r>
      <w:r w:rsidRPr="002323A2">
        <w:t xml:space="preserve">  </w:t>
      </w:r>
      <w:r w:rsidRPr="002323A2">
        <w:rPr>
          <w:color w:val="000000"/>
        </w:rPr>
        <w:t>Section 312(f)(1) of the Act defines “willful” as the</w:t>
      </w:r>
      <w:r w:rsidRPr="004150C5">
        <w:rPr>
          <w:color w:val="000000"/>
        </w:rPr>
        <w:t xml:space="preserve"> “conscious and deliberate commission or omission of [any] act, irrespective of any intent to violate” the law.</w:t>
      </w:r>
      <w:r w:rsidRPr="004150C5">
        <w:rPr>
          <w:rStyle w:val="FootnoteReference"/>
          <w:color w:val="000000"/>
          <w:szCs w:val="22"/>
        </w:rPr>
        <w:footnoteReference w:id="44"/>
      </w:r>
      <w:r w:rsidRPr="004150C5">
        <w:rPr>
          <w:color w:val="000000"/>
        </w:rPr>
        <w:t xml:space="preserve">  The legislative history to Section 312(f)(1) of the Act clarifies that this definition of willful applies to both Sections 312 and 503(b) of the Act,</w:t>
      </w:r>
      <w:r w:rsidRPr="004150C5">
        <w:rPr>
          <w:rStyle w:val="FootnoteReference"/>
          <w:color w:val="000000"/>
          <w:szCs w:val="22"/>
        </w:rPr>
        <w:footnoteReference w:id="45"/>
      </w:r>
      <w:r w:rsidRPr="004150C5">
        <w:rPr>
          <w:color w:val="000000"/>
        </w:rPr>
        <w:t xml:space="preserve"> and the Commission has so interpreted the term in the Section 503(b) context.</w:t>
      </w:r>
      <w:r w:rsidRPr="004150C5">
        <w:rPr>
          <w:rStyle w:val="FootnoteReference"/>
          <w:color w:val="000000"/>
          <w:szCs w:val="22"/>
        </w:rPr>
        <w:footnoteReference w:id="46"/>
      </w:r>
      <w:r w:rsidRPr="004150C5">
        <w:rPr>
          <w:color w:val="000000"/>
        </w:rPr>
        <w:t xml:space="preserve">  The Commission may also assess a forfeiture for violations that are merely repeated, and not willful.</w:t>
      </w:r>
      <w:r w:rsidRPr="004150C5">
        <w:rPr>
          <w:rStyle w:val="FootnoteReference"/>
          <w:color w:val="000000"/>
          <w:szCs w:val="22"/>
        </w:rPr>
        <w:footnoteReference w:id="47"/>
      </w:r>
      <w:r w:rsidRPr="004150C5">
        <w:rPr>
          <w:color w:val="000000"/>
        </w:rPr>
        <w:t xml:space="preserve">  The term “repeated” means the commission or omission of such act more than once or for more than one day.</w:t>
      </w:r>
      <w:r w:rsidRPr="004150C5">
        <w:rPr>
          <w:rStyle w:val="FootnoteReference"/>
          <w:color w:val="000000"/>
          <w:szCs w:val="22"/>
        </w:rPr>
        <w:footnoteReference w:id="48"/>
      </w:r>
    </w:p>
    <w:p w:rsidR="00015FE4" w:rsidRPr="004150C5" w:rsidRDefault="00171BA2" w:rsidP="00AE7279">
      <w:pPr>
        <w:pStyle w:val="Heading2"/>
      </w:pPr>
      <w:r>
        <w:t>Unlicensed Operations</w:t>
      </w:r>
    </w:p>
    <w:p w:rsidR="00015FE4" w:rsidRPr="004150C5" w:rsidRDefault="00015FE4" w:rsidP="00AE7279">
      <w:pPr>
        <w:pStyle w:val="Heading4"/>
        <w:widowControl/>
        <w:numPr>
          <w:ilvl w:val="3"/>
          <w:numId w:val="14"/>
        </w:numPr>
        <w:tabs>
          <w:tab w:val="clear" w:pos="2880"/>
          <w:tab w:val="num" w:pos="2160"/>
          <w:tab w:val="left" w:pos="2700"/>
        </w:tabs>
        <w:spacing w:after="220"/>
        <w:ind w:left="2160"/>
      </w:pPr>
      <w:r w:rsidRPr="004150C5">
        <w:t xml:space="preserve">Failure to </w:t>
      </w:r>
      <w:r w:rsidR="00171BA2">
        <w:t>Operate Part 15 Device</w:t>
      </w:r>
      <w:r w:rsidR="001C3723">
        <w:t>s</w:t>
      </w:r>
      <w:r w:rsidR="00171BA2">
        <w:t xml:space="preserve"> Consistent</w:t>
      </w:r>
      <w:r w:rsidR="00CF1A5B">
        <w:t>ly</w:t>
      </w:r>
      <w:r w:rsidR="00171BA2">
        <w:t xml:space="preserve"> with Part 15 Requirements</w:t>
      </w:r>
    </w:p>
    <w:p w:rsidR="00AC12B9" w:rsidRPr="00AC12B9" w:rsidRDefault="00015FE4" w:rsidP="00AE7279">
      <w:pPr>
        <w:pStyle w:val="ParaNum"/>
        <w:widowControl/>
        <w:tabs>
          <w:tab w:val="clear" w:pos="1080"/>
          <w:tab w:val="left" w:pos="1440"/>
        </w:tabs>
        <w:spacing w:after="220"/>
        <w:rPr>
          <w:szCs w:val="22"/>
        </w:rPr>
      </w:pPr>
      <w:r w:rsidRPr="004150C5">
        <w:t xml:space="preserve">As discussed above, </w:t>
      </w:r>
      <w:r w:rsidR="008E06A6">
        <w:t>Part 15 provide</w:t>
      </w:r>
      <w:r w:rsidR="00855E63">
        <w:t>s</w:t>
      </w:r>
      <w:r w:rsidR="008E06A6">
        <w:t xml:space="preserve"> authorization for the operation of unlicensed device</w:t>
      </w:r>
      <w:r w:rsidR="00855E63">
        <w:t>s</w:t>
      </w:r>
      <w:r w:rsidR="008E06A6">
        <w:t xml:space="preserve"> </w:t>
      </w:r>
      <w:r w:rsidR="001F18C8">
        <w:t xml:space="preserve">(including the </w:t>
      </w:r>
      <w:r w:rsidR="00171BA2">
        <w:rPr>
          <w:color w:val="000000"/>
          <w:szCs w:val="22"/>
        </w:rPr>
        <w:t xml:space="preserve">U-NII </w:t>
      </w:r>
      <w:r w:rsidR="00171BA2" w:rsidRPr="007004CE">
        <w:rPr>
          <w:color w:val="000000"/>
          <w:szCs w:val="22"/>
        </w:rPr>
        <w:t>device</w:t>
      </w:r>
      <w:r w:rsidR="001F18C8">
        <w:rPr>
          <w:color w:val="000000"/>
          <w:szCs w:val="22"/>
        </w:rPr>
        <w:t xml:space="preserve">s at issue here) </w:t>
      </w:r>
      <w:r w:rsidR="00855E63">
        <w:rPr>
          <w:color w:val="000000"/>
          <w:szCs w:val="22"/>
        </w:rPr>
        <w:t xml:space="preserve">only </w:t>
      </w:r>
      <w:r w:rsidR="001F18C8">
        <w:rPr>
          <w:color w:val="000000"/>
          <w:szCs w:val="22"/>
        </w:rPr>
        <w:t xml:space="preserve">if such operation </w:t>
      </w:r>
      <w:r w:rsidR="00171BA2" w:rsidRPr="007004CE">
        <w:rPr>
          <w:color w:val="000000"/>
          <w:szCs w:val="22"/>
        </w:rPr>
        <w:t>is consistent with the Part 15 Rules</w:t>
      </w:r>
      <w:r w:rsidR="001F18C8">
        <w:rPr>
          <w:color w:val="000000"/>
          <w:szCs w:val="22"/>
        </w:rPr>
        <w:t xml:space="preserve">.  </w:t>
      </w:r>
      <w:r w:rsidR="00C57377">
        <w:rPr>
          <w:color w:val="000000"/>
          <w:szCs w:val="22"/>
        </w:rPr>
        <w:t>O</w:t>
      </w:r>
      <w:r w:rsidR="00E95160" w:rsidRPr="009C45AF">
        <w:rPr>
          <w:color w:val="000000"/>
          <w:szCs w:val="22"/>
        </w:rPr>
        <w:t xml:space="preserve">peration of a U-NII device </w:t>
      </w:r>
      <w:r w:rsidR="00C57377">
        <w:rPr>
          <w:color w:val="000000"/>
          <w:szCs w:val="22"/>
        </w:rPr>
        <w:t xml:space="preserve">in a manner inconsistent with Part 15 requirements </w:t>
      </w:r>
      <w:r w:rsidR="00E95160" w:rsidRPr="009C45AF">
        <w:rPr>
          <w:color w:val="000000"/>
          <w:szCs w:val="22"/>
        </w:rPr>
        <w:t>violates the licensing requirement of Section 301 of the Act</w:t>
      </w:r>
      <w:r w:rsidR="00E95160">
        <w:rPr>
          <w:rStyle w:val="FootnoteReference"/>
          <w:szCs w:val="22"/>
        </w:rPr>
        <w:footnoteReference w:id="49"/>
      </w:r>
      <w:r w:rsidR="00E95160" w:rsidRPr="009C45AF">
        <w:rPr>
          <w:color w:val="000000"/>
          <w:szCs w:val="22"/>
        </w:rPr>
        <w:t xml:space="preserve"> and Section 15.1(b) of the Commission’s Rules</w:t>
      </w:r>
      <w:r w:rsidR="00C57377">
        <w:rPr>
          <w:color w:val="000000"/>
          <w:szCs w:val="22"/>
        </w:rPr>
        <w:t>,</w:t>
      </w:r>
      <w:r w:rsidR="00E95160">
        <w:rPr>
          <w:rStyle w:val="FootnoteReference"/>
          <w:color w:val="000000"/>
          <w:szCs w:val="22"/>
        </w:rPr>
        <w:footnoteReference w:id="50"/>
      </w:r>
      <w:r w:rsidR="00E95160" w:rsidRPr="009C45AF">
        <w:rPr>
          <w:color w:val="000000"/>
          <w:szCs w:val="22"/>
        </w:rPr>
        <w:t xml:space="preserve"> </w:t>
      </w:r>
      <w:r w:rsidR="00C57377">
        <w:rPr>
          <w:color w:val="000000"/>
          <w:szCs w:val="22"/>
        </w:rPr>
        <w:t>absent</w:t>
      </w:r>
      <w:r w:rsidR="00E95160" w:rsidRPr="009C45AF">
        <w:rPr>
          <w:color w:val="000000"/>
          <w:szCs w:val="22"/>
        </w:rPr>
        <w:t xml:space="preserve"> some other authorization like an individual FCC license or a license authorized by rule pursuant to Section 307(e)).</w:t>
      </w:r>
      <w:r w:rsidR="00E95160">
        <w:rPr>
          <w:color w:val="000000"/>
          <w:szCs w:val="22"/>
        </w:rPr>
        <w:t xml:space="preserve">  </w:t>
      </w:r>
      <w:r w:rsidR="00A010D5">
        <w:rPr>
          <w:color w:val="000000"/>
          <w:szCs w:val="22"/>
        </w:rPr>
        <w:t xml:space="preserve">The </w:t>
      </w:r>
      <w:r w:rsidR="001C3723">
        <w:rPr>
          <w:color w:val="000000"/>
          <w:szCs w:val="22"/>
        </w:rPr>
        <w:t xml:space="preserve">operation of a Part 15 U-NII device is conditioned upon not causing harmful interference, and should interference occur, operations must cease </w:t>
      </w:r>
      <w:r w:rsidR="00017595">
        <w:rPr>
          <w:color w:val="000000"/>
          <w:szCs w:val="22"/>
        </w:rPr>
        <w:t xml:space="preserve">upon notification by a Commission representative and must not resume </w:t>
      </w:r>
      <w:r w:rsidR="001C3723">
        <w:rPr>
          <w:color w:val="000000"/>
          <w:szCs w:val="22"/>
        </w:rPr>
        <w:t>until the interference is resolved.</w:t>
      </w:r>
      <w:r w:rsidR="001C3723">
        <w:rPr>
          <w:rStyle w:val="FootnoteReference"/>
          <w:szCs w:val="22"/>
        </w:rPr>
        <w:footnoteReference w:id="51"/>
      </w:r>
      <w:r w:rsidR="00412A3D">
        <w:rPr>
          <w:color w:val="000000"/>
          <w:szCs w:val="22"/>
        </w:rPr>
        <w:t xml:space="preserve">  Resumption of operations prior to resolving the interference violates Part 15 of the Rules</w:t>
      </w:r>
      <w:r w:rsidR="00A010D5">
        <w:rPr>
          <w:color w:val="000000"/>
          <w:szCs w:val="22"/>
        </w:rPr>
        <w:t>, vitiates the Part 15 authorization to operate</w:t>
      </w:r>
      <w:r w:rsidR="00412A3D">
        <w:rPr>
          <w:color w:val="000000"/>
          <w:szCs w:val="22"/>
        </w:rPr>
        <w:t xml:space="preserve"> and</w:t>
      </w:r>
      <w:r w:rsidR="000F6B43">
        <w:rPr>
          <w:color w:val="000000"/>
          <w:szCs w:val="22"/>
        </w:rPr>
        <w:t>, without some other authorization,</w:t>
      </w:r>
      <w:r w:rsidR="00412A3D">
        <w:rPr>
          <w:color w:val="000000"/>
          <w:szCs w:val="22"/>
        </w:rPr>
        <w:t xml:space="preserve"> </w:t>
      </w:r>
      <w:r w:rsidR="00A010D5">
        <w:rPr>
          <w:color w:val="000000"/>
          <w:szCs w:val="22"/>
        </w:rPr>
        <w:t xml:space="preserve">thus violates, </w:t>
      </w:r>
      <w:r w:rsidR="00A010D5">
        <w:rPr>
          <w:i/>
          <w:color w:val="000000"/>
          <w:szCs w:val="22"/>
        </w:rPr>
        <w:t>inter alia</w:t>
      </w:r>
      <w:r w:rsidR="00A010D5">
        <w:rPr>
          <w:color w:val="000000"/>
          <w:szCs w:val="22"/>
        </w:rPr>
        <w:t>,</w:t>
      </w:r>
      <w:r w:rsidR="00A010D5">
        <w:rPr>
          <w:i/>
          <w:color w:val="000000"/>
          <w:szCs w:val="22"/>
        </w:rPr>
        <w:t xml:space="preserve"> </w:t>
      </w:r>
      <w:r w:rsidR="00A010D5">
        <w:rPr>
          <w:color w:val="000000"/>
          <w:szCs w:val="22"/>
        </w:rPr>
        <w:t>the licensing requirements of the Act and the rules.</w:t>
      </w:r>
      <w:r w:rsidR="001C3723">
        <w:rPr>
          <w:color w:val="000000"/>
          <w:szCs w:val="22"/>
        </w:rPr>
        <w:t xml:space="preserve"> </w:t>
      </w:r>
      <w:r w:rsidR="00D110DC">
        <w:rPr>
          <w:color w:val="000000"/>
          <w:szCs w:val="22"/>
        </w:rPr>
        <w:t xml:space="preserve"> </w:t>
      </w:r>
    </w:p>
    <w:p w:rsidR="00023279" w:rsidRPr="00050FF7" w:rsidRDefault="00D8268F" w:rsidP="00AE7279">
      <w:pPr>
        <w:pStyle w:val="ParaNum"/>
        <w:widowControl/>
        <w:tabs>
          <w:tab w:val="clear" w:pos="1080"/>
          <w:tab w:val="left" w:pos="1440"/>
        </w:tabs>
        <w:spacing w:after="220"/>
        <w:rPr>
          <w:szCs w:val="22"/>
        </w:rPr>
      </w:pPr>
      <w:r>
        <w:rPr>
          <w:color w:val="000000"/>
          <w:szCs w:val="22"/>
        </w:rPr>
        <w:t>Towerstream was aware of the operating frequencies for the JFK, Miami, and Fort Lauderdale TDWRs</w:t>
      </w:r>
      <w:r>
        <w:rPr>
          <w:rStyle w:val="FootnoteReference"/>
          <w:szCs w:val="22"/>
        </w:rPr>
        <w:footnoteReference w:id="52"/>
      </w:r>
      <w:r>
        <w:rPr>
          <w:color w:val="000000"/>
          <w:szCs w:val="22"/>
        </w:rPr>
        <w:t xml:space="preserve"> and that operations within 30 MHz of </w:t>
      </w:r>
      <w:r w:rsidR="001034BC">
        <w:rPr>
          <w:color w:val="000000"/>
          <w:szCs w:val="22"/>
        </w:rPr>
        <w:t>the TDWR</w:t>
      </w:r>
      <w:r>
        <w:rPr>
          <w:color w:val="000000"/>
          <w:szCs w:val="22"/>
        </w:rPr>
        <w:t xml:space="preserve"> operating</w:t>
      </w:r>
      <w:r w:rsidR="00513BD0">
        <w:rPr>
          <w:color w:val="000000"/>
          <w:szCs w:val="22"/>
        </w:rPr>
        <w:t xml:space="preserve"> frequencies within line-of-</w:t>
      </w:r>
      <w:r w:rsidR="00412A3D">
        <w:rPr>
          <w:color w:val="000000"/>
          <w:szCs w:val="22"/>
        </w:rPr>
        <w:t>sight</w:t>
      </w:r>
      <w:r>
        <w:rPr>
          <w:color w:val="000000"/>
          <w:szCs w:val="22"/>
        </w:rPr>
        <w:t xml:space="preserve"> of the airports could cause harmfu</w:t>
      </w:r>
      <w:r w:rsidR="001034BC">
        <w:rPr>
          <w:color w:val="000000"/>
          <w:szCs w:val="22"/>
        </w:rPr>
        <w:t xml:space="preserve">l interference to those </w:t>
      </w:r>
      <w:r>
        <w:rPr>
          <w:color w:val="000000"/>
          <w:szCs w:val="22"/>
        </w:rPr>
        <w:t>TDWR systems.</w:t>
      </w:r>
      <w:r>
        <w:rPr>
          <w:rStyle w:val="FootnoteReference"/>
          <w:szCs w:val="22"/>
        </w:rPr>
        <w:footnoteReference w:id="53"/>
      </w:r>
      <w:r>
        <w:rPr>
          <w:color w:val="000000"/>
          <w:szCs w:val="22"/>
        </w:rPr>
        <w:t xml:space="preserve">  </w:t>
      </w:r>
      <w:r w:rsidR="001C3723">
        <w:rPr>
          <w:color w:val="000000"/>
          <w:szCs w:val="22"/>
        </w:rPr>
        <w:t>The record shows that</w:t>
      </w:r>
      <w:r w:rsidR="00BB52BE">
        <w:rPr>
          <w:color w:val="000000"/>
          <w:szCs w:val="22"/>
        </w:rPr>
        <w:t xml:space="preserve"> </w:t>
      </w:r>
      <w:r w:rsidR="00023279">
        <w:rPr>
          <w:color w:val="000000"/>
          <w:szCs w:val="22"/>
        </w:rPr>
        <w:t xml:space="preserve">Commission personnel repeatedly notified </w:t>
      </w:r>
      <w:r w:rsidR="00BB52BE">
        <w:rPr>
          <w:color w:val="000000"/>
          <w:szCs w:val="22"/>
        </w:rPr>
        <w:t xml:space="preserve">Towerstream </w:t>
      </w:r>
      <w:r w:rsidR="001034BC">
        <w:rPr>
          <w:color w:val="000000"/>
          <w:szCs w:val="22"/>
        </w:rPr>
        <w:t xml:space="preserve">in 2009 </w:t>
      </w:r>
      <w:r w:rsidR="00BB52BE">
        <w:rPr>
          <w:color w:val="000000"/>
          <w:szCs w:val="22"/>
        </w:rPr>
        <w:t>that its</w:t>
      </w:r>
      <w:r w:rsidR="00D97F1F">
        <w:rPr>
          <w:color w:val="000000"/>
          <w:szCs w:val="22"/>
        </w:rPr>
        <w:t xml:space="preserve"> operation of U-NII devices </w:t>
      </w:r>
      <w:r w:rsidR="00BB52BE">
        <w:rPr>
          <w:color w:val="000000"/>
          <w:szCs w:val="22"/>
        </w:rPr>
        <w:t>caus</w:t>
      </w:r>
      <w:r w:rsidR="00D97F1F">
        <w:rPr>
          <w:color w:val="000000"/>
          <w:szCs w:val="22"/>
        </w:rPr>
        <w:t>ed</w:t>
      </w:r>
      <w:r>
        <w:rPr>
          <w:color w:val="000000"/>
          <w:szCs w:val="22"/>
        </w:rPr>
        <w:t xml:space="preserve"> harmful interference to the JFK, Miami, and Fort Lauderdale </w:t>
      </w:r>
      <w:r w:rsidR="00BB52BE">
        <w:rPr>
          <w:color w:val="000000"/>
          <w:szCs w:val="22"/>
        </w:rPr>
        <w:t>TDWR</w:t>
      </w:r>
      <w:r>
        <w:rPr>
          <w:color w:val="000000"/>
          <w:szCs w:val="22"/>
        </w:rPr>
        <w:t>s</w:t>
      </w:r>
      <w:r w:rsidR="00BB52BE">
        <w:rPr>
          <w:color w:val="000000"/>
          <w:szCs w:val="22"/>
        </w:rPr>
        <w:t xml:space="preserve"> systems and directed </w:t>
      </w:r>
      <w:r w:rsidR="00E23262">
        <w:rPr>
          <w:color w:val="000000"/>
          <w:szCs w:val="22"/>
        </w:rPr>
        <w:t xml:space="preserve">the company </w:t>
      </w:r>
      <w:r w:rsidR="00BB52BE">
        <w:rPr>
          <w:color w:val="000000"/>
          <w:szCs w:val="22"/>
        </w:rPr>
        <w:t>to cease operations pending res</w:t>
      </w:r>
      <w:r w:rsidR="002900DE">
        <w:rPr>
          <w:color w:val="000000"/>
          <w:szCs w:val="22"/>
        </w:rPr>
        <w:t>olution of the interference</w:t>
      </w:r>
      <w:r>
        <w:rPr>
          <w:color w:val="000000"/>
          <w:szCs w:val="22"/>
        </w:rPr>
        <w:t>.</w:t>
      </w:r>
      <w:bookmarkStart w:id="19" w:name="_Ref354485338"/>
      <w:r w:rsidR="00AC12B9">
        <w:rPr>
          <w:rStyle w:val="FootnoteReference"/>
          <w:szCs w:val="22"/>
        </w:rPr>
        <w:footnoteReference w:id="54"/>
      </w:r>
      <w:bookmarkEnd w:id="19"/>
      <w:r>
        <w:rPr>
          <w:color w:val="000000"/>
          <w:szCs w:val="22"/>
        </w:rPr>
        <w:t xml:space="preserve">  </w:t>
      </w:r>
    </w:p>
    <w:p w:rsidR="00023279" w:rsidRPr="00BA592D" w:rsidRDefault="00171BA2" w:rsidP="00AE7279">
      <w:pPr>
        <w:pStyle w:val="ParaNum"/>
        <w:widowControl/>
        <w:tabs>
          <w:tab w:val="clear" w:pos="1080"/>
          <w:tab w:val="left" w:pos="1440"/>
        </w:tabs>
        <w:spacing w:after="220"/>
        <w:rPr>
          <w:szCs w:val="22"/>
        </w:rPr>
      </w:pPr>
      <w:r>
        <w:t xml:space="preserve">Towerstream </w:t>
      </w:r>
      <w:r w:rsidR="001C3723">
        <w:t xml:space="preserve">again </w:t>
      </w:r>
      <w:r>
        <w:t xml:space="preserve">operated U-NII devices </w:t>
      </w:r>
      <w:r w:rsidR="001C3723">
        <w:t>on frequencies</w:t>
      </w:r>
      <w:r w:rsidR="00040542">
        <w:t xml:space="preserve"> </w:t>
      </w:r>
      <w:r w:rsidR="00023279">
        <w:t xml:space="preserve">that </w:t>
      </w:r>
      <w:r>
        <w:t xml:space="preserve">caused harmful interference </w:t>
      </w:r>
      <w:r w:rsidR="001C3723">
        <w:t xml:space="preserve">to local TDWR systems </w:t>
      </w:r>
      <w:r>
        <w:t xml:space="preserve">on at least </w:t>
      </w:r>
      <w:r w:rsidR="005134F1">
        <w:t>three</w:t>
      </w:r>
      <w:r>
        <w:t xml:space="preserve"> days from two separate locations.  </w:t>
      </w:r>
      <w:r w:rsidR="007C06FA">
        <w:t>Specifically, o</w:t>
      </w:r>
      <w:r>
        <w:t>n August 7, 201</w:t>
      </w:r>
      <w:r w:rsidR="00AC12B9">
        <w:t xml:space="preserve">2, Towerstream operated the </w:t>
      </w:r>
      <w:r w:rsidR="00873E22">
        <w:t>three</w:t>
      </w:r>
      <w:r w:rsidR="00AC12B9">
        <w:t xml:space="preserve"> New York </w:t>
      </w:r>
      <w:r>
        <w:t xml:space="preserve">U-NII devices and caused harmful interference to the </w:t>
      </w:r>
      <w:r w:rsidR="00AC12B9">
        <w:t xml:space="preserve">JFK </w:t>
      </w:r>
      <w:r>
        <w:t>TDWR.</w:t>
      </w:r>
      <w:r w:rsidR="004D2296">
        <w:rPr>
          <w:rStyle w:val="FootnoteReference"/>
        </w:rPr>
        <w:footnoteReference w:id="55"/>
      </w:r>
      <w:r>
        <w:t xml:space="preserve">  On September 13, 2012, Towerstream operated </w:t>
      </w:r>
      <w:r w:rsidR="004D2296">
        <w:t xml:space="preserve">the </w:t>
      </w:r>
      <w:r>
        <w:t xml:space="preserve">two </w:t>
      </w:r>
      <w:r w:rsidR="00AC12B9">
        <w:t>Miami</w:t>
      </w:r>
      <w:r>
        <w:t xml:space="preserve"> U-NII devices and caused harmful interference to the </w:t>
      </w:r>
      <w:r w:rsidR="00AC12B9">
        <w:t xml:space="preserve">Fort Lauderdale </w:t>
      </w:r>
      <w:r>
        <w:t>TDWR.</w:t>
      </w:r>
      <w:r w:rsidR="004D2296">
        <w:rPr>
          <w:rStyle w:val="FootnoteReference"/>
        </w:rPr>
        <w:footnoteReference w:id="56"/>
      </w:r>
      <w:r>
        <w:t xml:space="preserve">  On October 2</w:t>
      </w:r>
      <w:r w:rsidR="00AC12B9">
        <w:t xml:space="preserve">, 2012, Towerstream operated </w:t>
      </w:r>
      <w:r w:rsidR="00A45435">
        <w:t xml:space="preserve">a third </w:t>
      </w:r>
      <w:r w:rsidR="00AC12B9">
        <w:t>U-NII device in Miami</w:t>
      </w:r>
      <w:r>
        <w:t xml:space="preserve"> and caused harmful interference to the </w:t>
      </w:r>
      <w:r w:rsidR="00AC12B9">
        <w:t xml:space="preserve">Miami </w:t>
      </w:r>
      <w:r>
        <w:t>TDWR.</w:t>
      </w:r>
      <w:r w:rsidR="004D2296">
        <w:rPr>
          <w:rStyle w:val="FootnoteReference"/>
        </w:rPr>
        <w:footnoteReference w:id="57"/>
      </w:r>
      <w:r w:rsidR="00075982">
        <w:t xml:space="preserve"> </w:t>
      </w:r>
      <w:r w:rsidR="001C3723">
        <w:t xml:space="preserve"> </w:t>
      </w:r>
    </w:p>
    <w:p w:rsidR="00015FE4" w:rsidRPr="004748E9" w:rsidRDefault="00E511B3" w:rsidP="00AE7279">
      <w:pPr>
        <w:pStyle w:val="ParaNum"/>
        <w:widowControl/>
        <w:tabs>
          <w:tab w:val="clear" w:pos="1080"/>
          <w:tab w:val="left" w:pos="1440"/>
        </w:tabs>
        <w:spacing w:after="220"/>
        <w:rPr>
          <w:szCs w:val="22"/>
        </w:rPr>
      </w:pPr>
      <w:r>
        <w:t>Because Towerstream caused harmful interference to TDWR systems</w:t>
      </w:r>
      <w:r w:rsidR="00AC12B9">
        <w:t xml:space="preserve"> after being directed to cease operations</w:t>
      </w:r>
      <w:r>
        <w:t xml:space="preserve">, its operations were inconsistent with Part 15 requirements and required a license.  </w:t>
      </w:r>
      <w:r w:rsidR="001C3723">
        <w:t>Commission records show that Towerstream does not hold any authorizations to operate ra</w:t>
      </w:r>
      <w:r w:rsidR="00AC12B9">
        <w:t>dio transmitters from the Empire State Building in New York City or the Four Seasons Building in Miami</w:t>
      </w:r>
      <w:r w:rsidR="001C3723">
        <w:t xml:space="preserve">.  </w:t>
      </w:r>
      <w:r w:rsidR="00015FE4" w:rsidRPr="004150C5">
        <w:t xml:space="preserve">Thus, based on the evidence before us, we find that </w:t>
      </w:r>
      <w:r w:rsidR="001C3723">
        <w:t xml:space="preserve">Towerstream </w:t>
      </w:r>
      <w:r w:rsidR="00015FE4" w:rsidRPr="004150C5">
        <w:t xml:space="preserve">apparently willfully </w:t>
      </w:r>
      <w:r w:rsidR="001C3723">
        <w:t>and repeatedly violated Section 301 of the Act</w:t>
      </w:r>
      <w:r w:rsidR="00015FE4" w:rsidRPr="004150C5">
        <w:rPr>
          <w:color w:val="000000"/>
        </w:rPr>
        <w:t xml:space="preserve"> by operating </w:t>
      </w:r>
      <w:r w:rsidR="001C3723">
        <w:rPr>
          <w:color w:val="000000"/>
        </w:rPr>
        <w:t>Part 15 U-NII devices in a manner inconsistent with Part 15 Rules and without a license</w:t>
      </w:r>
      <w:r w:rsidR="00015FE4" w:rsidRPr="004150C5">
        <w:rPr>
          <w:color w:val="000000"/>
        </w:rPr>
        <w:t>.</w:t>
      </w:r>
      <w:r w:rsidR="00015FE4" w:rsidRPr="004150C5">
        <w:t xml:space="preserve"> </w:t>
      </w:r>
    </w:p>
    <w:p w:rsidR="00F27DFA" w:rsidRPr="00F27DFA" w:rsidRDefault="00F27DFA" w:rsidP="00AE7279">
      <w:pPr>
        <w:pStyle w:val="Heading4"/>
        <w:widowControl/>
        <w:numPr>
          <w:ilvl w:val="0"/>
          <w:numId w:val="16"/>
        </w:numPr>
        <w:tabs>
          <w:tab w:val="left" w:pos="2160"/>
        </w:tabs>
        <w:spacing w:after="220"/>
        <w:rPr>
          <w:szCs w:val="22"/>
        </w:rPr>
      </w:pPr>
      <w:r>
        <w:t>Un</w:t>
      </w:r>
      <w:r w:rsidR="000F6B43">
        <w:t xml:space="preserve">authorized </w:t>
      </w:r>
      <w:r>
        <w:t>Operation of Broadband Wireless Transceiver</w:t>
      </w:r>
    </w:p>
    <w:p w:rsidR="004748E9" w:rsidRPr="004150C5" w:rsidRDefault="00F27DFA" w:rsidP="00AE7279">
      <w:pPr>
        <w:pStyle w:val="ParaNum"/>
        <w:widowControl/>
        <w:tabs>
          <w:tab w:val="clear" w:pos="1080"/>
          <w:tab w:val="num" w:pos="1440"/>
        </w:tabs>
        <w:spacing w:after="220"/>
        <w:rPr>
          <w:szCs w:val="22"/>
        </w:rPr>
      </w:pPr>
      <w:r>
        <w:t xml:space="preserve">As described above, </w:t>
      </w:r>
      <w:r w:rsidR="00FD6753">
        <w:t xml:space="preserve">on </w:t>
      </w:r>
      <w:r w:rsidR="00FA72F7">
        <w:t xml:space="preserve">October 2 and November </w:t>
      </w:r>
      <w:r w:rsidR="00FD6753">
        <w:t xml:space="preserve">8, 2012, </w:t>
      </w:r>
      <w:r>
        <w:t>agents from the Miami Off</w:t>
      </w:r>
      <w:r w:rsidR="00FA72F7">
        <w:t xml:space="preserve">ice determined that Towerstream </w:t>
      </w:r>
      <w:r>
        <w:t>operate</w:t>
      </w:r>
      <w:r w:rsidR="00FA72F7">
        <w:t>d</w:t>
      </w:r>
      <w:r>
        <w:t xml:space="preserve"> </w:t>
      </w:r>
      <w:r w:rsidR="00FA72F7">
        <w:t>a broadband wireless transceiver on the center frequency of 4.965 GHz from atop the Four Seasons Building</w:t>
      </w:r>
      <w:r>
        <w:t>.</w:t>
      </w:r>
      <w:r w:rsidR="00C00CBD">
        <w:rPr>
          <w:rStyle w:val="FootnoteReference"/>
        </w:rPr>
        <w:footnoteReference w:id="58"/>
      </w:r>
      <w:r w:rsidR="00075982">
        <w:t xml:space="preserve">  </w:t>
      </w:r>
      <w:r>
        <w:t>According to Commission records, Towerstream does not hold an</w:t>
      </w:r>
      <w:r w:rsidR="000F6B43">
        <w:t xml:space="preserve"> FCC license</w:t>
      </w:r>
      <w:r>
        <w:t xml:space="preserve"> to operate on this frequency at this location.  </w:t>
      </w:r>
      <w:r w:rsidR="000F6B43">
        <w:t xml:space="preserve">Moreover, neither the Commission’s Part 15 rules, nor any other FCC rule or authorization, permits the operation of unlicensed devices on this frequency.  </w:t>
      </w:r>
      <w:r>
        <w:t xml:space="preserve">Accordingly, </w:t>
      </w:r>
      <w:r w:rsidRPr="004150C5">
        <w:t xml:space="preserve">based on the evidence before us, we find that </w:t>
      </w:r>
      <w:r>
        <w:t xml:space="preserve">Towerstream </w:t>
      </w:r>
      <w:r w:rsidRPr="004150C5">
        <w:t xml:space="preserve">apparently willfully </w:t>
      </w:r>
      <w:r w:rsidR="00BD7207">
        <w:t xml:space="preserve">and repeatedly </w:t>
      </w:r>
      <w:r>
        <w:t>violated Section 301 of the Act</w:t>
      </w:r>
      <w:r w:rsidRPr="004150C5">
        <w:rPr>
          <w:color w:val="000000"/>
        </w:rPr>
        <w:t xml:space="preserve"> by</w:t>
      </w:r>
      <w:r w:rsidR="004D2296">
        <w:rPr>
          <w:color w:val="000000"/>
        </w:rPr>
        <w:t xml:space="preserve"> operating</w:t>
      </w:r>
      <w:r w:rsidRPr="004150C5">
        <w:rPr>
          <w:color w:val="000000"/>
        </w:rPr>
        <w:t xml:space="preserve"> </w:t>
      </w:r>
      <w:r>
        <w:rPr>
          <w:color w:val="000000"/>
        </w:rPr>
        <w:t>a radio transmitter without a license.</w:t>
      </w:r>
      <w:r w:rsidR="004748E9">
        <w:t xml:space="preserve">    </w:t>
      </w:r>
    </w:p>
    <w:p w:rsidR="00015FE4" w:rsidRPr="004150C5" w:rsidRDefault="004748E9" w:rsidP="00AE7279">
      <w:pPr>
        <w:pStyle w:val="Heading2"/>
      </w:pPr>
      <w:r>
        <w:t xml:space="preserve">Willful Interference with </w:t>
      </w:r>
      <w:r w:rsidR="004E3F9F">
        <w:t>U.S. Government Communications</w:t>
      </w:r>
      <w:r w:rsidR="00015FE4" w:rsidRPr="004150C5">
        <w:t xml:space="preserve"> </w:t>
      </w:r>
    </w:p>
    <w:p w:rsidR="006178A3" w:rsidRPr="00B81739" w:rsidRDefault="00015FE4" w:rsidP="00AE7279">
      <w:pPr>
        <w:pStyle w:val="ParaNum"/>
        <w:widowControl/>
        <w:tabs>
          <w:tab w:val="clear" w:pos="1080"/>
          <w:tab w:val="num" w:pos="1440"/>
        </w:tabs>
        <w:spacing w:after="220"/>
        <w:rPr>
          <w:szCs w:val="22"/>
        </w:rPr>
      </w:pPr>
      <w:r w:rsidRPr="004150C5">
        <w:t>A</w:t>
      </w:r>
      <w:r w:rsidR="004748E9">
        <w:t xml:space="preserve">s described above, Section 333 of the Act prohibits the willful or malicious interference with </w:t>
      </w:r>
      <w:r w:rsidR="004E3F9F">
        <w:t>any radio communications operated by the United States Government</w:t>
      </w:r>
      <w:r w:rsidR="004748E9">
        <w:t>.</w:t>
      </w:r>
      <w:r w:rsidR="00C00CBD">
        <w:rPr>
          <w:rStyle w:val="FootnoteReference"/>
        </w:rPr>
        <w:footnoteReference w:id="59"/>
      </w:r>
      <w:r w:rsidR="004748E9">
        <w:t xml:space="preserve">  </w:t>
      </w:r>
      <w:r w:rsidR="001058D3">
        <w:t xml:space="preserve">In 2009, </w:t>
      </w:r>
      <w:r w:rsidR="007C06FA">
        <w:t xml:space="preserve">Commission staff explicitly warned </w:t>
      </w:r>
      <w:r w:rsidR="001058D3" w:rsidRPr="00465A0E">
        <w:rPr>
          <w:szCs w:val="22"/>
        </w:rPr>
        <w:t xml:space="preserve">Towerstream </w:t>
      </w:r>
      <w:r w:rsidR="007C06FA">
        <w:rPr>
          <w:szCs w:val="22"/>
        </w:rPr>
        <w:t xml:space="preserve">that </w:t>
      </w:r>
      <w:r w:rsidR="001058D3" w:rsidRPr="00465A0E">
        <w:rPr>
          <w:szCs w:val="22"/>
        </w:rPr>
        <w:t xml:space="preserve">its operations in particular locations were causing harmful interference to local TDWR systems </w:t>
      </w:r>
      <w:r w:rsidR="000B24BB">
        <w:rPr>
          <w:szCs w:val="22"/>
        </w:rPr>
        <w:t xml:space="preserve">operated by the FAA </w:t>
      </w:r>
      <w:r w:rsidR="001058D3" w:rsidRPr="00465A0E">
        <w:rPr>
          <w:szCs w:val="22"/>
        </w:rPr>
        <w:t xml:space="preserve">and instructed </w:t>
      </w:r>
      <w:r w:rsidR="007C06FA">
        <w:rPr>
          <w:szCs w:val="22"/>
        </w:rPr>
        <w:t xml:space="preserve">it </w:t>
      </w:r>
      <w:r w:rsidR="001058D3" w:rsidRPr="00465A0E">
        <w:rPr>
          <w:szCs w:val="22"/>
        </w:rPr>
        <w:t>to avoid specific frequency bands at those locations.</w:t>
      </w:r>
      <w:r w:rsidR="00465A0E">
        <w:rPr>
          <w:rStyle w:val="FootnoteReference"/>
          <w:szCs w:val="22"/>
        </w:rPr>
        <w:footnoteReference w:id="60"/>
      </w:r>
      <w:r w:rsidR="001058D3" w:rsidRPr="00465A0E">
        <w:rPr>
          <w:szCs w:val="22"/>
        </w:rPr>
        <w:t xml:space="preserve">  </w:t>
      </w:r>
      <w:r w:rsidR="00465A0E" w:rsidRPr="00465A0E">
        <w:rPr>
          <w:szCs w:val="22"/>
        </w:rPr>
        <w:t>Towerstream acknowledged receipt of these warnings and stated it would avoid the “specified frequencies in the New York, Chicago, Miami and Ft. Lauderdale markets.”</w:t>
      </w:r>
      <w:r w:rsidR="00465A0E">
        <w:rPr>
          <w:rStyle w:val="FootnoteReference"/>
          <w:szCs w:val="22"/>
        </w:rPr>
        <w:footnoteReference w:id="61"/>
      </w:r>
      <w:r w:rsidR="00465A0E" w:rsidRPr="00465A0E">
        <w:rPr>
          <w:szCs w:val="22"/>
        </w:rPr>
        <w:t xml:space="preserve"> </w:t>
      </w:r>
      <w:r w:rsidR="00465A0E">
        <w:rPr>
          <w:szCs w:val="22"/>
        </w:rPr>
        <w:t xml:space="preserve"> </w:t>
      </w:r>
      <w:r w:rsidR="00465A0E" w:rsidRPr="00B81739">
        <w:rPr>
          <w:szCs w:val="22"/>
        </w:rPr>
        <w:t xml:space="preserve">Moreover, </w:t>
      </w:r>
      <w:r w:rsidR="00022765">
        <w:rPr>
          <w:szCs w:val="22"/>
        </w:rPr>
        <w:t xml:space="preserve">on July 27, 2010, </w:t>
      </w:r>
      <w:r w:rsidR="00465A0E" w:rsidRPr="00B81739">
        <w:rPr>
          <w:szCs w:val="22"/>
        </w:rPr>
        <w:t>the Commission instructed</w:t>
      </w:r>
      <w:r w:rsidR="006178A3" w:rsidRPr="00B81739">
        <w:rPr>
          <w:szCs w:val="22"/>
        </w:rPr>
        <w:t xml:space="preserve"> all</w:t>
      </w:r>
      <w:r w:rsidR="00465A0E" w:rsidRPr="00B81739">
        <w:rPr>
          <w:szCs w:val="22"/>
        </w:rPr>
        <w:t xml:space="preserve"> U-NII operators to take additional precautions when operating within 35 km or line-of-sight of TDWRs;</w:t>
      </w:r>
      <w:r w:rsidR="0056024D">
        <w:rPr>
          <w:rStyle w:val="FootnoteReference"/>
          <w:szCs w:val="22"/>
        </w:rPr>
        <w:footnoteReference w:id="62"/>
      </w:r>
      <w:r w:rsidR="00316A77" w:rsidRPr="00B81739">
        <w:rPr>
          <w:szCs w:val="22"/>
        </w:rPr>
        <w:t xml:space="preserve"> specifically, </w:t>
      </w:r>
      <w:r w:rsidR="00022765">
        <w:rPr>
          <w:szCs w:val="22"/>
        </w:rPr>
        <w:t xml:space="preserve">the Commission urged </w:t>
      </w:r>
      <w:r w:rsidR="00316A77" w:rsidRPr="00B81739">
        <w:rPr>
          <w:szCs w:val="22"/>
        </w:rPr>
        <w:t>operators to operate</w:t>
      </w:r>
      <w:r w:rsidR="004748E9" w:rsidRPr="00B81739">
        <w:rPr>
          <w:szCs w:val="22"/>
        </w:rPr>
        <w:t xml:space="preserve"> at least 30 MHz away from TDWR operation</w:t>
      </w:r>
      <w:r w:rsidR="00040542" w:rsidRPr="00B81739">
        <w:rPr>
          <w:szCs w:val="22"/>
        </w:rPr>
        <w:t>al</w:t>
      </w:r>
      <w:r w:rsidR="004748E9" w:rsidRPr="00B81739">
        <w:rPr>
          <w:szCs w:val="22"/>
        </w:rPr>
        <w:t xml:space="preserve"> frequencies.</w:t>
      </w:r>
      <w:r w:rsidR="00465A0E" w:rsidRPr="00B81739">
        <w:rPr>
          <w:szCs w:val="22"/>
        </w:rPr>
        <w:t xml:space="preserve">  In 2011, Towerstream </w:t>
      </w:r>
      <w:r w:rsidR="006178A3" w:rsidRPr="00B81739">
        <w:rPr>
          <w:szCs w:val="22"/>
        </w:rPr>
        <w:t xml:space="preserve">committed to complying with the Commission’s suggested precautions </w:t>
      </w:r>
      <w:r w:rsidR="00465A0E" w:rsidRPr="00B81739">
        <w:rPr>
          <w:szCs w:val="22"/>
        </w:rPr>
        <w:t>and con</w:t>
      </w:r>
      <w:r w:rsidR="00017595">
        <w:rPr>
          <w:szCs w:val="22"/>
        </w:rPr>
        <w:t>firmed that it had implemented</w:t>
      </w:r>
      <w:r w:rsidR="00465A0E" w:rsidRPr="00B81739">
        <w:rPr>
          <w:szCs w:val="22"/>
        </w:rPr>
        <w:t xml:space="preserve"> spectrum buffer</w:t>
      </w:r>
      <w:r w:rsidR="00017595">
        <w:rPr>
          <w:szCs w:val="22"/>
        </w:rPr>
        <w:t>s</w:t>
      </w:r>
      <w:r w:rsidR="00465A0E" w:rsidRPr="00B81739">
        <w:rPr>
          <w:szCs w:val="22"/>
        </w:rPr>
        <w:t xml:space="preserve"> around TDWR frequencies.</w:t>
      </w:r>
      <w:r w:rsidR="00465A0E">
        <w:rPr>
          <w:rStyle w:val="FootnoteReference"/>
          <w:szCs w:val="22"/>
        </w:rPr>
        <w:footnoteReference w:id="63"/>
      </w:r>
      <w:r w:rsidR="00316A77" w:rsidRPr="00B81739">
        <w:rPr>
          <w:szCs w:val="22"/>
        </w:rPr>
        <w:t xml:space="preserve">  </w:t>
      </w:r>
    </w:p>
    <w:p w:rsidR="00015FE4" w:rsidRPr="00B81739" w:rsidRDefault="006178A3" w:rsidP="00AE7279">
      <w:pPr>
        <w:pStyle w:val="ParaNum"/>
        <w:widowControl/>
        <w:tabs>
          <w:tab w:val="clear" w:pos="1080"/>
          <w:tab w:val="num" w:pos="1440"/>
        </w:tabs>
        <w:spacing w:after="220"/>
        <w:rPr>
          <w:szCs w:val="22"/>
        </w:rPr>
      </w:pPr>
      <w:r w:rsidRPr="00B81739">
        <w:rPr>
          <w:szCs w:val="22"/>
        </w:rPr>
        <w:t xml:space="preserve">Despite its </w:t>
      </w:r>
      <w:r w:rsidR="0066765D" w:rsidRPr="00B81739">
        <w:rPr>
          <w:szCs w:val="22"/>
        </w:rPr>
        <w:t>commitment</w:t>
      </w:r>
      <w:r w:rsidRPr="00B81739">
        <w:rPr>
          <w:szCs w:val="22"/>
        </w:rPr>
        <w:t xml:space="preserve"> to avoid frequencies around TDWR frequencies </w:t>
      </w:r>
      <w:r w:rsidR="00C00CBD">
        <w:rPr>
          <w:szCs w:val="22"/>
        </w:rPr>
        <w:t xml:space="preserve">in order </w:t>
      </w:r>
      <w:r w:rsidRPr="00B81739">
        <w:rPr>
          <w:szCs w:val="22"/>
        </w:rPr>
        <w:t xml:space="preserve">to prevent interference to TDWR systems, </w:t>
      </w:r>
      <w:r w:rsidR="0066765D" w:rsidRPr="00B81739">
        <w:rPr>
          <w:szCs w:val="22"/>
        </w:rPr>
        <w:t xml:space="preserve">Towerstream operated the New York U-NII devices </w:t>
      </w:r>
      <w:r w:rsidR="003565EB" w:rsidRPr="00B81739">
        <w:rPr>
          <w:szCs w:val="22"/>
        </w:rPr>
        <w:t>o</w:t>
      </w:r>
      <w:r w:rsidR="003565EB">
        <w:t xml:space="preserve">n August 7, 2012, </w:t>
      </w:r>
      <w:r w:rsidR="0066765D">
        <w:t xml:space="preserve">on </w:t>
      </w:r>
      <w:r w:rsidR="0034274A">
        <w:t xml:space="preserve">frequency </w:t>
      </w:r>
      <w:r w:rsidR="00040542">
        <w:t>bands</w:t>
      </w:r>
      <w:r w:rsidR="006066CE">
        <w:t xml:space="preserve"> within 30 MHz of </w:t>
      </w:r>
      <w:r w:rsidR="00005471">
        <w:t>and within line-of-</w:t>
      </w:r>
      <w:r w:rsidR="0066765D">
        <w:t xml:space="preserve">sight of </w:t>
      </w:r>
      <w:r w:rsidR="006066CE">
        <w:t xml:space="preserve">the </w:t>
      </w:r>
      <w:r w:rsidR="00BA7490">
        <w:t xml:space="preserve">JFK </w:t>
      </w:r>
      <w:r w:rsidR="006066CE">
        <w:t>TDWR</w:t>
      </w:r>
      <w:r w:rsidR="0066765D">
        <w:t>, and caused harmful interference to the JFK TDWR</w:t>
      </w:r>
      <w:r w:rsidR="006066CE">
        <w:t>.</w:t>
      </w:r>
      <w:r w:rsidR="0066765D">
        <w:t xml:space="preserve">  Similarly, Towerstream operated the Miami U-NII devices on September 13, 2012, on frequency bands within 30 MHz o</w:t>
      </w:r>
      <w:r w:rsidR="00412A3D">
        <w:t xml:space="preserve">f and </w:t>
      </w:r>
      <w:r w:rsidR="00005471">
        <w:t>within line-of-</w:t>
      </w:r>
      <w:r w:rsidR="0066765D">
        <w:t xml:space="preserve">sight of the Fort Lauderdale TDWR, and caused harmful interference to the Fort Lauderdale TDWR.  Finally, on October 2, 2012, Towerstream operated another Part 15 U-NII device from the Four Seasons Building on </w:t>
      </w:r>
      <w:r w:rsidR="00017595">
        <w:t>frequencies</w:t>
      </w:r>
      <w:r w:rsidR="0066765D">
        <w:t xml:space="preserve"> within 30 MHz</w:t>
      </w:r>
      <w:r w:rsidR="00412A3D">
        <w:t xml:space="preserve"> of an</w:t>
      </w:r>
      <w:r w:rsidR="00005471">
        <w:t>d within line-of-</w:t>
      </w:r>
      <w:r w:rsidR="0066765D">
        <w:t>sight of the Miami TDWR, and caused harmful interference to the Miami TDWR.</w:t>
      </w:r>
      <w:r w:rsidR="00B81739">
        <w:t xml:space="preserve">  </w:t>
      </w:r>
      <w:r w:rsidR="00A15E31">
        <w:t xml:space="preserve">Because Towerstream was aware that operations in the </w:t>
      </w:r>
      <w:r w:rsidR="004B2B14" w:rsidRPr="00B81739">
        <w:rPr>
          <w:szCs w:val="22"/>
        </w:rPr>
        <w:t xml:space="preserve">frequency </w:t>
      </w:r>
      <w:r w:rsidR="00D73E59" w:rsidRPr="00B81739">
        <w:rPr>
          <w:szCs w:val="22"/>
        </w:rPr>
        <w:t>ba</w:t>
      </w:r>
      <w:r w:rsidR="00117779" w:rsidRPr="00B81739">
        <w:rPr>
          <w:szCs w:val="22"/>
        </w:rPr>
        <w:t>nd</w:t>
      </w:r>
      <w:r w:rsidR="004B2B14" w:rsidRPr="00B81739">
        <w:rPr>
          <w:szCs w:val="22"/>
        </w:rPr>
        <w:t xml:space="preserve"> of 5</w:t>
      </w:r>
      <w:r w:rsidR="006C1D41">
        <w:rPr>
          <w:szCs w:val="22"/>
        </w:rPr>
        <w:t>.</w:t>
      </w:r>
      <w:r w:rsidR="004B2B14" w:rsidRPr="00B81739">
        <w:rPr>
          <w:szCs w:val="22"/>
        </w:rPr>
        <w:t>5</w:t>
      </w:r>
      <w:r w:rsidR="00707C39" w:rsidRPr="00B81739">
        <w:rPr>
          <w:szCs w:val="22"/>
        </w:rPr>
        <w:t>90</w:t>
      </w:r>
      <w:r w:rsidR="004B2B14" w:rsidRPr="00B81739">
        <w:rPr>
          <w:szCs w:val="22"/>
        </w:rPr>
        <w:t>-5</w:t>
      </w:r>
      <w:r w:rsidR="006C1D41">
        <w:rPr>
          <w:szCs w:val="22"/>
        </w:rPr>
        <w:t>.</w:t>
      </w:r>
      <w:r w:rsidR="004B2B14" w:rsidRPr="00B81739">
        <w:rPr>
          <w:szCs w:val="22"/>
        </w:rPr>
        <w:t xml:space="preserve">677 </w:t>
      </w:r>
      <w:r w:rsidR="006C1D41">
        <w:rPr>
          <w:szCs w:val="22"/>
        </w:rPr>
        <w:t>G</w:t>
      </w:r>
      <w:r w:rsidR="00345E00" w:rsidRPr="00B81739">
        <w:rPr>
          <w:szCs w:val="22"/>
        </w:rPr>
        <w:t>Hz from the Empire State Building</w:t>
      </w:r>
      <w:r w:rsidR="00A15E31" w:rsidRPr="00B81739">
        <w:rPr>
          <w:szCs w:val="22"/>
        </w:rPr>
        <w:t xml:space="preserve"> and </w:t>
      </w:r>
      <w:r w:rsidR="00707C39" w:rsidRPr="00B81739">
        <w:rPr>
          <w:szCs w:val="22"/>
        </w:rPr>
        <w:t>5</w:t>
      </w:r>
      <w:r w:rsidR="006C1D41">
        <w:rPr>
          <w:szCs w:val="22"/>
        </w:rPr>
        <w:t>.</w:t>
      </w:r>
      <w:r w:rsidR="00707C39" w:rsidRPr="00B81739">
        <w:rPr>
          <w:szCs w:val="22"/>
        </w:rPr>
        <w:t>575-5</w:t>
      </w:r>
      <w:r w:rsidR="006C1D41">
        <w:rPr>
          <w:szCs w:val="22"/>
        </w:rPr>
        <w:t>.</w:t>
      </w:r>
      <w:r w:rsidR="00707C39" w:rsidRPr="00B81739">
        <w:rPr>
          <w:szCs w:val="22"/>
        </w:rPr>
        <w:t xml:space="preserve">675 </w:t>
      </w:r>
      <w:r w:rsidR="006C1D41">
        <w:rPr>
          <w:szCs w:val="22"/>
        </w:rPr>
        <w:t xml:space="preserve">GHz </w:t>
      </w:r>
      <w:r w:rsidR="00707C39" w:rsidRPr="00B81739">
        <w:rPr>
          <w:szCs w:val="22"/>
        </w:rPr>
        <w:t xml:space="preserve">from </w:t>
      </w:r>
      <w:r w:rsidR="00345E00" w:rsidRPr="00B81739">
        <w:rPr>
          <w:szCs w:val="22"/>
        </w:rPr>
        <w:t>the Four Seasons Building</w:t>
      </w:r>
      <w:r w:rsidR="00A15E31" w:rsidRPr="00B81739">
        <w:rPr>
          <w:szCs w:val="22"/>
        </w:rPr>
        <w:t xml:space="preserve"> could cause</w:t>
      </w:r>
      <w:r w:rsidR="00C57377">
        <w:rPr>
          <w:szCs w:val="22"/>
        </w:rPr>
        <w:t>, and had previously caused,</w:t>
      </w:r>
      <w:r w:rsidR="00A15E31" w:rsidRPr="00B81739">
        <w:rPr>
          <w:szCs w:val="22"/>
        </w:rPr>
        <w:t xml:space="preserve"> harmful interference to TDWR system</w:t>
      </w:r>
      <w:r w:rsidR="00781704" w:rsidRPr="00B81739">
        <w:rPr>
          <w:szCs w:val="22"/>
        </w:rPr>
        <w:t>s</w:t>
      </w:r>
      <w:r w:rsidR="00A15E31" w:rsidRPr="00B81739">
        <w:rPr>
          <w:szCs w:val="22"/>
        </w:rPr>
        <w:t xml:space="preserve">, the </w:t>
      </w:r>
      <w:r w:rsidR="000F6B43">
        <w:rPr>
          <w:szCs w:val="22"/>
        </w:rPr>
        <w:t xml:space="preserve">subsequent </w:t>
      </w:r>
      <w:r w:rsidR="00A15E31" w:rsidRPr="00B81739">
        <w:rPr>
          <w:szCs w:val="22"/>
        </w:rPr>
        <w:t xml:space="preserve">interference </w:t>
      </w:r>
      <w:r w:rsidR="000F6B43">
        <w:rPr>
          <w:szCs w:val="22"/>
        </w:rPr>
        <w:t xml:space="preserve">that occurred as a result of Towerstream’s knowing operation of its U-NII devices on these frequencies </w:t>
      </w:r>
      <w:r w:rsidR="00A15E31" w:rsidRPr="00B81739">
        <w:rPr>
          <w:szCs w:val="22"/>
        </w:rPr>
        <w:t>was willful</w:t>
      </w:r>
      <w:r w:rsidR="004E4F12">
        <w:rPr>
          <w:szCs w:val="22"/>
        </w:rPr>
        <w:t xml:space="preserve"> and therefore violated Section 333</w:t>
      </w:r>
      <w:r w:rsidR="00A15E31" w:rsidRPr="00B81739">
        <w:rPr>
          <w:szCs w:val="22"/>
        </w:rPr>
        <w:t xml:space="preserve">.  </w:t>
      </w:r>
      <w:r w:rsidR="004E4F12">
        <w:rPr>
          <w:szCs w:val="22"/>
        </w:rPr>
        <w:t>Moreover, Towerstream repeatedly violated Section 333 – with willful acts of interference to the JFK, Miami</w:t>
      </w:r>
      <w:r w:rsidR="00834945">
        <w:rPr>
          <w:szCs w:val="22"/>
        </w:rPr>
        <w:t>,</w:t>
      </w:r>
      <w:r w:rsidR="004E4F12">
        <w:rPr>
          <w:szCs w:val="22"/>
        </w:rPr>
        <w:t xml:space="preserve"> and Fort Lauderdale TDWRs.  </w:t>
      </w:r>
      <w:r w:rsidR="00A15E31" w:rsidRPr="00B81739">
        <w:rPr>
          <w:szCs w:val="22"/>
        </w:rPr>
        <w:t>Thus, based on the evidence before us, we find Towerstream apparently willfully and repeatedly violated Section 333</w:t>
      </w:r>
      <w:r w:rsidR="004E4F12">
        <w:rPr>
          <w:szCs w:val="22"/>
        </w:rPr>
        <w:t>.</w:t>
      </w:r>
      <w:r w:rsidR="00A15E31" w:rsidRPr="00B81739">
        <w:rPr>
          <w:szCs w:val="22"/>
        </w:rPr>
        <w:t xml:space="preserve"> </w:t>
      </w:r>
    </w:p>
    <w:p w:rsidR="00015FE4" w:rsidRPr="004150C5" w:rsidRDefault="00015FE4" w:rsidP="00AE7279">
      <w:pPr>
        <w:pStyle w:val="Heading2"/>
      </w:pPr>
      <w:r w:rsidRPr="004150C5">
        <w:t>Proposed Forfeiture</w:t>
      </w:r>
    </w:p>
    <w:p w:rsidR="009963DC" w:rsidRPr="00212463" w:rsidRDefault="009963DC" w:rsidP="00AE7279">
      <w:pPr>
        <w:pStyle w:val="ParaNum"/>
        <w:widowControl/>
        <w:tabs>
          <w:tab w:val="clear" w:pos="1080"/>
          <w:tab w:val="num" w:pos="1440"/>
        </w:tabs>
        <w:spacing w:after="220"/>
      </w:pPr>
      <w:r w:rsidRPr="00212463">
        <w:rPr>
          <w:spacing w:val="-3"/>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12463">
        <w:rPr>
          <w:rStyle w:val="FootnoteReference"/>
          <w:spacing w:val="-3"/>
          <w:szCs w:val="22"/>
        </w:rPr>
        <w:footnoteReference w:id="64"/>
      </w:r>
      <w:r w:rsidRPr="00212463">
        <w:rPr>
          <w:spacing w:val="-3"/>
        </w:rPr>
        <w:t xml:space="preserve">  </w:t>
      </w:r>
      <w:r w:rsidRPr="00212463">
        <w:t>Pursuant to the Commission’s</w:t>
      </w:r>
      <w:r w:rsidRPr="00212463">
        <w:rPr>
          <w:i/>
        </w:rPr>
        <w:t xml:space="preserve"> Forfeiture Policy Statement</w:t>
      </w:r>
      <w:r w:rsidRPr="00212463">
        <w:t xml:space="preserve"> and Section 1.80 of the Rules, the base forfeiture amounts for (1) operation without an instrum</w:t>
      </w:r>
      <w:r>
        <w:t xml:space="preserve">ent of authorization is $10,000, and </w:t>
      </w:r>
      <w:r w:rsidRPr="00212463">
        <w:t>(2) interference to authorized communications is $7,000.</w:t>
      </w:r>
      <w:r w:rsidRPr="00212463">
        <w:rPr>
          <w:rStyle w:val="FootnoteReference"/>
          <w:spacing w:val="-2"/>
          <w:szCs w:val="22"/>
        </w:rPr>
        <w:footnoteReference w:id="65"/>
      </w:r>
      <w:r w:rsidRPr="00212463">
        <w:t xml:space="preserve">  The Commission retains the discretion, however, to issue a higher or lower forfeiture than provided in the </w:t>
      </w:r>
      <w:r w:rsidRPr="00212463">
        <w:rPr>
          <w:i/>
        </w:rPr>
        <w:t>Forfeiture Policy Statement</w:t>
      </w:r>
      <w:r w:rsidRPr="00212463">
        <w:t xml:space="preserve"> or to apply alternative or additional sanctions as permitted by the statute.</w:t>
      </w:r>
      <w:r w:rsidRPr="00212463">
        <w:rPr>
          <w:rStyle w:val="FootnoteReference"/>
          <w:szCs w:val="22"/>
        </w:rPr>
        <w:footnoteReference w:id="66"/>
      </w:r>
      <w:r w:rsidRPr="00212463">
        <w:t xml:space="preserve">  For </w:t>
      </w:r>
      <w:r w:rsidR="00E56D8B">
        <w:t xml:space="preserve">operating without authorization and for causing interference, </w:t>
      </w:r>
      <w:r w:rsidRPr="00212463">
        <w:t xml:space="preserve">the Communications Act authorizes monetary forfeitures of up to $16,000 for </w:t>
      </w:r>
      <w:r w:rsidRPr="00212463">
        <w:rPr>
          <w:i/>
        </w:rPr>
        <w:t>each</w:t>
      </w:r>
      <w:r w:rsidRPr="00212463">
        <w:t xml:space="preserve"> violation.</w:t>
      </w:r>
      <w:r w:rsidRPr="00212463">
        <w:rPr>
          <w:rStyle w:val="FootnoteReference"/>
          <w:szCs w:val="22"/>
        </w:rPr>
        <w:footnoteReference w:id="67"/>
      </w:r>
      <w:r w:rsidRPr="00212463">
        <w:t xml:space="preserve">  </w:t>
      </w:r>
    </w:p>
    <w:p w:rsidR="009963DC" w:rsidRPr="00212463" w:rsidRDefault="009963DC" w:rsidP="00AE7279">
      <w:pPr>
        <w:pStyle w:val="ParaNum"/>
        <w:widowControl/>
        <w:tabs>
          <w:tab w:val="clear" w:pos="1080"/>
          <w:tab w:val="num" w:pos="1440"/>
        </w:tabs>
        <w:spacing w:after="220"/>
      </w:pPr>
      <w:r w:rsidRPr="00212463">
        <w:t xml:space="preserve">Consistent with this approach, we find that </w:t>
      </w:r>
      <w:r w:rsidR="00787BA9">
        <w:t xml:space="preserve">Towerstream </w:t>
      </w:r>
      <w:r w:rsidRPr="00212463">
        <w:t xml:space="preserve">apparently committed </w:t>
      </w:r>
      <w:r w:rsidR="00873E22">
        <w:t>thir</w:t>
      </w:r>
      <w:r w:rsidR="007972D8">
        <w:t>tee</w:t>
      </w:r>
      <w:r w:rsidR="00787BA9">
        <w:t xml:space="preserve">n </w:t>
      </w:r>
      <w:r w:rsidRPr="00212463">
        <w:t>violations of the Act and our Rules.</w:t>
      </w:r>
      <w:r w:rsidR="00873E22">
        <w:t xml:space="preserve">  These thir</w:t>
      </w:r>
      <w:r w:rsidR="00022765">
        <w:t xml:space="preserve">teen distinct violations involve the use </w:t>
      </w:r>
      <w:r w:rsidR="00873E22">
        <w:t>of seven different devices (three</w:t>
      </w:r>
      <w:r w:rsidR="00022765">
        <w:t xml:space="preserve"> U-NII devices in New York, three U-NII devices in Miami, </w:t>
      </w:r>
      <w:r w:rsidR="00873E22">
        <w:t>and a broadband wireless trans</w:t>
      </w:r>
      <w:r w:rsidR="00022765">
        <w:t>ceiver i</w:t>
      </w:r>
      <w:r w:rsidR="00873E22">
        <w:t>n Miami); the six</w:t>
      </w:r>
      <w:r w:rsidR="00022765">
        <w:t xml:space="preserve"> U-NII devices each apparently caused interference to authorized communications.</w:t>
      </w:r>
      <w:r w:rsidRPr="00212463">
        <w:rPr>
          <w:rStyle w:val="FootnoteReference"/>
          <w:szCs w:val="22"/>
        </w:rPr>
        <w:footnoteReference w:id="68"/>
      </w:r>
      <w:r w:rsidRPr="00212463">
        <w:t xml:space="preserve">  In assessing the appropriate monetary penalty for this misconduct,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212463">
        <w:rPr>
          <w:rStyle w:val="FootnoteReference"/>
          <w:spacing w:val="-2"/>
          <w:szCs w:val="22"/>
        </w:rPr>
        <w:footnoteReference w:id="69"/>
      </w:r>
      <w:r w:rsidRPr="00212463">
        <w:t xml:space="preserve">  </w:t>
      </w:r>
      <w:r w:rsidR="00FD7404">
        <w:t>Towerstream ignor</w:t>
      </w:r>
      <w:r w:rsidR="00C90554">
        <w:t xml:space="preserve">ed specific instructions from </w:t>
      </w:r>
      <w:r w:rsidR="00FD7404">
        <w:t>Commission agent</w:t>
      </w:r>
      <w:r w:rsidR="00C90554">
        <w:t>s</w:t>
      </w:r>
      <w:r w:rsidR="00FD7404">
        <w:t xml:space="preserve"> to avoid </w:t>
      </w:r>
      <w:r w:rsidR="00C90554">
        <w:t>particular frequency bands when operating from the E</w:t>
      </w:r>
      <w:r w:rsidR="00035985">
        <w:rPr>
          <w:szCs w:val="22"/>
        </w:rPr>
        <w:t xml:space="preserve">mpire State </w:t>
      </w:r>
      <w:r w:rsidR="00FD7404">
        <w:t xml:space="preserve">and </w:t>
      </w:r>
      <w:r w:rsidR="00035985">
        <w:rPr>
          <w:szCs w:val="22"/>
        </w:rPr>
        <w:t>Four Seasons Building</w:t>
      </w:r>
      <w:r w:rsidR="001826C4">
        <w:rPr>
          <w:szCs w:val="22"/>
        </w:rPr>
        <w:t>s</w:t>
      </w:r>
      <w:r w:rsidR="00C90554">
        <w:rPr>
          <w:szCs w:val="22"/>
        </w:rPr>
        <w:t xml:space="preserve"> and violated its own written and verbal commitments to employ a </w:t>
      </w:r>
      <w:r w:rsidR="00FD7404">
        <w:rPr>
          <w:szCs w:val="22"/>
        </w:rPr>
        <w:t xml:space="preserve">30 MHz guard band </w:t>
      </w:r>
      <w:r w:rsidR="00C90554">
        <w:rPr>
          <w:szCs w:val="22"/>
        </w:rPr>
        <w:t xml:space="preserve">around </w:t>
      </w:r>
      <w:r w:rsidR="00FD7404">
        <w:rPr>
          <w:szCs w:val="22"/>
        </w:rPr>
        <w:t>TDWR</w:t>
      </w:r>
      <w:r w:rsidR="00C90554">
        <w:rPr>
          <w:szCs w:val="22"/>
        </w:rPr>
        <w:t xml:space="preserve"> frequencies</w:t>
      </w:r>
      <w:r w:rsidR="00FD7404">
        <w:rPr>
          <w:szCs w:val="22"/>
        </w:rPr>
        <w:t xml:space="preserve">.  </w:t>
      </w:r>
      <w:r w:rsidR="00FD7404">
        <w:t>Towerstream’s</w:t>
      </w:r>
      <w:r w:rsidRPr="00212463">
        <w:t xml:space="preserve"> </w:t>
      </w:r>
      <w:r w:rsidR="00FD7404">
        <w:t xml:space="preserve">U-NII </w:t>
      </w:r>
      <w:r w:rsidRPr="00212463">
        <w:t xml:space="preserve">operations posed a </w:t>
      </w:r>
      <w:r w:rsidR="000A1E17">
        <w:t>serious</w:t>
      </w:r>
      <w:r w:rsidR="000A1E17" w:rsidRPr="00212463">
        <w:t xml:space="preserve"> </w:t>
      </w:r>
      <w:r w:rsidRPr="00212463">
        <w:t xml:space="preserve">public safety hazard by </w:t>
      </w:r>
      <w:r w:rsidR="00FD7404">
        <w:t>interfering with FAA TDWR systems serving three airports and did not cease upon notification by a federal agent</w:t>
      </w:r>
      <w:r w:rsidRPr="00212463">
        <w:t xml:space="preserve">.  We find </w:t>
      </w:r>
      <w:r w:rsidR="00FD7404">
        <w:t xml:space="preserve">Towerstream’s blatant disregard for Commission authority and the consequent harm to public safety </w:t>
      </w:r>
      <w:r w:rsidRPr="00212463">
        <w:t>to be particularly egregious</w:t>
      </w:r>
      <w:r w:rsidR="001826C4">
        <w:t>,</w:t>
      </w:r>
      <w:r w:rsidRPr="00212463">
        <w:t xml:space="preserve"> warranting an upward adjustment of the base forfeiture amounts. </w:t>
      </w:r>
    </w:p>
    <w:p w:rsidR="00141667" w:rsidRPr="00141667" w:rsidRDefault="009963DC" w:rsidP="00AE7279">
      <w:pPr>
        <w:pStyle w:val="ParaNum"/>
        <w:widowControl/>
        <w:tabs>
          <w:tab w:val="clear" w:pos="1080"/>
          <w:tab w:val="num" w:pos="1440"/>
        </w:tabs>
        <w:spacing w:after="220"/>
        <w:rPr>
          <w:szCs w:val="22"/>
        </w:rPr>
      </w:pPr>
      <w:r w:rsidRPr="00212463">
        <w:t xml:space="preserve">Therefore, for the </w:t>
      </w:r>
      <w:r w:rsidR="00CD68CA">
        <w:t xml:space="preserve">combined </w:t>
      </w:r>
      <w:r w:rsidR="00873E22">
        <w:t>twelve</w:t>
      </w:r>
      <w:r w:rsidR="0008729E">
        <w:t xml:space="preserve"> </w:t>
      </w:r>
      <w:r w:rsidRPr="00212463">
        <w:t>unlawful operation</w:t>
      </w:r>
      <w:r>
        <w:t xml:space="preserve"> </w:t>
      </w:r>
      <w:r w:rsidR="00CD68CA">
        <w:t>and</w:t>
      </w:r>
      <w:r>
        <w:t xml:space="preserve"> interference</w:t>
      </w:r>
      <w:r w:rsidRPr="00212463">
        <w:t xml:space="preserve"> violations, we will </w:t>
      </w:r>
      <w:r w:rsidR="00E23262">
        <w:t xml:space="preserve">propose </w:t>
      </w:r>
      <w:r w:rsidRPr="00212463">
        <w:t>the maximum forfeiture authorized by statute, or $16,000 per violation,</w:t>
      </w:r>
      <w:r w:rsidRPr="00212463">
        <w:rPr>
          <w:rStyle w:val="FootnoteReference"/>
          <w:szCs w:val="22"/>
        </w:rPr>
        <w:footnoteReference w:id="70"/>
      </w:r>
      <w:r w:rsidR="00873E22">
        <w:t xml:space="preserve"> yielding a $192</w:t>
      </w:r>
      <w:r w:rsidRPr="00212463">
        <w:t xml:space="preserve">,000 </w:t>
      </w:r>
      <w:r w:rsidR="00E23262">
        <w:t xml:space="preserve">proposed </w:t>
      </w:r>
      <w:r w:rsidRPr="00212463">
        <w:t xml:space="preserve">forfeiture.  </w:t>
      </w:r>
      <w:r w:rsidR="00CD68CA">
        <w:t>In addition, for operating the unlicensed wireless broadband transceiver</w:t>
      </w:r>
      <w:r w:rsidR="007C06FA">
        <w:t xml:space="preserve"> in Miami</w:t>
      </w:r>
      <w:r w:rsidR="00CD68CA">
        <w:t>, we propose the base forfeiture amount of $10,000</w:t>
      </w:r>
      <w:r w:rsidR="007840C6">
        <w:t>, which is consistent with our precedent</w:t>
      </w:r>
      <w:r w:rsidR="00BA592D">
        <w:rPr>
          <w:rStyle w:val="FootnoteReference"/>
        </w:rPr>
        <w:footnoteReference w:id="71"/>
      </w:r>
      <w:r w:rsidR="007840C6">
        <w:t xml:space="preserve"> and reflects the fact that the operation of this device did not cause interference to a TDWR system</w:t>
      </w:r>
      <w:r w:rsidR="00CD68CA">
        <w:t xml:space="preserve">.  </w:t>
      </w:r>
    </w:p>
    <w:p w:rsidR="00015FE4" w:rsidRPr="004150C5" w:rsidRDefault="00015FE4" w:rsidP="00AE7279">
      <w:pPr>
        <w:pStyle w:val="ParaNum"/>
        <w:widowControl/>
        <w:tabs>
          <w:tab w:val="clear" w:pos="1080"/>
          <w:tab w:val="num" w:pos="1440"/>
        </w:tabs>
        <w:spacing w:after="220"/>
        <w:rPr>
          <w:szCs w:val="22"/>
        </w:rPr>
      </w:pPr>
      <w:r w:rsidRPr="004150C5">
        <w:t xml:space="preserve">Applying the </w:t>
      </w:r>
      <w:r w:rsidRPr="004150C5">
        <w:rPr>
          <w:i/>
        </w:rPr>
        <w:t>Forfeiture Policy Statement</w:t>
      </w:r>
      <w:r w:rsidRPr="004150C5">
        <w:t xml:space="preserve">, Section 1.80 of the Rules, and the statutory factors to the instant case, we conclude that </w:t>
      </w:r>
      <w:r w:rsidR="00957F4C">
        <w:t>Towerstream</w:t>
      </w:r>
      <w:r w:rsidRPr="004150C5">
        <w:t xml:space="preserve"> is apparently liable for a </w:t>
      </w:r>
      <w:r>
        <w:t xml:space="preserve">total forfeiture in the amount of </w:t>
      </w:r>
      <w:r w:rsidRPr="004150C5">
        <w:t>$</w:t>
      </w:r>
      <w:r w:rsidR="00873E22">
        <w:t>202</w:t>
      </w:r>
      <w:r w:rsidR="00CD68CA">
        <w:t>,000,</w:t>
      </w:r>
      <w:r w:rsidRPr="004150C5">
        <w:t xml:space="preserve"> consisting of the following elements: </w:t>
      </w:r>
      <w:r w:rsidR="00BA592D">
        <w:t xml:space="preserve"> </w:t>
      </w:r>
      <w:r w:rsidRPr="004150C5">
        <w:t>$</w:t>
      </w:r>
      <w:r w:rsidR="00873E22">
        <w:t>106</w:t>
      </w:r>
      <w:r>
        <w:t>,</w:t>
      </w:r>
      <w:r w:rsidR="00927DD2">
        <w:t>0</w:t>
      </w:r>
      <w:r w:rsidRPr="004150C5">
        <w:t>00 for</w:t>
      </w:r>
      <w:r>
        <w:t xml:space="preserve"> </w:t>
      </w:r>
      <w:r w:rsidR="00873E22">
        <w:t>seven</w:t>
      </w:r>
      <w:r w:rsidR="003E3B6B">
        <w:t xml:space="preserve"> </w:t>
      </w:r>
      <w:r w:rsidR="00CD68CA">
        <w:t>unlicensed operation</w:t>
      </w:r>
      <w:r w:rsidR="003E3B6B">
        <w:t xml:space="preserve"> violation</w:t>
      </w:r>
      <w:r w:rsidR="00873E22">
        <w:t>s and $96</w:t>
      </w:r>
      <w:r w:rsidR="00957F4C">
        <w:t>,000 for</w:t>
      </w:r>
      <w:r w:rsidR="00873E22">
        <w:t xml:space="preserve"> six</w:t>
      </w:r>
      <w:r w:rsidR="003560AC">
        <w:t xml:space="preserve"> incidents of</w:t>
      </w:r>
      <w:r w:rsidR="00957F4C">
        <w:t xml:space="preserve"> interfering with TDWR systems</w:t>
      </w:r>
      <w:r w:rsidRPr="004150C5">
        <w:rPr>
          <w:color w:val="000000"/>
        </w:rPr>
        <w:t xml:space="preserve">.  </w:t>
      </w:r>
      <w:r>
        <w:rPr>
          <w:color w:val="000000"/>
        </w:rPr>
        <w:t>As discussed above, t</w:t>
      </w:r>
      <w:r w:rsidRPr="004150C5">
        <w:rPr>
          <w:color w:val="000000"/>
        </w:rPr>
        <w:t xml:space="preserve">he forfeitures </w:t>
      </w:r>
      <w:r w:rsidR="00BA592D">
        <w:rPr>
          <w:color w:val="000000"/>
        </w:rPr>
        <w:t>reflect</w:t>
      </w:r>
      <w:r w:rsidR="00BA592D" w:rsidRPr="004150C5">
        <w:rPr>
          <w:color w:val="000000"/>
        </w:rPr>
        <w:t xml:space="preserve"> </w:t>
      </w:r>
      <w:r w:rsidRPr="004150C5">
        <w:rPr>
          <w:color w:val="000000"/>
        </w:rPr>
        <w:t xml:space="preserve">upward adjustments based on </w:t>
      </w:r>
      <w:r w:rsidR="00BA592D">
        <w:rPr>
          <w:color w:val="000000"/>
        </w:rPr>
        <w:t>the public safety impact of the interference</w:t>
      </w:r>
      <w:r w:rsidR="000B24BB">
        <w:rPr>
          <w:color w:val="000000"/>
        </w:rPr>
        <w:t>,</w:t>
      </w:r>
      <w:r w:rsidR="00BA592D">
        <w:rPr>
          <w:color w:val="000000"/>
        </w:rPr>
        <w:t xml:space="preserve"> </w:t>
      </w:r>
      <w:r w:rsidR="00957F4C">
        <w:rPr>
          <w:color w:val="000000"/>
        </w:rPr>
        <w:t>Towerstream’s</w:t>
      </w:r>
      <w:r w:rsidRPr="004150C5">
        <w:rPr>
          <w:color w:val="000000"/>
        </w:rPr>
        <w:t xml:space="preserve"> prior history of </w:t>
      </w:r>
      <w:r w:rsidR="00957F4C">
        <w:rPr>
          <w:color w:val="000000"/>
        </w:rPr>
        <w:t>causing interference</w:t>
      </w:r>
      <w:r w:rsidRPr="004150C5">
        <w:rPr>
          <w:color w:val="000000"/>
        </w:rPr>
        <w:t xml:space="preserve"> to </w:t>
      </w:r>
      <w:r w:rsidR="00957F4C" w:rsidRPr="004E3F9F">
        <w:rPr>
          <w:color w:val="000000"/>
        </w:rPr>
        <w:t>radio</w:t>
      </w:r>
      <w:r w:rsidR="001B6872" w:rsidRPr="004E3F9F">
        <w:rPr>
          <w:color w:val="000000"/>
        </w:rPr>
        <w:t xml:space="preserve"> </w:t>
      </w:r>
      <w:r w:rsidR="004E3F9F" w:rsidRPr="004E3F9F">
        <w:rPr>
          <w:color w:val="000000"/>
        </w:rPr>
        <w:t>communications operated by the United States Government</w:t>
      </w:r>
      <w:r w:rsidR="000B24BB">
        <w:rPr>
          <w:color w:val="000000"/>
        </w:rPr>
        <w:t>,</w:t>
      </w:r>
      <w:r w:rsidR="00957F4C">
        <w:rPr>
          <w:color w:val="000000"/>
        </w:rPr>
        <w:t xml:space="preserve"> and the seriousness of the violations</w:t>
      </w:r>
      <w:r w:rsidR="00407284">
        <w:rPr>
          <w:color w:val="000000"/>
        </w:rPr>
        <w:t xml:space="preserve">.  </w:t>
      </w:r>
      <w:r w:rsidRPr="004150C5">
        <w:rPr>
          <w:color w:val="000000"/>
        </w:rPr>
        <w:t xml:space="preserve">   </w:t>
      </w:r>
    </w:p>
    <w:p w:rsidR="00015FE4" w:rsidRPr="004150C5" w:rsidRDefault="00015FE4" w:rsidP="00AE7279">
      <w:pPr>
        <w:pStyle w:val="Heading2"/>
      </w:pPr>
      <w:r w:rsidRPr="004150C5">
        <w:t>Reporting Requirement</w:t>
      </w:r>
      <w:r w:rsidR="00925526">
        <w:t xml:space="preserve"> and Conclusion</w:t>
      </w:r>
    </w:p>
    <w:p w:rsidR="00015FE4" w:rsidRDefault="00BA592D" w:rsidP="00AE7279">
      <w:pPr>
        <w:pStyle w:val="ParaNum"/>
        <w:widowControl/>
        <w:tabs>
          <w:tab w:val="clear" w:pos="1080"/>
          <w:tab w:val="num" w:pos="1440"/>
        </w:tabs>
        <w:spacing w:after="220"/>
      </w:pPr>
      <w:bookmarkStart w:id="20" w:name="_Ref331755481"/>
      <w:r>
        <w:t>Finally, w</w:t>
      </w:r>
      <w:r w:rsidR="00015FE4" w:rsidRPr="004150C5">
        <w:t xml:space="preserve">e direct </w:t>
      </w:r>
      <w:r w:rsidR="005F3CD8">
        <w:t>Towerstream</w:t>
      </w:r>
      <w:r w:rsidR="00015FE4" w:rsidRPr="004150C5">
        <w:t xml:space="preserve"> to submit a written statement, pursuant to Section 1.16 of the Rules,</w:t>
      </w:r>
      <w:r w:rsidR="00015FE4" w:rsidRPr="004150C5">
        <w:rPr>
          <w:rStyle w:val="FootnoteReference"/>
          <w:color w:val="000000"/>
          <w:szCs w:val="22"/>
        </w:rPr>
        <w:footnoteReference w:id="72"/>
      </w:r>
      <w:r w:rsidR="00015FE4" w:rsidRPr="004150C5">
        <w:t xml:space="preserve"> signed under penalty of perjury that </w:t>
      </w:r>
      <w:r>
        <w:t xml:space="preserve">the company </w:t>
      </w:r>
      <w:r w:rsidR="00015FE4" w:rsidRPr="004150C5">
        <w:t>has (1) i</w:t>
      </w:r>
      <w:r w:rsidR="005F3CD8">
        <w:t xml:space="preserve">mplemented a 30 MHz guard band </w:t>
      </w:r>
      <w:r w:rsidR="00C775DE">
        <w:t>around TDWR center frequencies</w:t>
      </w:r>
      <w:r w:rsidR="00EE2613">
        <w:t xml:space="preserve"> for all U-NII devices located at </w:t>
      </w:r>
      <w:r w:rsidR="00035985">
        <w:t>the Empire State Building and the Four Seasons Building</w:t>
      </w:r>
      <w:r w:rsidR="00EE2613">
        <w:t>; and (2) implemented a 30 MHz guard band around TDWR center frequencies for all locations within 3</w:t>
      </w:r>
      <w:r w:rsidR="00B94249">
        <w:t>5</w:t>
      </w:r>
      <w:r w:rsidR="00EE2613">
        <w:t xml:space="preserve"> </w:t>
      </w:r>
      <w:r w:rsidR="00F471A7">
        <w:t>km or line-of-sight</w:t>
      </w:r>
      <w:r w:rsidR="00EE2613">
        <w:t xml:space="preserve"> of</w:t>
      </w:r>
      <w:r w:rsidR="00B94249">
        <w:t xml:space="preserve"> </w:t>
      </w:r>
      <w:r w:rsidR="00EE2613">
        <w:t>a</w:t>
      </w:r>
      <w:r w:rsidR="00B94249">
        <w:t xml:space="preserve"> </w:t>
      </w:r>
      <w:r w:rsidR="00EE2613">
        <w:t xml:space="preserve">TDWR system.  </w:t>
      </w:r>
      <w:r w:rsidR="00015FE4" w:rsidRPr="004150C5">
        <w:t xml:space="preserve">This statement must be provided to the </w:t>
      </w:r>
      <w:r w:rsidR="00EE2613">
        <w:t>Miami</w:t>
      </w:r>
      <w:r w:rsidR="00015FE4" w:rsidRPr="004150C5">
        <w:t xml:space="preserve"> Office at t</w:t>
      </w:r>
      <w:r w:rsidR="00015FE4">
        <w:t xml:space="preserve">he address listed in paragraph </w:t>
      </w:r>
      <w:r w:rsidR="00257155">
        <w:t>35</w:t>
      </w:r>
      <w:r w:rsidR="00015FE4" w:rsidRPr="004150C5">
        <w:t xml:space="preserve"> within thirty (30) calendar days after the release date of this NAL</w:t>
      </w:r>
      <w:r w:rsidR="00015FE4" w:rsidRPr="004150C5">
        <w:rPr>
          <w:i/>
        </w:rPr>
        <w:t>.</w:t>
      </w:r>
      <w:bookmarkEnd w:id="20"/>
      <w:r w:rsidR="00015FE4" w:rsidRPr="004150C5">
        <w:t xml:space="preserve">      </w:t>
      </w:r>
    </w:p>
    <w:p w:rsidR="00015FE4" w:rsidRPr="002323A2" w:rsidRDefault="00015FE4" w:rsidP="00AE7279">
      <w:pPr>
        <w:pStyle w:val="Heading1"/>
        <w:widowControl/>
        <w:spacing w:after="220"/>
        <w:rPr>
          <w:rFonts w:ascii="Times New Roman" w:hAnsi="Times New Roman"/>
        </w:rPr>
      </w:pPr>
      <w:r w:rsidRPr="002323A2">
        <w:rPr>
          <w:rFonts w:ascii="Times New Roman" w:hAnsi="Times New Roman"/>
        </w:rPr>
        <w:t>ORDERING CLAUSES</w:t>
      </w:r>
    </w:p>
    <w:p w:rsidR="00015FE4" w:rsidRPr="004150C5" w:rsidRDefault="00015FE4" w:rsidP="00AE7279">
      <w:pPr>
        <w:pStyle w:val="ParaNum"/>
        <w:widowControl/>
        <w:tabs>
          <w:tab w:val="clear" w:pos="1080"/>
          <w:tab w:val="num" w:pos="1440"/>
        </w:tabs>
        <w:spacing w:after="220"/>
        <w:rPr>
          <w:szCs w:val="22"/>
        </w:rPr>
      </w:pPr>
      <w:r w:rsidRPr="002323A2">
        <w:t>Accordingly,</w:t>
      </w:r>
      <w:r w:rsidRPr="002323A2">
        <w:rPr>
          <w:b/>
        </w:rPr>
        <w:t xml:space="preserve"> IT IS ORDERED</w:t>
      </w:r>
      <w:r w:rsidRPr="002323A2">
        <w:t xml:space="preserve"> that, pursuant to Section 503(b) of the Communications Act of 1934, as amended, and Section 1.80 of the Commission’s rules, </w:t>
      </w:r>
      <w:r w:rsidR="00EE2613">
        <w:t>Towerstream Corporation</w:t>
      </w:r>
      <w:r w:rsidR="004F108F" w:rsidRPr="002323A2">
        <w:t xml:space="preserve"> </w:t>
      </w:r>
      <w:r w:rsidRPr="002323A2">
        <w:t xml:space="preserve">is hereby </w:t>
      </w:r>
      <w:r w:rsidRPr="002323A2">
        <w:rPr>
          <w:b/>
        </w:rPr>
        <w:t xml:space="preserve">NOTIFIED </w:t>
      </w:r>
      <w:r w:rsidRPr="002323A2">
        <w:t xml:space="preserve">of this </w:t>
      </w:r>
      <w:r w:rsidRPr="002323A2">
        <w:rPr>
          <w:b/>
        </w:rPr>
        <w:t>APPARENT LIABILITY FOR A FORFEITURE</w:t>
      </w:r>
      <w:r w:rsidR="00F0537F">
        <w:t xml:space="preserve"> i</w:t>
      </w:r>
      <w:r w:rsidR="00873E22">
        <w:t>n the amount of two hundred and two</w:t>
      </w:r>
      <w:r w:rsidR="00F0537F">
        <w:t xml:space="preserve"> thousand</w:t>
      </w:r>
      <w:r w:rsidR="00EE2613">
        <w:t xml:space="preserve"> </w:t>
      </w:r>
      <w:r w:rsidRPr="002323A2">
        <w:t>dollars ($</w:t>
      </w:r>
      <w:r w:rsidR="00873E22">
        <w:t>202</w:t>
      </w:r>
      <w:r w:rsidR="00F0537F">
        <w:t>,000</w:t>
      </w:r>
      <w:r w:rsidRPr="002323A2">
        <w:t xml:space="preserve">) for willfully and repeatedly violating </w:t>
      </w:r>
      <w:r w:rsidR="00EE2613">
        <w:t>Sections 301 and 333 of the Act</w:t>
      </w:r>
      <w:r w:rsidRPr="004150C5">
        <w:t>.</w:t>
      </w:r>
      <w:r w:rsidRPr="004150C5">
        <w:rPr>
          <w:rStyle w:val="FootnoteReference"/>
          <w:szCs w:val="22"/>
        </w:rPr>
        <w:footnoteReference w:id="73"/>
      </w:r>
    </w:p>
    <w:p w:rsidR="00015FE4" w:rsidRPr="004150C5" w:rsidRDefault="00015FE4" w:rsidP="00AE7279">
      <w:pPr>
        <w:pStyle w:val="ParaNum"/>
        <w:widowControl/>
        <w:tabs>
          <w:tab w:val="clear" w:pos="1080"/>
          <w:tab w:val="num" w:pos="1440"/>
        </w:tabs>
        <w:spacing w:after="220"/>
      </w:pPr>
      <w:r w:rsidRPr="004150C5">
        <w:rPr>
          <w:b/>
        </w:rPr>
        <w:t>IT IS FURTHER ORDERED</w:t>
      </w:r>
      <w:r w:rsidRPr="004150C5">
        <w:t xml:space="preserve"> that, pursuant to Section 1.80 of the Commission’s rules, within thirty (30) calendar days of the release date of this Notice of Apparent Liability for Forfeiture and Order, </w:t>
      </w:r>
      <w:r w:rsidR="00125010">
        <w:t>Towerstream Corporation</w:t>
      </w:r>
      <w:r w:rsidRPr="004150C5">
        <w:t xml:space="preserve"> </w:t>
      </w:r>
      <w:r w:rsidRPr="004150C5">
        <w:rPr>
          <w:b/>
        </w:rPr>
        <w:t>SHALL PAY</w:t>
      </w:r>
      <w:r w:rsidRPr="004150C5">
        <w:t xml:space="preserve"> the full amount of the proposed forfeiture or </w:t>
      </w:r>
      <w:r w:rsidRPr="004150C5">
        <w:rPr>
          <w:b/>
        </w:rPr>
        <w:t>SHALL FILE</w:t>
      </w:r>
      <w:r w:rsidRPr="004150C5">
        <w:t xml:space="preserve"> a written statement seeking reduction or cancellation of the proposed forfeiture.</w:t>
      </w:r>
    </w:p>
    <w:p w:rsidR="00015FE4" w:rsidRPr="004150C5" w:rsidRDefault="00015FE4" w:rsidP="00AE7279">
      <w:pPr>
        <w:pStyle w:val="ParaNum"/>
        <w:widowControl/>
        <w:tabs>
          <w:tab w:val="clear" w:pos="1080"/>
          <w:tab w:val="num" w:pos="1440"/>
        </w:tabs>
        <w:spacing w:after="220"/>
        <w:rPr>
          <w:szCs w:val="22"/>
        </w:rPr>
      </w:pPr>
      <w:bookmarkStart w:id="21" w:name="_Ref353872258"/>
      <w:r w:rsidRPr="004150C5">
        <w:rPr>
          <w:b/>
        </w:rPr>
        <w:t>IT IS FURTHER ORDERED</w:t>
      </w:r>
      <w:r w:rsidRPr="004150C5">
        <w:t xml:space="preserve"> that </w:t>
      </w:r>
      <w:r w:rsidR="00125010">
        <w:t>Towerstream Corporation</w:t>
      </w:r>
      <w:r w:rsidRPr="004150C5">
        <w:t xml:space="preserve"> </w:t>
      </w:r>
      <w:r w:rsidRPr="004150C5">
        <w:rPr>
          <w:b/>
        </w:rPr>
        <w:t>SHALL SUBMIT</w:t>
      </w:r>
      <w:r w:rsidRPr="004150C5">
        <w:t xml:space="preserve"> a statement as described in paragraph </w:t>
      </w:r>
      <w:r w:rsidR="00257155">
        <w:t>32</w:t>
      </w:r>
      <w:r w:rsidRPr="004150C5">
        <w:t xml:space="preserve"> to the </w:t>
      </w:r>
      <w:r w:rsidR="00125010">
        <w:t>Miami</w:t>
      </w:r>
      <w:r w:rsidRPr="004150C5">
        <w:t xml:space="preserve"> Office within thirty (30) calendar days of the release date of this Notice of Apparent Liability for Forfeiture and Order.  The statement must be mailed to Federal Communications Commission, Enforcement Bureau, South Central Region, </w:t>
      </w:r>
      <w:r w:rsidR="00125010">
        <w:rPr>
          <w:szCs w:val="22"/>
        </w:rPr>
        <w:t>Miami Office, P.O. Box 520617, Miami, FL 33152-0617</w:t>
      </w:r>
      <w:r w:rsidRPr="004150C5">
        <w:t xml:space="preserve">.  </w:t>
      </w:r>
      <w:r w:rsidR="00125010">
        <w:t>Towerstream Corporation</w:t>
      </w:r>
      <w:r w:rsidRPr="004150C5">
        <w:t xml:space="preserve"> shall also e-mail the written statement to </w:t>
      </w:r>
      <w:r w:rsidRPr="00082988">
        <w:rPr>
          <w:szCs w:val="22"/>
        </w:rPr>
        <w:t>SCR-Response@fcc.gov</w:t>
      </w:r>
      <w:r w:rsidRPr="004150C5">
        <w:t>.</w:t>
      </w:r>
      <w:bookmarkEnd w:id="21"/>
    </w:p>
    <w:p w:rsidR="00015FE4" w:rsidRPr="004150C5" w:rsidRDefault="00015FE4" w:rsidP="00AE7279">
      <w:pPr>
        <w:pStyle w:val="ParaNum"/>
        <w:widowControl/>
        <w:tabs>
          <w:tab w:val="clear" w:pos="1080"/>
          <w:tab w:val="num" w:pos="1440"/>
        </w:tabs>
        <w:spacing w:after="220"/>
        <w:rPr>
          <w:rFonts w:eastAsia="MS Mincho"/>
        </w:rPr>
      </w:pPr>
      <w:r w:rsidRPr="004150C5">
        <w:rPr>
          <w:rFonts w:eastAsia="MS Mincho"/>
        </w:rPr>
        <w:t xml:space="preserve">Payment of the </w:t>
      </w:r>
      <w:r w:rsidRPr="004150C5">
        <w:t>forfeiture</w:t>
      </w:r>
      <w:r w:rsidRPr="004150C5">
        <w:rPr>
          <w:rFonts w:eastAsia="MS Mincho"/>
        </w:rPr>
        <w:t xml:space="preserve"> must be made by check or similar instrument, wire transfer, or credit card, and must include the NAL/Account number and FRN referenced above.  </w:t>
      </w:r>
      <w:r w:rsidR="00125010">
        <w:rPr>
          <w:rFonts w:eastAsia="MS Mincho"/>
        </w:rPr>
        <w:t>Towerstream Corporation</w:t>
      </w:r>
      <w:r w:rsidRPr="004150C5">
        <w:rPr>
          <w:rFonts w:eastAsia="MS Mincho"/>
        </w:rPr>
        <w:t xml:space="preserve"> shall send electronic notification of payment to </w:t>
      </w:r>
      <w:r w:rsidRPr="00082988">
        <w:rPr>
          <w:rFonts w:eastAsia="MS Mincho"/>
          <w:szCs w:val="22"/>
        </w:rPr>
        <w:t>SCR-Response@fcc.gov</w:t>
      </w:r>
      <w:r w:rsidRPr="004150C5">
        <w:rPr>
          <w:rFonts w:eastAsia="MS Mincho"/>
        </w:rPr>
        <w:t xml:space="preserve"> on the date said payment is made.  Regardless of the form of payment, a completed FCC Form 159 (Remittance Advice) must be submitted.</w:t>
      </w:r>
      <w:r w:rsidRPr="004150C5">
        <w:rPr>
          <w:rStyle w:val="FootnoteReference"/>
          <w:rFonts w:eastAsia="MS Mincho" w:cs="Arial"/>
          <w:szCs w:val="22"/>
        </w:rPr>
        <w:footnoteReference w:id="74"/>
      </w:r>
      <w:r w:rsidRPr="004150C5">
        <w:rPr>
          <w:rFonts w:eastAsia="MS Mincho"/>
        </w:rPr>
        <w:t xml:space="preserve">  When completing the FCC Form 159, enter the Account Number in block number 23A (call sign/other ID) and enter the letters “FORF” in block number 24A (payment type code).   </w:t>
      </w:r>
      <w:r w:rsidRPr="004150C5">
        <w:rPr>
          <w:color w:val="000000"/>
        </w:rPr>
        <w:t>Below are additional instructions you should follow based on the form of payment you select:</w:t>
      </w:r>
    </w:p>
    <w:p w:rsidR="00015FE4" w:rsidRPr="004150C5" w:rsidRDefault="00015FE4" w:rsidP="00AE7279">
      <w:pPr>
        <w:pStyle w:val="ParaNum"/>
        <w:widowControl/>
        <w:numPr>
          <w:ilvl w:val="0"/>
          <w:numId w:val="9"/>
        </w:numPr>
        <w:snapToGrid w:val="0"/>
        <w:spacing w:after="220"/>
        <w:rPr>
          <w:rFonts w:eastAsia="MS Mincho"/>
          <w:szCs w:val="22"/>
        </w:rPr>
      </w:pPr>
      <w:r w:rsidRPr="004150C5">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015FE4" w:rsidRPr="004150C5" w:rsidRDefault="00015FE4" w:rsidP="00AE7279">
      <w:pPr>
        <w:pStyle w:val="ParaNum"/>
        <w:widowControl/>
        <w:numPr>
          <w:ilvl w:val="0"/>
          <w:numId w:val="9"/>
        </w:numPr>
        <w:snapToGrid w:val="0"/>
        <w:spacing w:after="220"/>
        <w:rPr>
          <w:rFonts w:eastAsia="MS Mincho"/>
          <w:szCs w:val="22"/>
        </w:rPr>
      </w:pPr>
      <w:r w:rsidRPr="004150C5">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015FE4" w:rsidRPr="004150C5" w:rsidRDefault="00015FE4" w:rsidP="00AE7279">
      <w:pPr>
        <w:pStyle w:val="ParaNum"/>
        <w:widowControl/>
        <w:numPr>
          <w:ilvl w:val="0"/>
          <w:numId w:val="9"/>
        </w:numPr>
        <w:snapToGrid w:val="0"/>
        <w:spacing w:after="220"/>
        <w:rPr>
          <w:rFonts w:eastAsia="MS Mincho"/>
          <w:szCs w:val="22"/>
        </w:rPr>
      </w:pPr>
      <w:r w:rsidRPr="004150C5">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015FE4" w:rsidRPr="004150C5" w:rsidRDefault="00015FE4" w:rsidP="00AE7279">
      <w:pPr>
        <w:pStyle w:val="ParaNum"/>
        <w:widowControl/>
        <w:tabs>
          <w:tab w:val="clear" w:pos="1080"/>
          <w:tab w:val="num" w:pos="1440"/>
        </w:tabs>
        <w:spacing w:after="220"/>
        <w:rPr>
          <w:szCs w:val="22"/>
        </w:rPr>
      </w:pPr>
      <w:r w:rsidRPr="004150C5">
        <w:rPr>
          <w:rFonts w:eastAsia="MS Mincho"/>
        </w:rPr>
        <w:t xml:space="preserve">Any request for </w:t>
      </w:r>
      <w:r w:rsidR="00035985">
        <w:rPr>
          <w:rFonts w:eastAsia="MS Mincho"/>
        </w:rPr>
        <w:t xml:space="preserve">making </w:t>
      </w:r>
      <w:r w:rsidRPr="004150C5">
        <w:rPr>
          <w:rFonts w:eastAsia="MS Mincho"/>
        </w:rPr>
        <w:t xml:space="preserve">full payment </w:t>
      </w:r>
      <w:r w:rsidR="00035985">
        <w:rPr>
          <w:rFonts w:eastAsia="MS Mincho"/>
        </w:rPr>
        <w:t xml:space="preserve">over time </w:t>
      </w:r>
      <w:r w:rsidRPr="004150C5">
        <w:rPr>
          <w:rFonts w:eastAsia="MS Mincho" w:cs="Arial"/>
        </w:rPr>
        <w:t>under</w:t>
      </w:r>
      <w:r w:rsidRPr="004150C5">
        <w:rPr>
          <w:rFonts w:eastAsia="MS Mincho"/>
        </w:rPr>
        <w:t xml:space="preserve"> an installment plan should be sent to:  Chief Financial Officer—Financial Operations, </w:t>
      </w:r>
      <w:r w:rsidRPr="004150C5">
        <w:rPr>
          <w:rFonts w:eastAsia="MS Mincho" w:cs="Arial"/>
        </w:rPr>
        <w:t>Federal</w:t>
      </w:r>
      <w:r w:rsidRPr="004150C5">
        <w:rPr>
          <w:rFonts w:eastAsia="MS Mincho"/>
        </w:rPr>
        <w:t xml:space="preserve"> Communications Commission, 445 12th Street, S.W., Room 1-A625, Washington, D.C.  20554.</w:t>
      </w:r>
      <w:r w:rsidRPr="004150C5">
        <w:rPr>
          <w:rStyle w:val="FootnoteReference"/>
          <w:rFonts w:eastAsia="MS Mincho"/>
          <w:szCs w:val="22"/>
        </w:rPr>
        <w:footnoteReference w:id="75"/>
      </w:r>
      <w:r w:rsidRPr="004150C5">
        <w:rPr>
          <w:rFonts w:eastAsia="MS Mincho"/>
        </w:rPr>
        <w:t>  If you have questions regarding payment procedures, please contact the Financial Operations Group Help Desk by phone, 1-877-480-3201, or by e</w:t>
      </w:r>
      <w:r w:rsidRPr="004150C5">
        <w:rPr>
          <w:rFonts w:eastAsia="MS Mincho"/>
        </w:rPr>
        <w:noBreakHyphen/>
        <w:t xml:space="preserve">mail, </w:t>
      </w:r>
      <w:r w:rsidRPr="00082988">
        <w:rPr>
          <w:rFonts w:eastAsia="MS Mincho" w:cs="Arial"/>
          <w:szCs w:val="22"/>
        </w:rPr>
        <w:t>ARINQUIRIES@fcc.gov</w:t>
      </w:r>
      <w:r w:rsidRPr="004150C5">
        <w:rPr>
          <w:rFonts w:eastAsia="MS Mincho"/>
        </w:rPr>
        <w:t>.</w:t>
      </w:r>
    </w:p>
    <w:p w:rsidR="00015FE4" w:rsidRPr="004150C5" w:rsidRDefault="00015FE4" w:rsidP="00AE7279">
      <w:pPr>
        <w:pStyle w:val="ParaNum"/>
        <w:widowControl/>
        <w:tabs>
          <w:tab w:val="clear" w:pos="1080"/>
          <w:tab w:val="num" w:pos="1440"/>
        </w:tabs>
        <w:spacing w:after="220"/>
      </w:pPr>
      <w:r w:rsidRPr="004150C5">
        <w:t xml:space="preserve">The written statement seeking reduction or cancellation of the proposed forfeiture, if any, must include a detailed factual statement supported by appropriate documentation and affidavits pursuant to Sections </w:t>
      </w:r>
      <w:r>
        <w:t xml:space="preserve">1.16 and </w:t>
      </w:r>
      <w:r w:rsidRPr="004150C5">
        <w:t>1.80(f)(3) of the Rules.</w:t>
      </w:r>
      <w:r w:rsidRPr="004150C5">
        <w:rPr>
          <w:vertAlign w:val="superscript"/>
        </w:rPr>
        <w:footnoteReference w:id="76"/>
      </w:r>
      <w:r w:rsidRPr="004150C5">
        <w:rPr>
          <w:vertAlign w:val="superscript"/>
        </w:rPr>
        <w:t xml:space="preserve"> </w:t>
      </w:r>
      <w:r w:rsidRPr="004150C5">
        <w:t xml:space="preserve"> </w:t>
      </w:r>
      <w:r w:rsidR="004F108F">
        <w:t>T</w:t>
      </w:r>
      <w:r w:rsidRPr="004150C5">
        <w:t xml:space="preserve">he written statement </w:t>
      </w:r>
      <w:r w:rsidR="004F108F">
        <w:t xml:space="preserve">must be mailed </w:t>
      </w:r>
      <w:r w:rsidRPr="004150C5">
        <w:t xml:space="preserve">to Federal Communications Commission, Enforcement Bureau, South Central Region, </w:t>
      </w:r>
      <w:r w:rsidR="00125010">
        <w:rPr>
          <w:szCs w:val="22"/>
        </w:rPr>
        <w:t>Miami Office, P.O. Box 520617, Miami, FL 33152-0617</w:t>
      </w:r>
      <w:r w:rsidRPr="004150C5">
        <w:t xml:space="preserve"> and include the NAL/Acct. No. referenced in the caption.  </w:t>
      </w:r>
      <w:r w:rsidR="00D56EFE">
        <w:t>Towerstream</w:t>
      </w:r>
      <w:r w:rsidR="00400AF9">
        <w:t xml:space="preserve"> Corporation</w:t>
      </w:r>
      <w:r w:rsidRPr="004150C5">
        <w:t xml:space="preserve"> also shall email the written response to </w:t>
      </w:r>
      <w:r w:rsidRPr="00082988">
        <w:rPr>
          <w:rFonts w:eastAsia="MS Mincho"/>
          <w:szCs w:val="22"/>
        </w:rPr>
        <w:t>SCR-Response@fcc.gov</w:t>
      </w:r>
      <w:r w:rsidRPr="004150C5">
        <w:t xml:space="preserve">.       </w:t>
      </w:r>
    </w:p>
    <w:p w:rsidR="00015FE4" w:rsidRPr="004150C5" w:rsidRDefault="00015FE4" w:rsidP="00AE7279">
      <w:pPr>
        <w:pStyle w:val="ParaNum"/>
        <w:widowControl/>
        <w:tabs>
          <w:tab w:val="clear" w:pos="1080"/>
          <w:tab w:val="num" w:pos="1440"/>
        </w:tabs>
        <w:spacing w:after="220"/>
      </w:pPr>
      <w:r w:rsidRPr="004150C5">
        <w:t xml:space="preserve">The Commission will not consider reducing or canceling a forfeiture in response to a claim of inability to pay unless the petitioner submits: </w:t>
      </w:r>
      <w:r w:rsidR="005E1164">
        <w:t xml:space="preserve"> </w:t>
      </w:r>
      <w:r w:rsidRPr="004150C5">
        <w:t>(1) federal tax returns for the most recent three-year period; (2) financial statements prepared according to generally accepted accounti</w:t>
      </w:r>
      <w:r w:rsidR="00035985">
        <w:t>ng principle</w:t>
      </w:r>
      <w:r w:rsidRPr="004150C5">
        <w:t xml:space="preserve">s (GAAP); or (3) some other reliable and objective documentation that accurately reflects the petitioner’s current financial status.  Any claim of inability to pay must specifically identify the basis for the claim by reference to the financial documentation submitted.  </w:t>
      </w:r>
    </w:p>
    <w:p w:rsidR="00015FE4" w:rsidRPr="004150C5" w:rsidRDefault="00015FE4" w:rsidP="00AE7279">
      <w:pPr>
        <w:pStyle w:val="ParaNum"/>
        <w:widowControl/>
        <w:tabs>
          <w:tab w:val="clear" w:pos="1080"/>
          <w:tab w:val="num" w:pos="1440"/>
        </w:tabs>
        <w:spacing w:after="220"/>
      </w:pPr>
      <w:r w:rsidRPr="004150C5">
        <w:rPr>
          <w:b/>
        </w:rPr>
        <w:t>IT IS FURTHER ORDERED</w:t>
      </w:r>
      <w:r w:rsidRPr="004150C5">
        <w:t xml:space="preserve"> that a copy of this Notice of Apparent Liability for Forfeiture and Order shall be sent by bo</w:t>
      </w:r>
      <w:r>
        <w:t xml:space="preserve">th </w:t>
      </w:r>
      <w:r w:rsidRPr="004150C5">
        <w:t xml:space="preserve">Certified Mail, Return Receipt Requested, and First Class Mail, to </w:t>
      </w:r>
      <w:r w:rsidR="00125010">
        <w:t>Towerstream Corporat</w:t>
      </w:r>
      <w:r w:rsidR="003847EF">
        <w:t>i</w:t>
      </w:r>
      <w:r w:rsidR="00125010">
        <w:t>on</w:t>
      </w:r>
      <w:r w:rsidRPr="004150C5">
        <w:t xml:space="preserve"> at</w:t>
      </w:r>
      <w:r w:rsidRPr="00DC4BF9">
        <w:t xml:space="preserve"> </w:t>
      </w:r>
      <w:r w:rsidR="00DC4BF9" w:rsidRPr="00DC4BF9">
        <w:t>55 Hammarlund Way Tech II Plaza, Middletown, RI 02842</w:t>
      </w:r>
      <w:r w:rsidR="003847EF">
        <w:t xml:space="preserve"> and to its counsel, Donald L. Herman, Jr., at </w:t>
      </w:r>
      <w:r w:rsidR="004F2B1F">
        <w:t>Law Offices of Bennet &amp; Bennet, PLLC, 4350 East West Highway, Suite 201, Bethesda, MD 20814</w:t>
      </w:r>
      <w:r w:rsidRPr="004150C5">
        <w:t>.</w:t>
      </w:r>
      <w:r w:rsidRPr="004150C5">
        <w:rPr>
          <w:b/>
        </w:rPr>
        <w:t xml:space="preserve"> </w:t>
      </w:r>
    </w:p>
    <w:p w:rsidR="0053722B" w:rsidRDefault="0053722B" w:rsidP="00DC5F64">
      <w:pPr>
        <w:widowControl/>
        <w:tabs>
          <w:tab w:val="left" w:pos="0"/>
          <w:tab w:val="num" w:pos="1440"/>
        </w:tabs>
        <w:suppressAutoHyphens/>
        <w:spacing w:after="220" w:line="240" w:lineRule="atLeast"/>
        <w:rPr>
          <w:szCs w:val="22"/>
        </w:rPr>
      </w:pPr>
    </w:p>
    <w:p w:rsidR="007B026B" w:rsidRDefault="00015FE4" w:rsidP="00892CC3">
      <w:pPr>
        <w:widowControl/>
        <w:tabs>
          <w:tab w:val="left" w:pos="0"/>
          <w:tab w:val="num" w:pos="1440"/>
        </w:tabs>
        <w:suppressAutoHyphens/>
        <w:rPr>
          <w:szCs w:val="22"/>
        </w:rPr>
      </w:pPr>
      <w:r w:rsidRPr="009763C6">
        <w:rPr>
          <w:szCs w:val="22"/>
        </w:rPr>
        <w:tab/>
      </w:r>
      <w:r w:rsidRPr="009763C6">
        <w:rPr>
          <w:szCs w:val="22"/>
        </w:rPr>
        <w:tab/>
      </w:r>
      <w:r w:rsidRPr="009763C6">
        <w:rPr>
          <w:szCs w:val="22"/>
        </w:rPr>
        <w:tab/>
      </w:r>
      <w:r w:rsidRPr="009763C6">
        <w:rPr>
          <w:szCs w:val="22"/>
        </w:rPr>
        <w:tab/>
      </w:r>
      <w:r w:rsidRPr="009763C6">
        <w:rPr>
          <w:szCs w:val="22"/>
        </w:rPr>
        <w:tab/>
        <w:t>FEDERAL COMMUNICATIONS COMMISSION</w:t>
      </w:r>
    </w:p>
    <w:p w:rsidR="007B026B" w:rsidRDefault="007B026B" w:rsidP="00892CC3">
      <w:pPr>
        <w:widowControl/>
        <w:tabs>
          <w:tab w:val="left" w:pos="0"/>
          <w:tab w:val="num" w:pos="1440"/>
        </w:tabs>
        <w:suppressAutoHyphens/>
        <w:rPr>
          <w:szCs w:val="22"/>
        </w:rPr>
      </w:pPr>
    </w:p>
    <w:p w:rsidR="007B026B" w:rsidRDefault="007B026B" w:rsidP="007B026B">
      <w:pPr>
        <w:widowControl/>
        <w:tabs>
          <w:tab w:val="left" w:pos="0"/>
          <w:tab w:val="num" w:pos="1440"/>
        </w:tabs>
        <w:suppressAutoHyphens/>
        <w:rPr>
          <w:szCs w:val="22"/>
        </w:rPr>
      </w:pPr>
    </w:p>
    <w:p w:rsidR="007B026B" w:rsidRDefault="007B026B" w:rsidP="007B026B">
      <w:pPr>
        <w:widowControl/>
        <w:tabs>
          <w:tab w:val="left" w:pos="0"/>
          <w:tab w:val="num" w:pos="1440"/>
        </w:tabs>
        <w:suppressAutoHyphens/>
        <w:rPr>
          <w:szCs w:val="22"/>
        </w:rPr>
      </w:pPr>
    </w:p>
    <w:p w:rsidR="007B026B" w:rsidRDefault="007B026B" w:rsidP="007B026B">
      <w:pPr>
        <w:widowControl/>
        <w:tabs>
          <w:tab w:val="left" w:pos="0"/>
          <w:tab w:val="num" w:pos="1440"/>
        </w:tabs>
        <w:suppressAutoHyphens/>
        <w:rPr>
          <w:szCs w:val="22"/>
        </w:rPr>
      </w:pPr>
    </w:p>
    <w:p w:rsidR="00015FE4" w:rsidRPr="009763C6" w:rsidRDefault="007B026B" w:rsidP="00892CC3">
      <w:pPr>
        <w:widowControl/>
        <w:tabs>
          <w:tab w:val="left" w:pos="0"/>
          <w:tab w:val="num" w:pos="1440"/>
        </w:tabs>
        <w:suppressAutoHyphens/>
        <w:rPr>
          <w:szCs w:val="22"/>
        </w:rPr>
      </w:pPr>
      <w:r>
        <w:rPr>
          <w:szCs w:val="22"/>
        </w:rPr>
        <w:tab/>
      </w:r>
      <w:r>
        <w:rPr>
          <w:szCs w:val="22"/>
        </w:rPr>
        <w:tab/>
      </w:r>
      <w:r>
        <w:rPr>
          <w:szCs w:val="22"/>
        </w:rPr>
        <w:tab/>
      </w:r>
      <w:r>
        <w:rPr>
          <w:szCs w:val="22"/>
        </w:rPr>
        <w:tab/>
      </w:r>
      <w:r>
        <w:rPr>
          <w:szCs w:val="22"/>
        </w:rPr>
        <w:tab/>
      </w:r>
      <w:r w:rsidR="00015FE4" w:rsidRPr="009763C6">
        <w:rPr>
          <w:szCs w:val="22"/>
        </w:rPr>
        <w:t>Marlene H. Dortch</w:t>
      </w:r>
    </w:p>
    <w:p w:rsidR="00015FE4" w:rsidRPr="00015FE4" w:rsidRDefault="00015FE4" w:rsidP="00892CC3">
      <w:pPr>
        <w:widowControl/>
        <w:tabs>
          <w:tab w:val="left" w:pos="0"/>
          <w:tab w:val="num" w:pos="1440"/>
        </w:tabs>
        <w:suppressAutoHyphens/>
        <w:spacing w:line="240" w:lineRule="atLeast"/>
        <w:jc w:val="both"/>
        <w:rPr>
          <w:szCs w:val="22"/>
        </w:rPr>
      </w:pPr>
      <w:r w:rsidRPr="009763C6">
        <w:tab/>
      </w:r>
      <w:r w:rsidRPr="009763C6">
        <w:tab/>
      </w:r>
      <w:r w:rsidRPr="009763C6">
        <w:tab/>
      </w:r>
      <w:r w:rsidRPr="009763C6">
        <w:tab/>
      </w:r>
      <w:r w:rsidRPr="009763C6">
        <w:tab/>
        <w:t>Secretary</w:t>
      </w:r>
    </w:p>
    <w:sectPr w:rsidR="00015FE4" w:rsidRPr="00015FE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A0" w:rsidRDefault="00BE2AA0">
      <w:pPr>
        <w:spacing w:line="20" w:lineRule="exact"/>
      </w:pPr>
    </w:p>
  </w:endnote>
  <w:endnote w:type="continuationSeparator" w:id="0">
    <w:p w:rsidR="00BE2AA0" w:rsidRDefault="00BE2AA0">
      <w:r>
        <w:t xml:space="preserve"> </w:t>
      </w:r>
    </w:p>
  </w:endnote>
  <w:endnote w:type="continuationNotice" w:id="1">
    <w:p w:rsidR="00BE2AA0" w:rsidRDefault="00BE2A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F9" w:rsidRDefault="007469F6" w:rsidP="0055614C">
    <w:pPr>
      <w:pStyle w:val="Footer"/>
      <w:framePr w:wrap="around" w:vAnchor="text" w:hAnchor="margin" w:xAlign="center" w:y="1"/>
    </w:pPr>
    <w:r>
      <w:fldChar w:fldCharType="begin"/>
    </w:r>
    <w:r w:rsidR="00737CF9">
      <w:instrText xml:space="preserve">PAGE  </w:instrText>
    </w:r>
    <w:r>
      <w:fldChar w:fldCharType="end"/>
    </w:r>
  </w:p>
  <w:p w:rsidR="00737CF9" w:rsidRDefault="00737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F9" w:rsidRDefault="007469F6" w:rsidP="0055614C">
    <w:pPr>
      <w:pStyle w:val="Footer"/>
      <w:framePr w:wrap="around" w:vAnchor="text" w:hAnchor="margin" w:xAlign="center" w:y="1"/>
    </w:pPr>
    <w:r>
      <w:fldChar w:fldCharType="begin"/>
    </w:r>
    <w:r w:rsidR="00737CF9">
      <w:instrText xml:space="preserve">PAGE  </w:instrText>
    </w:r>
    <w:r>
      <w:fldChar w:fldCharType="separate"/>
    </w:r>
    <w:r w:rsidR="009034CB">
      <w:rPr>
        <w:noProof/>
      </w:rPr>
      <w:t>13</w:t>
    </w:r>
    <w:r>
      <w:fldChar w:fldCharType="end"/>
    </w:r>
  </w:p>
  <w:p w:rsidR="00737CF9" w:rsidRDefault="00737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F9" w:rsidRDefault="00737CF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A0" w:rsidRDefault="00BE2AA0">
      <w:r>
        <w:separator/>
      </w:r>
    </w:p>
  </w:footnote>
  <w:footnote w:type="continuationSeparator" w:id="0">
    <w:p w:rsidR="00BE2AA0" w:rsidRDefault="00BE2AA0">
      <w:pPr>
        <w:rPr>
          <w:sz w:val="20"/>
        </w:rPr>
      </w:pPr>
      <w:r>
        <w:rPr>
          <w:sz w:val="20"/>
        </w:rPr>
        <w:t xml:space="preserve">(Continued from previous page)  </w:t>
      </w:r>
      <w:r>
        <w:rPr>
          <w:sz w:val="20"/>
        </w:rPr>
        <w:separator/>
      </w:r>
    </w:p>
  </w:footnote>
  <w:footnote w:type="continuationNotice" w:id="1">
    <w:p w:rsidR="00BE2AA0" w:rsidRDefault="00BE2AA0">
      <w:pPr>
        <w:rPr>
          <w:sz w:val="20"/>
        </w:rPr>
      </w:pPr>
      <w:r>
        <w:rPr>
          <w:sz w:val="20"/>
        </w:rPr>
        <w:t>(continued….)</w:t>
      </w:r>
    </w:p>
  </w:footnote>
  <w:footnote w:id="2">
    <w:p w:rsidR="00737CF9" w:rsidRPr="005E1F55" w:rsidRDefault="00737CF9" w:rsidP="005E1F55">
      <w:pPr>
        <w:pStyle w:val="FootnoteText"/>
      </w:pPr>
      <w:r w:rsidRPr="005F751C">
        <w:rPr>
          <w:rStyle w:val="FootnoteReference"/>
          <w:sz w:val="20"/>
        </w:rPr>
        <w:footnoteRef/>
      </w:r>
      <w:r w:rsidRPr="005E1F55">
        <w:t xml:space="preserve"> 47 U.S.C. §</w:t>
      </w:r>
      <w:r w:rsidR="004D4BF1" w:rsidRPr="005E1F55">
        <w:t>§</w:t>
      </w:r>
      <w:r w:rsidRPr="005E1F55">
        <w:t xml:space="preserve"> 301</w:t>
      </w:r>
      <w:r w:rsidR="004D4BF1" w:rsidRPr="005E1F55">
        <w:t>, 333</w:t>
      </w:r>
      <w:r w:rsidRPr="005E1F55">
        <w:t>.</w:t>
      </w:r>
      <w:r w:rsidR="004869AF" w:rsidRPr="005E1F55">
        <w:t xml:space="preserve">  We note that the Commission’s authorization of Part 15 radio transmitters as “unlicensed” devices does not extend to devices that are not operated in accordance with </w:t>
      </w:r>
      <w:r w:rsidR="001D77E8" w:rsidRPr="005E1F55">
        <w:t>Part 15 regulations, and that such</w:t>
      </w:r>
      <w:r w:rsidR="004869AF" w:rsidRPr="005E1F55">
        <w:t xml:space="preserve"> </w:t>
      </w:r>
      <w:r w:rsidR="001D77E8" w:rsidRPr="005E1F55">
        <w:t xml:space="preserve">operations must be licensed (or otherwise </w:t>
      </w:r>
      <w:r w:rsidR="000F54E5" w:rsidRPr="005E1F55">
        <w:t xml:space="preserve">be </w:t>
      </w:r>
      <w:r w:rsidR="001D77E8" w:rsidRPr="005E1F55">
        <w:t xml:space="preserve">exempted from licensing despite such non-compliance).  </w:t>
      </w:r>
      <w:r w:rsidR="001D77E8" w:rsidRPr="005E1F55">
        <w:rPr>
          <w:i/>
        </w:rPr>
        <w:t xml:space="preserve">See </w:t>
      </w:r>
      <w:r w:rsidR="001D77E8" w:rsidRPr="005E1F55">
        <w:t>47 C.F.R. § 15.1(b)</w:t>
      </w:r>
      <w:r w:rsidR="00E04A24" w:rsidRPr="005E1F55">
        <w:t>.</w:t>
      </w:r>
      <w:r w:rsidR="004869AF" w:rsidRPr="005E1F55">
        <w:t xml:space="preserve"> </w:t>
      </w:r>
    </w:p>
  </w:footnote>
  <w:footnote w:id="3">
    <w:p w:rsidR="00737CF9" w:rsidRPr="005E1F55" w:rsidRDefault="00737CF9" w:rsidP="005E1F55">
      <w:pPr>
        <w:pStyle w:val="FootnoteText"/>
      </w:pPr>
      <w:r w:rsidRPr="005F751C">
        <w:rPr>
          <w:rStyle w:val="FootnoteReference"/>
          <w:sz w:val="20"/>
        </w:rPr>
        <w:footnoteRef/>
      </w:r>
      <w:r w:rsidRPr="005E1F55">
        <w:t xml:space="preserve"> </w:t>
      </w:r>
      <w:r w:rsidR="004D4BF1" w:rsidRPr="005E1F55">
        <w:t>47 U.S.C. § 301</w:t>
      </w:r>
      <w:r w:rsidRPr="005E1F55">
        <w:t>.</w:t>
      </w:r>
    </w:p>
  </w:footnote>
  <w:footnote w:id="4">
    <w:p w:rsidR="00737CF9" w:rsidRPr="00892CC3" w:rsidRDefault="00737CF9" w:rsidP="005E1F55">
      <w:pPr>
        <w:spacing w:after="120"/>
        <w:rPr>
          <w:sz w:val="20"/>
        </w:rPr>
      </w:pPr>
      <w:r w:rsidRPr="00892CC3">
        <w:rPr>
          <w:rStyle w:val="FootnoteReference"/>
          <w:sz w:val="20"/>
        </w:rPr>
        <w:footnoteRef/>
      </w:r>
      <w:r w:rsidRPr="00892CC3">
        <w:rPr>
          <w:sz w:val="20"/>
        </w:rPr>
        <w:t xml:space="preserve"> </w:t>
      </w:r>
      <w:r w:rsidRPr="005E1F55">
        <w:rPr>
          <w:i/>
          <w:color w:val="000000"/>
          <w:sz w:val="20"/>
        </w:rPr>
        <w:t>Revision of Part 15 of the Rules Regarding the Operation of Radio Frequency Devices Without an Individual License</w:t>
      </w:r>
      <w:r w:rsidRPr="005E1F55">
        <w:rPr>
          <w:color w:val="000000"/>
          <w:sz w:val="20"/>
        </w:rPr>
        <w:t xml:space="preserve">, First Report and Order, 4 FCC Rcd 3493 (1989).  </w:t>
      </w:r>
      <w:r w:rsidRPr="005E1F55">
        <w:rPr>
          <w:i/>
          <w:color w:val="000000"/>
          <w:sz w:val="20"/>
        </w:rPr>
        <w:t xml:space="preserve">See also </w:t>
      </w:r>
      <w:r w:rsidRPr="005E1F55">
        <w:rPr>
          <w:color w:val="000000"/>
          <w:sz w:val="20"/>
        </w:rPr>
        <w:t xml:space="preserve">47 C.F.R. </w:t>
      </w:r>
      <w:r w:rsidRPr="005E1F55">
        <w:rPr>
          <w:sz w:val="20"/>
        </w:rPr>
        <w:t>§15.5(b)</w:t>
      </w:r>
      <w:r w:rsidR="004D4BF1" w:rsidRPr="005E1F55">
        <w:rPr>
          <w:sz w:val="20"/>
        </w:rPr>
        <w:t>,</w:t>
      </w:r>
      <w:r w:rsidRPr="005E1F55">
        <w:rPr>
          <w:sz w:val="20"/>
        </w:rPr>
        <w:t xml:space="preserve"> (c).</w:t>
      </w:r>
    </w:p>
  </w:footnote>
  <w:footnote w:id="5">
    <w:p w:rsidR="00017595" w:rsidRPr="005E1F55" w:rsidRDefault="00017595" w:rsidP="005E1F55">
      <w:pPr>
        <w:pStyle w:val="FootnoteText"/>
      </w:pPr>
      <w:r w:rsidRPr="005F751C">
        <w:rPr>
          <w:rStyle w:val="FootnoteReference"/>
          <w:sz w:val="20"/>
        </w:rPr>
        <w:footnoteRef/>
      </w:r>
      <w:r w:rsidRPr="005E1F55">
        <w:t xml:space="preserve"> 47 C.F.R. § 15.5(c).</w:t>
      </w:r>
    </w:p>
  </w:footnote>
  <w:footnote w:id="6">
    <w:p w:rsidR="00737CF9" w:rsidRPr="005E1F55" w:rsidRDefault="00737CF9" w:rsidP="005E1F55">
      <w:pPr>
        <w:pStyle w:val="FootnoteText"/>
        <w:rPr>
          <w:i/>
        </w:rPr>
      </w:pPr>
      <w:r w:rsidRPr="005F751C">
        <w:rPr>
          <w:rStyle w:val="FootnoteReference"/>
          <w:sz w:val="20"/>
        </w:rPr>
        <w:footnoteRef/>
      </w:r>
      <w:r w:rsidRPr="005E1F55">
        <w:t xml:space="preserve"> </w:t>
      </w:r>
      <w:r w:rsidRPr="005E1F55">
        <w:rPr>
          <w:i/>
        </w:rPr>
        <w:t>See Unlicensed National Information Infrastructure (U-NII) Devices in the 5 GHz Band</w:t>
      </w:r>
      <w:r w:rsidRPr="005E1F55">
        <w:t>, Report and Order, 18 FCC Rcd 24484 (2003).</w:t>
      </w:r>
      <w:r w:rsidRPr="005E1F55">
        <w:rPr>
          <w:i/>
        </w:rPr>
        <w:t xml:space="preserve"> </w:t>
      </w:r>
    </w:p>
  </w:footnote>
  <w:footnote w:id="7">
    <w:p w:rsidR="00B87EF7" w:rsidRPr="005E1F55" w:rsidRDefault="00B87EF7" w:rsidP="005E1F55">
      <w:pPr>
        <w:pStyle w:val="FootnoteText"/>
      </w:pPr>
      <w:r w:rsidRPr="005F751C">
        <w:rPr>
          <w:rStyle w:val="FootnoteReference"/>
          <w:sz w:val="20"/>
        </w:rPr>
        <w:footnoteRef/>
      </w:r>
      <w:r w:rsidRPr="005E1F55">
        <w:t xml:space="preserve"> </w:t>
      </w:r>
      <w:r w:rsidRPr="005E1F55">
        <w:rPr>
          <w:i/>
        </w:rPr>
        <w:t>See Revision of Part 15 of the Commission’s Rules to Permit Unlicensed National Information Infrastructure Devices in the 5 GHz Band</w:t>
      </w:r>
      <w:r w:rsidRPr="005E1F55">
        <w:t xml:space="preserve">, Notice of Proposed Rulemaking, </w:t>
      </w:r>
      <w:r w:rsidR="000F54E5" w:rsidRPr="005E1F55">
        <w:t>28 FCC Rcd 1769,</w:t>
      </w:r>
      <w:r w:rsidR="00227A60" w:rsidRPr="005E1F55">
        <w:t xml:space="preserve"> 1774, </w:t>
      </w:r>
      <w:r w:rsidRPr="005E1F55">
        <w:t>para</w:t>
      </w:r>
      <w:r w:rsidR="00114938" w:rsidRPr="005E1F55">
        <w:t>.</w:t>
      </w:r>
      <w:r w:rsidRPr="005E1F55">
        <w:t xml:space="preserve"> 15 (2013).</w:t>
      </w:r>
    </w:p>
  </w:footnote>
  <w:footnote w:id="8">
    <w:p w:rsidR="00737CF9" w:rsidRPr="005E1F55" w:rsidRDefault="00737CF9" w:rsidP="005E1F55">
      <w:pPr>
        <w:pStyle w:val="FootnoteText"/>
      </w:pPr>
      <w:r w:rsidRPr="005F751C">
        <w:rPr>
          <w:rStyle w:val="FootnoteReference"/>
          <w:sz w:val="20"/>
        </w:rPr>
        <w:footnoteRef/>
      </w:r>
      <w:r w:rsidRPr="005E1F55">
        <w:t xml:space="preserve"> </w:t>
      </w:r>
      <w:r w:rsidRPr="005E1F55">
        <w:rPr>
          <w:i/>
        </w:rPr>
        <w:t xml:space="preserve">See </w:t>
      </w:r>
      <w:r w:rsidRPr="005E1F55">
        <w:t xml:space="preserve">47 C.F.R. § 15.407. </w:t>
      </w:r>
    </w:p>
  </w:footnote>
  <w:footnote w:id="9">
    <w:p w:rsidR="00737CF9" w:rsidRPr="005E1F55" w:rsidRDefault="00737CF9" w:rsidP="005E1F55">
      <w:pPr>
        <w:pStyle w:val="FootnoteText"/>
      </w:pPr>
      <w:r w:rsidRPr="005F751C">
        <w:rPr>
          <w:rStyle w:val="FootnoteReference"/>
          <w:sz w:val="20"/>
        </w:rPr>
        <w:footnoteRef/>
      </w:r>
      <w:r w:rsidRPr="005E1F55">
        <w:t xml:space="preserve"> 47 C.F.R. § 15.5(c).  </w:t>
      </w:r>
      <w:r w:rsidRPr="005E1F55">
        <w:rPr>
          <w:i/>
        </w:rPr>
        <w:t xml:space="preserve">See also </w:t>
      </w:r>
      <w:r w:rsidRPr="005E1F55">
        <w:t>47 C.F.R. § 15.3(m) (defining harmful interference as “any emission radiation, or induction tha</w:t>
      </w:r>
      <w:r w:rsidR="004D4BF1" w:rsidRPr="005E1F55">
        <w:t xml:space="preserve">t endangers the functioning of </w:t>
      </w:r>
      <w:r w:rsidRPr="005E1F55">
        <w:t>radio navigation service or of other safety services or seriously degrades, obstructs or repeatedly interrupts a radiocommunications service operating in accordance with this chapter”).</w:t>
      </w:r>
    </w:p>
  </w:footnote>
  <w:footnote w:id="10">
    <w:p w:rsidR="00737CF9" w:rsidRPr="005E1F55" w:rsidRDefault="00737CF9" w:rsidP="005E1F55">
      <w:pPr>
        <w:pStyle w:val="FootnoteText"/>
      </w:pPr>
      <w:r w:rsidRPr="005F751C">
        <w:rPr>
          <w:rStyle w:val="FootnoteReference"/>
          <w:sz w:val="20"/>
        </w:rPr>
        <w:footnoteRef/>
      </w:r>
      <w:r w:rsidRPr="005E1F55">
        <w:t xml:space="preserve"> </w:t>
      </w:r>
      <w:r w:rsidR="007C351A" w:rsidRPr="005E1F55">
        <w:rPr>
          <w:i/>
        </w:rPr>
        <w:t xml:space="preserve">See </w:t>
      </w:r>
      <w:r w:rsidR="007C351A" w:rsidRPr="005E1F55">
        <w:t xml:space="preserve">47 C.F.R. § 15.1(b); </w:t>
      </w:r>
      <w:r w:rsidRPr="005E1F55">
        <w:t>47 U.S.C. § 301.</w:t>
      </w:r>
    </w:p>
  </w:footnote>
  <w:footnote w:id="11">
    <w:p w:rsidR="005463E0" w:rsidRPr="005E1F55" w:rsidRDefault="005463E0" w:rsidP="005E1F55">
      <w:pPr>
        <w:pStyle w:val="FootnoteText"/>
      </w:pPr>
      <w:r w:rsidRPr="005F751C">
        <w:rPr>
          <w:rStyle w:val="FootnoteReference"/>
          <w:sz w:val="20"/>
        </w:rPr>
        <w:footnoteRef/>
      </w:r>
      <w:r w:rsidRPr="005E1F55">
        <w:t xml:space="preserve"> 47 U.S.C. § 333.</w:t>
      </w:r>
    </w:p>
  </w:footnote>
  <w:footnote w:id="12">
    <w:p w:rsidR="00737CF9" w:rsidRPr="005E1F55" w:rsidRDefault="00737CF9" w:rsidP="005E1F55">
      <w:pPr>
        <w:pStyle w:val="FootnoteText"/>
      </w:pPr>
      <w:r w:rsidRPr="005F751C">
        <w:rPr>
          <w:rStyle w:val="FootnoteReference"/>
          <w:sz w:val="20"/>
        </w:rPr>
        <w:footnoteRef/>
      </w:r>
      <w:r w:rsidR="009D23B9" w:rsidRPr="005E1F55">
        <w:t xml:space="preserve"> </w:t>
      </w:r>
      <w:r w:rsidR="009D23B9" w:rsidRPr="005E1F55">
        <w:rPr>
          <w:i/>
        </w:rPr>
        <w:t>Id</w:t>
      </w:r>
      <w:r w:rsidRPr="005E1F55">
        <w:t>.</w:t>
      </w:r>
    </w:p>
  </w:footnote>
  <w:footnote w:id="13">
    <w:p w:rsidR="0056024D" w:rsidRPr="005E1F55" w:rsidRDefault="0056024D" w:rsidP="005E1F55">
      <w:pPr>
        <w:pStyle w:val="FootnoteText"/>
      </w:pPr>
      <w:r w:rsidRPr="005E1F55">
        <w:rPr>
          <w:rStyle w:val="FootnoteReference"/>
          <w:sz w:val="20"/>
        </w:rPr>
        <w:footnoteRef/>
      </w:r>
      <w:r w:rsidRPr="005E1F55">
        <w:t xml:space="preserve"> </w:t>
      </w:r>
      <w:r w:rsidRPr="005E1F55">
        <w:rPr>
          <w:color w:val="000000"/>
          <w:shd w:val="clear" w:color="auto" w:fill="FFFFFF"/>
        </w:rPr>
        <w:t xml:space="preserve">H.R. Rep. No. 101-316, at </w:t>
      </w:r>
      <w:r w:rsidR="008976CF" w:rsidRPr="005E1F55">
        <w:rPr>
          <w:color w:val="000000"/>
          <w:shd w:val="clear" w:color="auto" w:fill="FFFFFF"/>
        </w:rPr>
        <w:t>8</w:t>
      </w:r>
      <w:r w:rsidRPr="005E1F55">
        <w:rPr>
          <w:color w:val="000000"/>
          <w:shd w:val="clear" w:color="auto" w:fill="FFFFFF"/>
        </w:rPr>
        <w:t xml:space="preserve"> (1989).</w:t>
      </w:r>
    </w:p>
  </w:footnote>
  <w:footnote w:id="14">
    <w:p w:rsidR="005463E0" w:rsidRPr="005E1F55" w:rsidRDefault="005463E0" w:rsidP="005E1F55">
      <w:pPr>
        <w:pStyle w:val="FootnoteText"/>
        <w:rPr>
          <w:i/>
        </w:rPr>
      </w:pPr>
      <w:r w:rsidRPr="005F751C">
        <w:rPr>
          <w:rStyle w:val="FootnoteReference"/>
          <w:sz w:val="20"/>
        </w:rPr>
        <w:footnoteRef/>
      </w:r>
      <w:r w:rsidRPr="005E1F55">
        <w:t xml:space="preserve"> </w:t>
      </w:r>
      <w:r w:rsidRPr="005E1F55">
        <w:rPr>
          <w:i/>
        </w:rPr>
        <w:t>See, e.g.,</w:t>
      </w:r>
      <w:r w:rsidR="006725B4" w:rsidRPr="005E1F55">
        <w:rPr>
          <w:i/>
        </w:rPr>
        <w:t xml:space="preserve"> Directlink, LLC</w:t>
      </w:r>
      <w:r w:rsidR="006725B4" w:rsidRPr="005E1F55">
        <w:t xml:space="preserve">, Notice of Apparent Liability for Forfeiture and Order, 28 FCC Rcd 37 (Enf. Bur. 2013); </w:t>
      </w:r>
      <w:r w:rsidR="006725B4" w:rsidRPr="005E1F55">
        <w:rPr>
          <w:i/>
        </w:rPr>
        <w:t>Skybea</w:t>
      </w:r>
      <w:r w:rsidR="004D4BF1" w:rsidRPr="005E1F55">
        <w:rPr>
          <w:i/>
        </w:rPr>
        <w:t>m</w:t>
      </w:r>
      <w:r w:rsidR="006725B4" w:rsidRPr="005E1F55">
        <w:rPr>
          <w:i/>
        </w:rPr>
        <w:t xml:space="preserve"> Acquisition Corporation</w:t>
      </w:r>
      <w:r w:rsidR="006725B4" w:rsidRPr="005E1F55">
        <w:t xml:space="preserve">, Notice of Apparent Liability for Forfeiture and Order, 27 FCC Rcd 11337 (Enf. Bur. 2012); </w:t>
      </w:r>
      <w:r w:rsidR="006725B4" w:rsidRPr="005E1F55">
        <w:rPr>
          <w:i/>
        </w:rPr>
        <w:t>Argos Net, Inc.</w:t>
      </w:r>
      <w:r w:rsidR="006725B4" w:rsidRPr="005E1F55">
        <w:t xml:space="preserve">, Notice of Apparent Liability for Forfeiture and Order, 27 FCC Rcd 2786 (Enf. Bur. 2012); </w:t>
      </w:r>
      <w:r w:rsidR="006725B4" w:rsidRPr="00892CC3">
        <w:rPr>
          <w:i/>
        </w:rPr>
        <w:t>VPNet</w:t>
      </w:r>
      <w:r w:rsidR="006725B4" w:rsidRPr="005E1F55">
        <w:rPr>
          <w:i/>
        </w:rPr>
        <w:t>, Inc.</w:t>
      </w:r>
      <w:r w:rsidR="00227A60" w:rsidRPr="005E1F55">
        <w:t>,</w:t>
      </w:r>
      <w:r w:rsidR="006725B4" w:rsidRPr="005E1F55">
        <w:t xml:space="preserve"> Notice of Apparent Liability for Forfeiture and Order, 27 FCC Rcd 2879 (Enf. Bur. 2012).</w:t>
      </w:r>
    </w:p>
  </w:footnote>
  <w:footnote w:id="15">
    <w:p w:rsidR="00B601C9" w:rsidRPr="005E1F55" w:rsidRDefault="00B601C9" w:rsidP="005E1F55">
      <w:pPr>
        <w:pStyle w:val="FootnoteText"/>
      </w:pPr>
      <w:r w:rsidRPr="005F751C">
        <w:rPr>
          <w:rStyle w:val="FootnoteReference"/>
          <w:sz w:val="20"/>
        </w:rPr>
        <w:footnoteRef/>
      </w:r>
      <w:r w:rsidRPr="005E1F55">
        <w:t xml:space="preserve"> MIT Lincoln Laboratories, </w:t>
      </w:r>
      <w:r w:rsidR="004D4BF1" w:rsidRPr="005E1F55">
        <w:rPr>
          <w:i/>
        </w:rPr>
        <w:t xml:space="preserve">available at </w:t>
      </w:r>
      <w:r w:rsidRPr="005E1F55">
        <w:t>http://www.ll.mit.edu/mission/aviation/faawxsystems/tdwr.html (last visited Jan. 26, 2011).</w:t>
      </w:r>
    </w:p>
  </w:footnote>
  <w:footnote w:id="16">
    <w:p w:rsidR="00B601C9" w:rsidRPr="005E1F55" w:rsidRDefault="00B601C9" w:rsidP="005E1F55">
      <w:pPr>
        <w:pStyle w:val="FootnoteText"/>
        <w:rPr>
          <w:b/>
        </w:rPr>
      </w:pPr>
      <w:r w:rsidRPr="005F751C">
        <w:rPr>
          <w:rStyle w:val="FootnoteReference"/>
          <w:sz w:val="20"/>
        </w:rPr>
        <w:footnoteRef/>
      </w:r>
      <w:r w:rsidRPr="005E1F55">
        <w:t xml:space="preserve"> </w:t>
      </w:r>
      <w:r w:rsidRPr="005E1F55">
        <w:rPr>
          <w:i/>
        </w:rPr>
        <w:t xml:space="preserve">See </w:t>
      </w:r>
      <w:r w:rsidRPr="005E1F55">
        <w:t xml:space="preserve">47 C.F.R. § 15.407(h)(2).  </w:t>
      </w:r>
      <w:r w:rsidRPr="005E1F55">
        <w:rPr>
          <w:i/>
        </w:rPr>
        <w:t>See</w:t>
      </w:r>
      <w:r w:rsidRPr="005E1F55">
        <w:t xml:space="preserve"> </w:t>
      </w:r>
      <w:r w:rsidRPr="005E1F55">
        <w:rPr>
          <w:i/>
        </w:rPr>
        <w:t>also</w:t>
      </w:r>
      <w:r w:rsidRPr="005E1F55">
        <w:t xml:space="preserve"> 47 C.F.R. § 15.40</w:t>
      </w:r>
      <w:r w:rsidR="004345F3" w:rsidRPr="005E1F55">
        <w:t>3</w:t>
      </w:r>
      <w:r w:rsidRPr="005E1F55">
        <w:t>(</w:t>
      </w:r>
      <w:r w:rsidR="004345F3" w:rsidRPr="005E1F55">
        <w:t>s</w:t>
      </w:r>
      <w:r w:rsidRPr="005E1F55">
        <w:t xml:space="preserve">) (defining U-NII devices as “[i]ntentional radiators operating in the frequency bands 5.15-5.35 GHz and 5.470-5.825 GHz that use wideband digital modulation techniques and provide a wide array of high data rate mobile and fixed communications for individuals, businesses, and institutions.”).  </w:t>
      </w:r>
      <w:r w:rsidRPr="005E1F55">
        <w:rPr>
          <w:i/>
        </w:rPr>
        <w:t xml:space="preserve">See also </w:t>
      </w:r>
      <w:r w:rsidRPr="00892CC3">
        <w:t>Memorandum</w:t>
      </w:r>
      <w:r w:rsidRPr="005E1F55">
        <w:rPr>
          <w:i/>
        </w:rPr>
        <w:t xml:space="preserve"> </w:t>
      </w:r>
      <w:r w:rsidRPr="005E1F55">
        <w:t xml:space="preserve">from Julius Knapp, Chief, Office of Engineering and Technology, FCC, and P. Michele Ellison, Chief, Enforcement Bureau, FCC, to Manufacturers and Operators of Unlicensed 5 GHz Outdoor Network Equipment Re: Elimination of Interference to Terminal Doppler Weather Radar (TDWR) (dated July 27, 2010), </w:t>
      </w:r>
      <w:r w:rsidRPr="005E1F55">
        <w:rPr>
          <w:i/>
        </w:rPr>
        <w:t xml:space="preserve">available at </w:t>
      </w:r>
      <w:r w:rsidR="003976D1" w:rsidRPr="005E1F55">
        <w:t xml:space="preserve">http://transition.fcc.gov/eb/uniitdwr.pdf  (last visited April 27, 2013) </w:t>
      </w:r>
      <w:r w:rsidRPr="005E1F55">
        <w:t>(</w:t>
      </w:r>
      <w:r w:rsidRPr="005E1F55">
        <w:rPr>
          <w:i/>
        </w:rPr>
        <w:t>OET</w:t>
      </w:r>
      <w:r w:rsidR="00093BD3" w:rsidRPr="005E1F55">
        <w:rPr>
          <w:i/>
        </w:rPr>
        <w:t>/EB</w:t>
      </w:r>
      <w:r w:rsidRPr="005E1F55">
        <w:rPr>
          <w:i/>
        </w:rPr>
        <w:t xml:space="preserve"> Memo</w:t>
      </w:r>
      <w:r w:rsidR="003976D1" w:rsidRPr="005E1F55">
        <w:t>).</w:t>
      </w:r>
    </w:p>
  </w:footnote>
  <w:footnote w:id="17">
    <w:p w:rsidR="00AE4609" w:rsidRPr="005E1F55" w:rsidRDefault="00AE4609" w:rsidP="005E1F55">
      <w:pPr>
        <w:pStyle w:val="FootnoteText"/>
      </w:pPr>
      <w:r w:rsidRPr="005F751C">
        <w:rPr>
          <w:rStyle w:val="FootnoteReference"/>
          <w:sz w:val="20"/>
        </w:rPr>
        <w:footnoteRef/>
      </w:r>
      <w:r w:rsidRPr="005E1F55">
        <w:t xml:space="preserve"> </w:t>
      </w:r>
      <w:r w:rsidRPr="005E1F55">
        <w:rPr>
          <w:i/>
        </w:rPr>
        <w:t>See OET</w:t>
      </w:r>
      <w:r w:rsidR="00093BD3" w:rsidRPr="005E1F55">
        <w:rPr>
          <w:i/>
        </w:rPr>
        <w:t>/EB</w:t>
      </w:r>
      <w:r w:rsidRPr="005E1F55">
        <w:rPr>
          <w:i/>
        </w:rPr>
        <w:t xml:space="preserve"> Memo</w:t>
      </w:r>
      <w:r w:rsidRPr="005E1F55">
        <w:t xml:space="preserve"> at 1 (“equipment that met the FCC’s certification standards nonetheless caused interference, due to a variety of factors . . .”).  </w:t>
      </w:r>
      <w:r w:rsidRPr="005E1F55">
        <w:rPr>
          <w:i/>
        </w:rPr>
        <w:t xml:space="preserve">See also </w:t>
      </w:r>
      <w:r w:rsidR="006725B4" w:rsidRPr="005E1F55">
        <w:rPr>
          <w:i/>
        </w:rPr>
        <w:t>Directlink, LLC</w:t>
      </w:r>
      <w:r w:rsidR="006725B4" w:rsidRPr="005E1F55">
        <w:t xml:space="preserve">, Notice of Apparent Liability for Forfeiture and Order, 28 FCC Rcd 37 (Enf. Bur. 2013); </w:t>
      </w:r>
      <w:r w:rsidR="006725B4" w:rsidRPr="005E1F55">
        <w:rPr>
          <w:i/>
        </w:rPr>
        <w:t>Skybea</w:t>
      </w:r>
      <w:r w:rsidR="004178D9" w:rsidRPr="005E1F55">
        <w:rPr>
          <w:i/>
        </w:rPr>
        <w:t>m</w:t>
      </w:r>
      <w:r w:rsidR="006725B4" w:rsidRPr="005E1F55">
        <w:rPr>
          <w:i/>
        </w:rPr>
        <w:t xml:space="preserve"> Acquisition Corporation</w:t>
      </w:r>
      <w:r w:rsidR="006725B4" w:rsidRPr="005E1F55">
        <w:t xml:space="preserve">, Notice of Apparent Liability for Forfeiture and Order, 27 FCC Rcd 11337 (Enf. Bur. 2012); </w:t>
      </w:r>
      <w:r w:rsidR="006725B4" w:rsidRPr="005E1F55">
        <w:rPr>
          <w:i/>
        </w:rPr>
        <w:t>Argos Net, Inc.</w:t>
      </w:r>
      <w:r w:rsidR="006725B4" w:rsidRPr="005E1F55">
        <w:t xml:space="preserve">, Notice of Apparent Liability for Forfeiture and Order, 27 FCC Rcd 2786 (Enf. Bur. 2012); </w:t>
      </w:r>
      <w:r w:rsidR="006725B4" w:rsidRPr="005E1F55">
        <w:rPr>
          <w:i/>
        </w:rPr>
        <w:t>VPNet, Inc.</w:t>
      </w:r>
      <w:r w:rsidR="00EA2F72" w:rsidRPr="005E1F55">
        <w:t>,</w:t>
      </w:r>
      <w:r w:rsidR="006725B4" w:rsidRPr="005E1F55">
        <w:t xml:space="preserve"> Notice of Apparent Liability for Forfeiture and Order, 27 FCC Rcd 2879 (Enf. Bur. 2012).</w:t>
      </w:r>
    </w:p>
  </w:footnote>
  <w:footnote w:id="18">
    <w:p w:rsidR="004178D9" w:rsidRPr="005E1F55" w:rsidRDefault="004178D9" w:rsidP="005E1F55">
      <w:pPr>
        <w:pStyle w:val="FootnoteText"/>
      </w:pPr>
      <w:r w:rsidRPr="005F751C">
        <w:rPr>
          <w:rStyle w:val="FootnoteReference"/>
          <w:sz w:val="20"/>
        </w:rPr>
        <w:footnoteRef/>
      </w:r>
      <w:r w:rsidRPr="005E1F55">
        <w:t xml:space="preserve"> Towerstream Investor Relations Homepage, </w:t>
      </w:r>
      <w:r w:rsidRPr="005E1F55">
        <w:rPr>
          <w:i/>
        </w:rPr>
        <w:t xml:space="preserve">available at </w:t>
      </w:r>
      <w:r w:rsidRPr="005E1F55">
        <w:t>http://ir.towerstream.com/ (last visited April 27, 2013).</w:t>
      </w:r>
    </w:p>
  </w:footnote>
  <w:footnote w:id="19">
    <w:p w:rsidR="004178D9" w:rsidRPr="005E1F55" w:rsidRDefault="004178D9" w:rsidP="005E1F55">
      <w:pPr>
        <w:pStyle w:val="FootnoteText"/>
      </w:pPr>
      <w:r w:rsidRPr="005F751C">
        <w:rPr>
          <w:rStyle w:val="FootnoteReference"/>
          <w:sz w:val="20"/>
        </w:rPr>
        <w:footnoteRef/>
      </w:r>
      <w:r w:rsidRPr="005E1F55">
        <w:t xml:space="preserve"> “Towerstream Reports Fourth Quarter and Year End 2012 Results,” Press Release (March 18, 2013), </w:t>
      </w:r>
      <w:r w:rsidRPr="005E1F55">
        <w:rPr>
          <w:i/>
        </w:rPr>
        <w:t>available at</w:t>
      </w:r>
      <w:r w:rsidRPr="005E1F55">
        <w:t xml:space="preserve"> http://ir.towerstream.com/releasedetail.cfm?ReleaseID=749233 (last visited April 27, 2013).</w:t>
      </w:r>
    </w:p>
  </w:footnote>
  <w:footnote w:id="20">
    <w:p w:rsidR="00D553AF" w:rsidRPr="005E1F55" w:rsidRDefault="00D553AF" w:rsidP="005E1F55">
      <w:pPr>
        <w:pStyle w:val="FootnoteText"/>
      </w:pPr>
      <w:r w:rsidRPr="005F751C">
        <w:rPr>
          <w:rStyle w:val="FootnoteReference"/>
          <w:sz w:val="20"/>
        </w:rPr>
        <w:footnoteRef/>
      </w:r>
      <w:r w:rsidRPr="005E1F55">
        <w:t xml:space="preserve"> Industry engineers typically refer to transmissions in the 5 GHz band in MHz, but for purposes of this document, we will reference GHz throughout.</w:t>
      </w:r>
    </w:p>
  </w:footnote>
  <w:footnote w:id="21">
    <w:p w:rsidR="00737CF9" w:rsidRPr="005E1F55" w:rsidRDefault="00737CF9" w:rsidP="005E1F55">
      <w:pPr>
        <w:pStyle w:val="FootnoteText"/>
      </w:pPr>
      <w:r w:rsidRPr="005F751C">
        <w:rPr>
          <w:rStyle w:val="FootnoteReference"/>
          <w:sz w:val="20"/>
        </w:rPr>
        <w:footnoteRef/>
      </w:r>
      <w:r w:rsidRPr="005E1F55">
        <w:t xml:space="preserve"> </w:t>
      </w:r>
      <w:r w:rsidRPr="005E1F55">
        <w:rPr>
          <w:i/>
        </w:rPr>
        <w:t>Towerstream Corporation</w:t>
      </w:r>
      <w:r w:rsidRPr="005E1F55">
        <w:t>, Notification of Harmful Interference (July 22, 2009) (on file in EB-09-NY-0218).</w:t>
      </w:r>
    </w:p>
  </w:footnote>
  <w:footnote w:id="22">
    <w:p w:rsidR="00A227D7" w:rsidRPr="005E1F55" w:rsidRDefault="00A227D7" w:rsidP="005E1F55">
      <w:pPr>
        <w:pStyle w:val="FootnoteText"/>
      </w:pPr>
      <w:r w:rsidRPr="005F751C">
        <w:rPr>
          <w:rStyle w:val="FootnoteReference"/>
          <w:sz w:val="20"/>
        </w:rPr>
        <w:footnoteRef/>
      </w:r>
      <w:r w:rsidRPr="005E1F55">
        <w:t xml:space="preserve"> </w:t>
      </w:r>
      <w:r w:rsidRPr="005E1F55">
        <w:rPr>
          <w:i/>
        </w:rPr>
        <w:t xml:space="preserve">See </w:t>
      </w:r>
      <w:r w:rsidRPr="005E1F55">
        <w:t>File No</w:t>
      </w:r>
      <w:r w:rsidR="003707C2" w:rsidRPr="005E1F55">
        <w:t xml:space="preserve">. </w:t>
      </w:r>
      <w:r w:rsidRPr="005E1F55">
        <w:t>EB-0</w:t>
      </w:r>
      <w:r w:rsidR="000B393A" w:rsidRPr="005E1F55">
        <w:t>9</w:t>
      </w:r>
      <w:r w:rsidRPr="005E1F55">
        <w:t xml:space="preserve">-CG-0165 (on file in EB-FIELDNER-12-00004796). </w:t>
      </w:r>
    </w:p>
  </w:footnote>
  <w:footnote w:id="23">
    <w:p w:rsidR="00737CF9" w:rsidRPr="005E1F55" w:rsidRDefault="00737CF9" w:rsidP="005E1F55">
      <w:pPr>
        <w:pStyle w:val="FootnoteText"/>
      </w:pPr>
      <w:r w:rsidRPr="005F751C">
        <w:rPr>
          <w:rStyle w:val="FootnoteReference"/>
          <w:sz w:val="20"/>
        </w:rPr>
        <w:footnoteRef/>
      </w:r>
      <w:r w:rsidRPr="005E1F55">
        <w:t xml:space="preserve"> Email from Michael Micheletti, Engineering Manager, Towerstream Corporation, to </w:t>
      </w:r>
      <w:r w:rsidRPr="005E1F55">
        <w:rPr>
          <w:color w:val="000000"/>
        </w:rPr>
        <w:t>Steven DeSena, Resident Agent, Miami Office, South Central Region, Enforcement Bureau</w:t>
      </w:r>
      <w:r w:rsidR="00F0351A">
        <w:t xml:space="preserve"> (Nov.</w:t>
      </w:r>
      <w:r w:rsidRPr="005E1F55">
        <w:t xml:space="preserve"> 13, 2009, 9:54 AM EST</w:t>
      </w:r>
      <w:r w:rsidR="002A4BBA" w:rsidRPr="005E1F55">
        <w:t xml:space="preserve">) </w:t>
      </w:r>
      <w:r w:rsidRPr="005E1F55">
        <w:t xml:space="preserve">(on file in EB-09-MA-0178). </w:t>
      </w:r>
    </w:p>
  </w:footnote>
  <w:footnote w:id="24">
    <w:p w:rsidR="00737CF9" w:rsidRPr="005E1F55" w:rsidRDefault="00737CF9" w:rsidP="005E1F55">
      <w:pPr>
        <w:pStyle w:val="FootnoteText"/>
      </w:pPr>
      <w:r w:rsidRPr="005F751C">
        <w:rPr>
          <w:rStyle w:val="FootnoteReference"/>
          <w:sz w:val="20"/>
        </w:rPr>
        <w:footnoteRef/>
      </w:r>
      <w:r w:rsidRPr="005E1F55">
        <w:t xml:space="preserve"> Letter from G. Michael Moffitt, Regional Director, Northeast Region, Enforcement Bureau, to Towerstream Corporation (Nov. 9, 2009).</w:t>
      </w:r>
    </w:p>
  </w:footnote>
  <w:footnote w:id="25">
    <w:p w:rsidR="00737CF9" w:rsidRPr="005E1F55" w:rsidRDefault="00737CF9" w:rsidP="005E1F55">
      <w:pPr>
        <w:pStyle w:val="FootnoteText"/>
      </w:pPr>
      <w:r w:rsidRPr="005F751C">
        <w:rPr>
          <w:rStyle w:val="FootnoteReference"/>
          <w:sz w:val="20"/>
        </w:rPr>
        <w:footnoteRef/>
      </w:r>
      <w:r w:rsidRPr="005E1F55">
        <w:t xml:space="preserve"> Letter from Donald L. Herman, Jr., Counsel for Towerstream Corporation, to G</w:t>
      </w:r>
      <w:r w:rsidR="00E97D7B" w:rsidRPr="005E1F55">
        <w:t>.</w:t>
      </w:r>
      <w:r w:rsidRPr="005E1F55">
        <w:t xml:space="preserve"> Michael Moffitt, Regional Director, North</w:t>
      </w:r>
      <w:r w:rsidR="00F0351A">
        <w:t>east Region, Enforcement Bureau</w:t>
      </w:r>
      <w:r w:rsidRPr="005E1F55">
        <w:t xml:space="preserve"> at 3 (Dec. 21, 2009) (</w:t>
      </w:r>
      <w:r w:rsidRPr="005E1F55">
        <w:rPr>
          <w:i/>
        </w:rPr>
        <w:t>LOI Response</w:t>
      </w:r>
      <w:r w:rsidRPr="005E1F55">
        <w:t>).</w:t>
      </w:r>
    </w:p>
  </w:footnote>
  <w:footnote w:id="26">
    <w:p w:rsidR="00100A5E" w:rsidRPr="005E1F55" w:rsidRDefault="00100A5E" w:rsidP="005E1F55">
      <w:pPr>
        <w:pStyle w:val="FootnoteText"/>
      </w:pPr>
      <w:r w:rsidRPr="005F751C">
        <w:rPr>
          <w:rStyle w:val="FootnoteReference"/>
          <w:sz w:val="20"/>
        </w:rPr>
        <w:footnoteRef/>
      </w:r>
      <w:r w:rsidRPr="005E1F55">
        <w:t xml:space="preserve"> Although agents from the Miami Office told Towerstream about </w:t>
      </w:r>
      <w:r w:rsidR="007F5535" w:rsidRPr="005E1F55">
        <w:t xml:space="preserve">the </w:t>
      </w:r>
      <w:r w:rsidRPr="005E1F55">
        <w:t>interference it was causing to the Fort Lauderdale TDWR in October 2009, the company did not reference the Fort Lauderdale TDWR and stated it did not “know the operating frequencies of the TDWRs in any other markets in which it operates.</w:t>
      </w:r>
      <w:r w:rsidR="007F5535" w:rsidRPr="005E1F55">
        <w:t>”</w:t>
      </w:r>
      <w:r w:rsidRPr="005E1F55">
        <w:t xml:space="preserve">  </w:t>
      </w:r>
      <w:r w:rsidRPr="005E1F55">
        <w:rPr>
          <w:i/>
        </w:rPr>
        <w:t>LOI Response</w:t>
      </w:r>
      <w:r w:rsidRPr="005E1F55">
        <w:t xml:space="preserve"> at 3.</w:t>
      </w:r>
    </w:p>
  </w:footnote>
  <w:footnote w:id="27">
    <w:p w:rsidR="00737CF9" w:rsidRPr="005E1F55" w:rsidRDefault="00737CF9" w:rsidP="005E1F55">
      <w:pPr>
        <w:pStyle w:val="FootnoteText"/>
        <w:rPr>
          <w:i/>
        </w:rPr>
      </w:pPr>
      <w:r w:rsidRPr="005F751C">
        <w:rPr>
          <w:rStyle w:val="FootnoteReference"/>
          <w:sz w:val="20"/>
        </w:rPr>
        <w:footnoteRef/>
      </w:r>
      <w:r w:rsidRPr="005E1F55">
        <w:t xml:space="preserve"> </w:t>
      </w:r>
      <w:r w:rsidRPr="005E1F55">
        <w:rPr>
          <w:i/>
        </w:rPr>
        <w:t>Id.</w:t>
      </w:r>
    </w:p>
  </w:footnote>
  <w:footnote w:id="28">
    <w:p w:rsidR="00821DD0" w:rsidRPr="005E1F55" w:rsidRDefault="00821DD0" w:rsidP="005E1F55">
      <w:pPr>
        <w:pStyle w:val="FootnoteText"/>
      </w:pPr>
      <w:r w:rsidRPr="005F751C">
        <w:rPr>
          <w:rStyle w:val="FootnoteReference"/>
          <w:sz w:val="20"/>
        </w:rPr>
        <w:footnoteRef/>
      </w:r>
      <w:r w:rsidRPr="005E1F55">
        <w:t xml:space="preserve"> </w:t>
      </w:r>
      <w:r w:rsidRPr="005E1F55">
        <w:rPr>
          <w:i/>
        </w:rPr>
        <w:t>See OET</w:t>
      </w:r>
      <w:r w:rsidR="00093BD3" w:rsidRPr="005E1F55">
        <w:rPr>
          <w:i/>
        </w:rPr>
        <w:t>/EB</w:t>
      </w:r>
      <w:r w:rsidRPr="005E1F55">
        <w:rPr>
          <w:i/>
        </w:rPr>
        <w:t xml:space="preserve"> Memo</w:t>
      </w:r>
      <w:r w:rsidRPr="005E1F55">
        <w:t>.</w:t>
      </w:r>
    </w:p>
  </w:footnote>
  <w:footnote w:id="29">
    <w:p w:rsidR="00821DD0" w:rsidRPr="005E1F55" w:rsidRDefault="00821DD0" w:rsidP="005E1F55">
      <w:pPr>
        <w:pStyle w:val="FootnoteText"/>
      </w:pPr>
      <w:r w:rsidRPr="005F751C">
        <w:rPr>
          <w:rStyle w:val="FootnoteReference"/>
          <w:sz w:val="20"/>
        </w:rPr>
        <w:footnoteRef/>
      </w:r>
      <w:r w:rsidRPr="005E1F55">
        <w:t xml:space="preserve"> </w:t>
      </w:r>
      <w:r w:rsidRPr="005E1F55">
        <w:rPr>
          <w:i/>
        </w:rPr>
        <w:t>Id.</w:t>
      </w:r>
      <w:r w:rsidRPr="005E1F55">
        <w:t xml:space="preserve"> at 2.</w:t>
      </w:r>
    </w:p>
  </w:footnote>
  <w:footnote w:id="30">
    <w:p w:rsidR="00737CF9" w:rsidRPr="005E1F55" w:rsidRDefault="00737CF9" w:rsidP="005E1F55">
      <w:pPr>
        <w:pStyle w:val="FootnoteText"/>
      </w:pPr>
      <w:r w:rsidRPr="005F751C">
        <w:rPr>
          <w:rStyle w:val="FootnoteReference"/>
          <w:sz w:val="20"/>
        </w:rPr>
        <w:footnoteRef/>
      </w:r>
      <w:r w:rsidRPr="005E1F55">
        <w:t xml:space="preserve"> Letter from Arthur Giftakis, Vice President of Engineering and Network Operations, Towerstream Corporation, to Julius Knapp, Chief, Office of Engineering &amp; Technology at 1 (</w:t>
      </w:r>
      <w:r w:rsidRPr="005E1F55">
        <w:rPr>
          <w:i/>
        </w:rPr>
        <w:t>Letter to OET</w:t>
      </w:r>
      <w:r w:rsidRPr="005E1F55">
        <w:t>).</w:t>
      </w:r>
    </w:p>
  </w:footnote>
  <w:footnote w:id="31">
    <w:p w:rsidR="00737CF9" w:rsidRPr="005E1F55" w:rsidRDefault="00737CF9" w:rsidP="005E1F55">
      <w:pPr>
        <w:pStyle w:val="FootnoteText"/>
        <w:rPr>
          <w:i/>
        </w:rPr>
      </w:pPr>
      <w:r w:rsidRPr="005F751C">
        <w:rPr>
          <w:rStyle w:val="FootnoteReference"/>
          <w:sz w:val="20"/>
        </w:rPr>
        <w:footnoteRef/>
      </w:r>
      <w:r w:rsidRPr="005E1F55">
        <w:t xml:space="preserve"> </w:t>
      </w:r>
      <w:r w:rsidRPr="005E1F55">
        <w:rPr>
          <w:i/>
        </w:rPr>
        <w:t>Id.</w:t>
      </w:r>
    </w:p>
  </w:footnote>
  <w:footnote w:id="32">
    <w:p w:rsidR="00375B59" w:rsidRPr="005E1F55" w:rsidRDefault="00375B59" w:rsidP="005E1F55">
      <w:pPr>
        <w:pStyle w:val="FootnoteText"/>
      </w:pPr>
      <w:r w:rsidRPr="005F751C">
        <w:rPr>
          <w:rStyle w:val="FootnoteReference"/>
          <w:sz w:val="20"/>
        </w:rPr>
        <w:footnoteRef/>
      </w:r>
      <w:r w:rsidRPr="005E1F55">
        <w:t xml:space="preserve"> </w:t>
      </w:r>
      <w:r w:rsidRPr="005E1F55">
        <w:rPr>
          <w:i/>
        </w:rPr>
        <w:t>Towerstream Corporation</w:t>
      </w:r>
      <w:r w:rsidRPr="005E1F55">
        <w:t>, Warning of Unlicensed Operation and</w:t>
      </w:r>
      <w:r w:rsidR="00F0351A">
        <w:t xml:space="preserve"> Notice of Harmful Interference </w:t>
      </w:r>
      <w:r w:rsidR="00CE613A" w:rsidRPr="005E1F55">
        <w:t>(Oct. 18, 2012)</w:t>
      </w:r>
      <w:r w:rsidR="00762F24">
        <w:t xml:space="preserve"> (on file in </w:t>
      </w:r>
      <w:r w:rsidR="00762F24" w:rsidRPr="005E1F55">
        <w:t>EB-FIELDNER-12-00004796</w:t>
      </w:r>
      <w:r w:rsidR="00762F24">
        <w:t>)</w:t>
      </w:r>
      <w:r w:rsidRPr="005E1F55">
        <w:t>.</w:t>
      </w:r>
    </w:p>
  </w:footnote>
  <w:footnote w:id="33">
    <w:p w:rsidR="00C97400" w:rsidRPr="005E1F55" w:rsidRDefault="00C97400" w:rsidP="005E1F55">
      <w:pPr>
        <w:pStyle w:val="FootnoteText"/>
      </w:pPr>
      <w:r w:rsidRPr="005F751C">
        <w:rPr>
          <w:rStyle w:val="FootnoteReference"/>
          <w:sz w:val="20"/>
        </w:rPr>
        <w:footnoteRef/>
      </w:r>
      <w:r w:rsidRPr="005E1F55">
        <w:t xml:space="preserve"> Towerstream responded verbally to the notice on February 20, 2013.</w:t>
      </w:r>
      <w:r w:rsidR="009625E9" w:rsidRPr="005E1F55">
        <w:t xml:space="preserve">  </w:t>
      </w:r>
    </w:p>
  </w:footnote>
  <w:footnote w:id="34">
    <w:p w:rsidR="00C97400" w:rsidRPr="005E1F55" w:rsidRDefault="00C97400" w:rsidP="005E1F55">
      <w:pPr>
        <w:pStyle w:val="FootnoteText"/>
      </w:pPr>
      <w:r w:rsidRPr="005F751C">
        <w:rPr>
          <w:rStyle w:val="FootnoteReference"/>
          <w:sz w:val="20"/>
        </w:rPr>
        <w:footnoteRef/>
      </w:r>
      <w:r w:rsidRPr="005E1F55">
        <w:t xml:space="preserve"> The FAA provided final confirmation that all interference had ceased on February 20, 2013.</w:t>
      </w:r>
    </w:p>
  </w:footnote>
  <w:footnote w:id="35">
    <w:p w:rsidR="00FA72F7" w:rsidRPr="00DE35F1" w:rsidRDefault="00FA72F7" w:rsidP="00FA72F7">
      <w:pPr>
        <w:pStyle w:val="FootnoteText"/>
      </w:pPr>
      <w:r>
        <w:rPr>
          <w:rStyle w:val="FootnoteReference"/>
        </w:rPr>
        <w:footnoteRef/>
      </w:r>
      <w:r>
        <w:t xml:space="preserve"> </w:t>
      </w:r>
      <w:r>
        <w:rPr>
          <w:i/>
        </w:rPr>
        <w:t xml:space="preserve">See </w:t>
      </w:r>
      <w:r>
        <w:t xml:space="preserve">Email from </w:t>
      </w:r>
      <w:r w:rsidRPr="002A4BBA">
        <w:t>Michael Connors</w:t>
      </w:r>
      <w:r>
        <w:t>, Director of Network Operations, Towerstream Corporation, to Steven DeSena,  Resident Agent, Miami Office, South Central Region, Enforcement Bureau (Sept. 18, 2012, 10:34 AM EST) (on file in EB-FIELDSCR-00004486).</w:t>
      </w:r>
      <w:r w:rsidR="009E7540">
        <w:t xml:space="preserve">  </w:t>
      </w:r>
      <w:r w:rsidR="009E7540" w:rsidRPr="009E7540">
        <w:rPr>
          <w:color w:val="000000" w:themeColor="text1"/>
        </w:rPr>
        <w:t>The interfering U-NII devices operated at 5.645 GHz and 5.665 GHz, not 4.965 GHz.  As noted below, however, a non-U-NII broadband transceiver operated by Towerstream at its Four Seasons location did use 4.965 GHz.  Because this Part 15 device is not permitted to use that frequency, its operation violated Section 301 and this forms the basis for the unauthorized operation violation described in Paragraph 25, below.</w:t>
      </w:r>
      <w:r w:rsidRPr="009E7540">
        <w:rPr>
          <w:color w:val="000000" w:themeColor="text1"/>
        </w:rPr>
        <w:t xml:space="preserve"> </w:t>
      </w:r>
    </w:p>
  </w:footnote>
  <w:footnote w:id="36">
    <w:p w:rsidR="00737CF9" w:rsidRPr="005E1F55" w:rsidRDefault="00737CF9" w:rsidP="005E1F55">
      <w:pPr>
        <w:pStyle w:val="FootnoteText"/>
      </w:pPr>
      <w:r w:rsidRPr="005F751C">
        <w:rPr>
          <w:rStyle w:val="FootnoteReference"/>
          <w:sz w:val="20"/>
        </w:rPr>
        <w:footnoteRef/>
      </w:r>
      <w:r w:rsidRPr="005E1F55">
        <w:t xml:space="preserve"> </w:t>
      </w:r>
      <w:r w:rsidRPr="005E1F55">
        <w:rPr>
          <w:i/>
        </w:rPr>
        <w:t xml:space="preserve">See </w:t>
      </w:r>
      <w:r w:rsidRPr="005E1F55">
        <w:t xml:space="preserve">Email from Michael Connors, Director of Network Operations, Towerstream Corporation, to Steven DeSena, Resident Agent, Miami Office, South Central Region, Enforcement Bureau (Sept. 19, 2012, 4:20 PM EST) (on file in EB-FIELDSCR-00004486).  </w:t>
      </w:r>
    </w:p>
  </w:footnote>
  <w:footnote w:id="37">
    <w:p w:rsidR="00737CF9" w:rsidRPr="005E1F55" w:rsidRDefault="00737CF9" w:rsidP="005E1F55">
      <w:pPr>
        <w:pStyle w:val="FootnoteText"/>
      </w:pPr>
      <w:r w:rsidRPr="005F751C">
        <w:rPr>
          <w:rStyle w:val="FootnoteReference"/>
          <w:sz w:val="20"/>
        </w:rPr>
        <w:footnoteRef/>
      </w:r>
      <w:r w:rsidRPr="005E1F55">
        <w:t xml:space="preserve"> </w:t>
      </w:r>
      <w:r w:rsidRPr="005E1F55">
        <w:rPr>
          <w:i/>
        </w:rPr>
        <w:t>Towerstream Corporation</w:t>
      </w:r>
      <w:r w:rsidRPr="005E1F55">
        <w:t>, Notification of Harmful Interference (Oct. 11, 2012) (on file in EB-FIELDSCR-12-00004486).</w:t>
      </w:r>
    </w:p>
  </w:footnote>
  <w:footnote w:id="38">
    <w:p w:rsidR="00737CF9" w:rsidRPr="005E1F55" w:rsidRDefault="00737CF9" w:rsidP="005E1F55">
      <w:pPr>
        <w:pStyle w:val="FootnoteText"/>
      </w:pPr>
      <w:r w:rsidRPr="005F751C">
        <w:rPr>
          <w:rStyle w:val="FootnoteReference"/>
          <w:sz w:val="20"/>
        </w:rPr>
        <w:footnoteRef/>
      </w:r>
      <w:r w:rsidRPr="005E1F55">
        <w:t xml:space="preserve"> Letter from Donald L. Herman, Jr., Counsel to Towerstream Corporation, to Steven DeSena, Resident Agent, Miami Office, South Central Region, Enforcement Bureau at 2 (Nov. 8, 2012) (on file in EB-11-TP-0065).</w:t>
      </w:r>
    </w:p>
  </w:footnote>
  <w:footnote w:id="39">
    <w:p w:rsidR="00737CF9" w:rsidRPr="005E1F55" w:rsidRDefault="00737CF9" w:rsidP="005E1F55">
      <w:pPr>
        <w:pStyle w:val="FootnoteText"/>
        <w:rPr>
          <w:i/>
        </w:rPr>
      </w:pPr>
      <w:r w:rsidRPr="005F751C">
        <w:rPr>
          <w:rStyle w:val="FootnoteReference"/>
          <w:sz w:val="20"/>
        </w:rPr>
        <w:footnoteRef/>
      </w:r>
      <w:r w:rsidRPr="005E1F55">
        <w:t xml:space="preserve"> </w:t>
      </w:r>
      <w:r w:rsidRPr="005E1F55">
        <w:rPr>
          <w:i/>
        </w:rPr>
        <w:t>Id.</w:t>
      </w:r>
    </w:p>
  </w:footnote>
  <w:footnote w:id="40">
    <w:p w:rsidR="00737CF9" w:rsidRPr="005E1F55" w:rsidRDefault="00737CF9" w:rsidP="005E1F55">
      <w:pPr>
        <w:pStyle w:val="FootnoteText"/>
      </w:pPr>
      <w:r w:rsidRPr="005F751C">
        <w:rPr>
          <w:rStyle w:val="FootnoteReference"/>
          <w:sz w:val="20"/>
        </w:rPr>
        <w:footnoteRef/>
      </w:r>
      <w:r w:rsidRPr="005E1F55">
        <w:t xml:space="preserve"> </w:t>
      </w:r>
      <w:r w:rsidRPr="005E1F55">
        <w:rPr>
          <w:i/>
        </w:rPr>
        <w:t xml:space="preserve">See supra </w:t>
      </w:r>
      <w:r w:rsidRPr="005E1F55">
        <w:t>note</w:t>
      </w:r>
      <w:r w:rsidR="00375B59" w:rsidRPr="005E1F55">
        <w:t>s</w:t>
      </w:r>
      <w:r w:rsidR="00946A8F" w:rsidRPr="005E1F55">
        <w:t xml:space="preserve"> 34</w:t>
      </w:r>
      <w:r w:rsidR="00834945">
        <w:t>-</w:t>
      </w:r>
      <w:r w:rsidR="009E7540">
        <w:t>35</w:t>
      </w:r>
      <w:r w:rsidR="00375B59" w:rsidRPr="005E1F55">
        <w:t>.</w:t>
      </w:r>
      <w:r w:rsidR="00B312BD" w:rsidRPr="005E1F55">
        <w:t xml:space="preserve">  </w:t>
      </w:r>
      <w:r w:rsidR="00FA72F7">
        <w:t xml:space="preserve">Devices cannot operate in this frequency band on an unlicensed basis under Part 15; operations in this band require a formal FCC license.  </w:t>
      </w:r>
      <w:r w:rsidR="00B312BD" w:rsidRPr="005E1F55">
        <w:t xml:space="preserve">  </w:t>
      </w:r>
    </w:p>
  </w:footnote>
  <w:footnote w:id="41">
    <w:p w:rsidR="00FA72F7" w:rsidRPr="00A15E31" w:rsidRDefault="00FA72F7" w:rsidP="00FA72F7">
      <w:pPr>
        <w:pStyle w:val="FootnoteText"/>
      </w:pPr>
      <w:r>
        <w:rPr>
          <w:rStyle w:val="FootnoteReference"/>
        </w:rPr>
        <w:footnoteRef/>
      </w:r>
      <w:r>
        <w:t xml:space="preserve"> </w:t>
      </w:r>
      <w:r>
        <w:rPr>
          <w:i/>
        </w:rPr>
        <w:t xml:space="preserve">See </w:t>
      </w:r>
      <w:r>
        <w:t xml:space="preserve">47 C.F.R. </w:t>
      </w:r>
      <w:r w:rsidRPr="00220DE1">
        <w:t>§</w:t>
      </w:r>
      <w:r>
        <w:t xml:space="preserve"> 15.205(a).</w:t>
      </w:r>
    </w:p>
  </w:footnote>
  <w:footnote w:id="42">
    <w:p w:rsidR="007C06FA" w:rsidRPr="005E1F55" w:rsidRDefault="007C06FA" w:rsidP="005E1F55">
      <w:pPr>
        <w:pStyle w:val="FootnoteText"/>
      </w:pPr>
      <w:r w:rsidRPr="005F751C">
        <w:rPr>
          <w:rStyle w:val="FootnoteReference"/>
          <w:sz w:val="20"/>
        </w:rPr>
        <w:footnoteRef/>
      </w:r>
      <w:r w:rsidRPr="005E1F55">
        <w:t xml:space="preserve"> The agent from the Miami Office called Towerstream on November 9, 2012.</w:t>
      </w:r>
    </w:p>
  </w:footnote>
  <w:footnote w:id="43">
    <w:p w:rsidR="00737CF9" w:rsidRPr="005E1F55" w:rsidRDefault="00737CF9" w:rsidP="005E1F55">
      <w:pPr>
        <w:pStyle w:val="FootnoteText"/>
      </w:pPr>
      <w:r w:rsidRPr="005F751C">
        <w:rPr>
          <w:rStyle w:val="FootnoteReference"/>
          <w:sz w:val="20"/>
        </w:rPr>
        <w:footnoteRef/>
      </w:r>
      <w:r w:rsidRPr="005E1F55">
        <w:t xml:space="preserve"> 47 U.S.C. § 503(b).</w:t>
      </w:r>
    </w:p>
  </w:footnote>
  <w:footnote w:id="44">
    <w:p w:rsidR="00737CF9" w:rsidRPr="005E1F55" w:rsidRDefault="00737CF9" w:rsidP="005E1F55">
      <w:pPr>
        <w:pStyle w:val="FootnoteText"/>
      </w:pPr>
      <w:r w:rsidRPr="005F751C">
        <w:rPr>
          <w:rStyle w:val="FootnoteReference"/>
          <w:sz w:val="20"/>
        </w:rPr>
        <w:footnoteRef/>
      </w:r>
      <w:r w:rsidRPr="005E1F55">
        <w:t xml:space="preserve"> 47 U.S.C. § 312(f)(1).</w:t>
      </w:r>
    </w:p>
  </w:footnote>
  <w:footnote w:id="45">
    <w:p w:rsidR="00737CF9" w:rsidRPr="005E1F55" w:rsidRDefault="00737CF9" w:rsidP="005E1F55">
      <w:pPr>
        <w:pStyle w:val="FootnoteText"/>
      </w:pPr>
      <w:r w:rsidRPr="005F751C">
        <w:rPr>
          <w:rStyle w:val="FootnoteReference"/>
          <w:sz w:val="20"/>
        </w:rPr>
        <w:footnoteRef/>
      </w:r>
      <w:r w:rsidRPr="005E1F55">
        <w:t xml:space="preserve"> H.R. Rep. No. 97-765, 97</w:t>
      </w:r>
      <w:r w:rsidRPr="005E1F55">
        <w:rPr>
          <w:vertAlign w:val="superscript"/>
        </w:rPr>
        <w:t>th</w:t>
      </w:r>
      <w:r w:rsidRPr="005E1F55">
        <w:t xml:space="preserve"> Cong. 2d Sess. 51 (1982) (“</w:t>
      </w:r>
      <w:r w:rsidRPr="005E1F55">
        <w:rPr>
          <w:rStyle w:val="documentbody"/>
        </w:rPr>
        <w:t xml:space="preserve">This provision [inserted in Section 312] defines the terms ‘willful’ and ‘repeated’ for purposes of section </w:t>
      </w:r>
      <w:r w:rsidRPr="005E1F55">
        <w:rPr>
          <w:rStyle w:val="searchterm"/>
        </w:rPr>
        <w:t>312</w:t>
      </w:r>
      <w:r w:rsidRPr="005E1F55">
        <w:rPr>
          <w:rStyle w:val="documentbody"/>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5E1F55">
        <w:rPr>
          <w:rStyle w:val="searchterm"/>
        </w:rPr>
        <w:t>312</w:t>
      </w:r>
      <w:r w:rsidRPr="005E1F55">
        <w:rPr>
          <w:rStyle w:val="documentbody"/>
        </w:rPr>
        <w:t xml:space="preserve"> and 503, and are consistent with the Commission’s application of those terms . . . .”).</w:t>
      </w:r>
    </w:p>
  </w:footnote>
  <w:footnote w:id="46">
    <w:p w:rsidR="00737CF9" w:rsidRPr="005E1F55" w:rsidRDefault="00737CF9" w:rsidP="005E1F55">
      <w:pPr>
        <w:pStyle w:val="FootnoteText"/>
      </w:pPr>
      <w:r w:rsidRPr="005F751C">
        <w:rPr>
          <w:rStyle w:val="FootnoteReference"/>
          <w:sz w:val="20"/>
        </w:rPr>
        <w:footnoteRef/>
      </w:r>
      <w:r w:rsidRPr="005E1F55">
        <w:t xml:space="preserve"> </w:t>
      </w:r>
      <w:r w:rsidRPr="005E1F55">
        <w:rPr>
          <w:i/>
        </w:rPr>
        <w:t>See</w:t>
      </w:r>
      <w:r w:rsidRPr="005E1F55">
        <w:t>,</w:t>
      </w:r>
      <w:r w:rsidRPr="005E1F55">
        <w:rPr>
          <w:i/>
        </w:rPr>
        <w:t xml:space="preserve"> e.g.</w:t>
      </w:r>
      <w:r w:rsidRPr="005E1F55">
        <w:t xml:space="preserve">, </w:t>
      </w:r>
      <w:r w:rsidRPr="005E1F55">
        <w:rPr>
          <w:i/>
        </w:rPr>
        <w:t>Southern California Broadcasting Co.</w:t>
      </w:r>
      <w:r w:rsidRPr="005E1F55">
        <w:t xml:space="preserve">, Memorandum Opinion and Order, 6 FCC Rcd 4387, 4388 (1991), </w:t>
      </w:r>
      <w:r w:rsidRPr="005E1F55">
        <w:rPr>
          <w:i/>
        </w:rPr>
        <w:t xml:space="preserve">recons. denied, </w:t>
      </w:r>
      <w:r w:rsidRPr="005E1F55">
        <w:t>7 FCC Rcd 3454 (1992).</w:t>
      </w:r>
    </w:p>
  </w:footnote>
  <w:footnote w:id="47">
    <w:p w:rsidR="00737CF9" w:rsidRPr="005E1F55" w:rsidRDefault="00737CF9" w:rsidP="005E1F55">
      <w:pPr>
        <w:pStyle w:val="FootnoteText"/>
      </w:pPr>
      <w:r w:rsidRPr="005F751C">
        <w:rPr>
          <w:rStyle w:val="FootnoteReference"/>
          <w:sz w:val="20"/>
        </w:rPr>
        <w:footnoteRef/>
      </w:r>
      <w:r w:rsidRPr="005E1F55">
        <w:t xml:space="preserve"> </w:t>
      </w:r>
      <w:r w:rsidRPr="005E1F55">
        <w:rPr>
          <w:i/>
        </w:rPr>
        <w:t>See, e.g.,</w:t>
      </w:r>
      <w:r w:rsidRPr="005E1F55">
        <w:t xml:space="preserve"> </w:t>
      </w:r>
      <w:r w:rsidRPr="005E1F55">
        <w:rPr>
          <w:i/>
        </w:rPr>
        <w:t>Callais Cablevision, Inc.</w:t>
      </w:r>
      <w:r w:rsidRPr="005E1F55">
        <w:t>, Notice of Apparent Liability for Monetary Forfeiture, 16 FCC Rcd 1359, 1362, para. 10 (2001) (</w:t>
      </w:r>
      <w:r w:rsidRPr="005E1F55">
        <w:rPr>
          <w:i/>
        </w:rPr>
        <w:t>Callais Cablevision, Inc. NAL</w:t>
      </w:r>
      <w:r w:rsidRPr="005E1F55">
        <w:t xml:space="preserve">) (proposing a forfeiture for, </w:t>
      </w:r>
      <w:r w:rsidRPr="005E1F55">
        <w:rPr>
          <w:i/>
        </w:rPr>
        <w:t>inter alia</w:t>
      </w:r>
      <w:r w:rsidRPr="005E1F55">
        <w:t xml:space="preserve">, a cable television operator’s repeated signal leakage). </w:t>
      </w:r>
    </w:p>
  </w:footnote>
  <w:footnote w:id="48">
    <w:p w:rsidR="00737CF9" w:rsidRPr="005E1F55" w:rsidRDefault="00737CF9" w:rsidP="005E1F55">
      <w:pPr>
        <w:pStyle w:val="FootnoteText"/>
      </w:pPr>
      <w:r w:rsidRPr="005F751C">
        <w:rPr>
          <w:rStyle w:val="FootnoteReference"/>
          <w:sz w:val="20"/>
        </w:rPr>
        <w:footnoteRef/>
      </w:r>
      <w:r w:rsidRPr="005E1F55">
        <w:t xml:space="preserve"> Section 312(f)(2) of the Act, 47 U.S.C. § 312(f)(2), which also applies to violations for which forfeitures are assessed under Section 503(b) of the Act, provides that “[t]he term ‘repeated’, when used with reference to the commission or omission of any act, means the commission or omission of such act more than once or, if such commission or omission is continuous, for more than one day.”  </w:t>
      </w:r>
      <w:r w:rsidRPr="005E1F55">
        <w:rPr>
          <w:i/>
        </w:rPr>
        <w:t>See Callais Cablevision, Inc. NAL</w:t>
      </w:r>
      <w:r w:rsidRPr="005E1F55">
        <w:t>, 16 FCC Rcd</w:t>
      </w:r>
      <w:r w:rsidRPr="005E1F55">
        <w:rPr>
          <w:i/>
        </w:rPr>
        <w:t xml:space="preserve"> </w:t>
      </w:r>
      <w:r w:rsidRPr="005E1F55">
        <w:t xml:space="preserve">at 1362. </w:t>
      </w:r>
    </w:p>
  </w:footnote>
  <w:footnote w:id="49">
    <w:p w:rsidR="00E95160" w:rsidRPr="005E1F55" w:rsidRDefault="00E95160" w:rsidP="005E1F55">
      <w:pPr>
        <w:pStyle w:val="FootnoteText"/>
      </w:pPr>
      <w:r w:rsidRPr="005F751C">
        <w:rPr>
          <w:rStyle w:val="FootnoteReference"/>
          <w:sz w:val="20"/>
        </w:rPr>
        <w:footnoteRef/>
      </w:r>
      <w:r w:rsidRPr="005E1F55">
        <w:t xml:space="preserve"> 47 U.S.C. § 301.</w:t>
      </w:r>
    </w:p>
  </w:footnote>
  <w:footnote w:id="50">
    <w:p w:rsidR="00E95160" w:rsidRPr="005E1F55" w:rsidRDefault="00E95160" w:rsidP="005E1F55">
      <w:pPr>
        <w:pStyle w:val="FootnoteText"/>
      </w:pPr>
      <w:r w:rsidRPr="005F751C">
        <w:rPr>
          <w:rStyle w:val="FootnoteReference"/>
          <w:sz w:val="20"/>
        </w:rPr>
        <w:footnoteRef/>
      </w:r>
      <w:r w:rsidRPr="005E1F55">
        <w:t xml:space="preserve"> 47 C.F.R. § 15.1(b).</w:t>
      </w:r>
    </w:p>
  </w:footnote>
  <w:footnote w:id="51">
    <w:p w:rsidR="00737CF9" w:rsidRPr="005E1F55" w:rsidRDefault="00737CF9" w:rsidP="005E1F55">
      <w:pPr>
        <w:pStyle w:val="FootnoteText"/>
      </w:pPr>
      <w:r w:rsidRPr="005F751C">
        <w:rPr>
          <w:rStyle w:val="FootnoteReference"/>
          <w:sz w:val="20"/>
        </w:rPr>
        <w:footnoteRef/>
      </w:r>
      <w:r w:rsidRPr="005E1F55">
        <w:t xml:space="preserve"> </w:t>
      </w:r>
      <w:r w:rsidRPr="005E1F55">
        <w:rPr>
          <w:i/>
        </w:rPr>
        <w:t>See</w:t>
      </w:r>
      <w:r w:rsidRPr="005E1F55">
        <w:t xml:space="preserve"> 47 C.F.R. § 15.5(b), (c). </w:t>
      </w:r>
    </w:p>
  </w:footnote>
  <w:footnote w:id="52">
    <w:p w:rsidR="00D8268F" w:rsidRPr="005E1F55" w:rsidRDefault="00D8268F" w:rsidP="005E1F55">
      <w:pPr>
        <w:pStyle w:val="FootnoteText"/>
      </w:pPr>
      <w:r w:rsidRPr="005F751C">
        <w:rPr>
          <w:rStyle w:val="FootnoteReference"/>
          <w:sz w:val="20"/>
        </w:rPr>
        <w:footnoteRef/>
      </w:r>
      <w:r w:rsidRPr="005E1F55">
        <w:t xml:space="preserve"> </w:t>
      </w:r>
      <w:r w:rsidR="00412A3D" w:rsidRPr="005E1F55">
        <w:rPr>
          <w:i/>
        </w:rPr>
        <w:t xml:space="preserve">See LOI Response, supra </w:t>
      </w:r>
      <w:r w:rsidR="00412A3D" w:rsidRPr="005E1F55">
        <w:t>note</w:t>
      </w:r>
      <w:r w:rsidR="00946A8F" w:rsidRPr="005E1F55">
        <w:t xml:space="preserve"> 24</w:t>
      </w:r>
      <w:r w:rsidR="00412A3D" w:rsidRPr="005E1F55">
        <w:t>.  In addition, a</w:t>
      </w:r>
      <w:r w:rsidRPr="005E1F55">
        <w:t xml:space="preserve">ll TDWR operating frequencies were </w:t>
      </w:r>
      <w:r w:rsidR="00412A3D" w:rsidRPr="005E1F55">
        <w:t>published</w:t>
      </w:r>
      <w:r w:rsidRPr="005E1F55">
        <w:t xml:space="preserve"> in the </w:t>
      </w:r>
      <w:r w:rsidRPr="005E1F55">
        <w:rPr>
          <w:i/>
        </w:rPr>
        <w:t>OET</w:t>
      </w:r>
      <w:r w:rsidR="009E06CD" w:rsidRPr="005E1F55">
        <w:rPr>
          <w:i/>
        </w:rPr>
        <w:t>/EB</w:t>
      </w:r>
      <w:r w:rsidRPr="005E1F55">
        <w:rPr>
          <w:i/>
        </w:rPr>
        <w:t xml:space="preserve"> Memo.  OET</w:t>
      </w:r>
      <w:r w:rsidR="009E06CD" w:rsidRPr="005E1F55">
        <w:rPr>
          <w:i/>
        </w:rPr>
        <w:t>/EB</w:t>
      </w:r>
      <w:r w:rsidRPr="005E1F55">
        <w:rPr>
          <w:i/>
        </w:rPr>
        <w:t xml:space="preserve"> Memo</w:t>
      </w:r>
      <w:r w:rsidRPr="005E1F55">
        <w:t xml:space="preserve"> at 3-4.</w:t>
      </w:r>
    </w:p>
  </w:footnote>
  <w:footnote w:id="53">
    <w:p w:rsidR="00D8268F" w:rsidRPr="005E1F55" w:rsidRDefault="00D8268F" w:rsidP="005E1F55">
      <w:pPr>
        <w:pStyle w:val="FootnoteText"/>
      </w:pPr>
      <w:r w:rsidRPr="005F751C">
        <w:rPr>
          <w:rStyle w:val="FootnoteReference"/>
          <w:sz w:val="20"/>
        </w:rPr>
        <w:footnoteRef/>
      </w:r>
      <w:r w:rsidRPr="005E1F55">
        <w:t xml:space="preserve"> </w:t>
      </w:r>
      <w:r w:rsidRPr="005E1F55">
        <w:rPr>
          <w:i/>
        </w:rPr>
        <w:t xml:space="preserve">See </w:t>
      </w:r>
      <w:r w:rsidR="001034BC" w:rsidRPr="005E1F55">
        <w:rPr>
          <w:i/>
        </w:rPr>
        <w:t>Letter to OET</w:t>
      </w:r>
      <w:r w:rsidR="001034BC" w:rsidRPr="005E1F55">
        <w:t xml:space="preserve">, </w:t>
      </w:r>
      <w:r w:rsidRPr="005E1F55">
        <w:rPr>
          <w:i/>
        </w:rPr>
        <w:t xml:space="preserve">supra </w:t>
      </w:r>
      <w:r w:rsidRPr="005E1F55">
        <w:t>note</w:t>
      </w:r>
      <w:r w:rsidR="00946A8F" w:rsidRPr="005E1F55">
        <w:t xml:space="preserve"> 29</w:t>
      </w:r>
      <w:r w:rsidRPr="005E1F55">
        <w:t>.</w:t>
      </w:r>
    </w:p>
  </w:footnote>
  <w:footnote w:id="54">
    <w:p w:rsidR="00AC12B9" w:rsidRPr="005E1F55" w:rsidRDefault="00AC12B9" w:rsidP="005E1F55">
      <w:pPr>
        <w:pStyle w:val="FootnoteText"/>
      </w:pPr>
      <w:r w:rsidRPr="005F751C">
        <w:rPr>
          <w:rStyle w:val="FootnoteReference"/>
          <w:sz w:val="20"/>
        </w:rPr>
        <w:footnoteRef/>
      </w:r>
      <w:r w:rsidRPr="005E1F55">
        <w:t xml:space="preserve"> Towerstream was notified via writing of the interference on July 22, 2009</w:t>
      </w:r>
      <w:r w:rsidR="000A1E17" w:rsidRPr="005E1F55">
        <w:t>,</w:t>
      </w:r>
      <w:r w:rsidR="005257C9" w:rsidRPr="005E1F55">
        <w:t xml:space="preserve"> and November 9, 2009</w:t>
      </w:r>
      <w:r w:rsidR="00022765" w:rsidRPr="005E1F55">
        <w:t>,</w:t>
      </w:r>
      <w:r w:rsidRPr="005E1F55">
        <w:t xml:space="preserve"> and verbally on </w:t>
      </w:r>
      <w:r w:rsidRPr="005E1F55">
        <w:rPr>
          <w:color w:val="000000"/>
        </w:rPr>
        <w:t xml:space="preserve">June 29, 2009, </w:t>
      </w:r>
      <w:r w:rsidR="00585C1F" w:rsidRPr="005E1F55">
        <w:rPr>
          <w:color w:val="000000"/>
        </w:rPr>
        <w:t xml:space="preserve">September 18, 2009, </w:t>
      </w:r>
      <w:r w:rsidRPr="005E1F55">
        <w:rPr>
          <w:color w:val="000000"/>
        </w:rPr>
        <w:t xml:space="preserve">September 29, 2009, </w:t>
      </w:r>
      <w:r w:rsidR="005257C9" w:rsidRPr="005E1F55">
        <w:rPr>
          <w:color w:val="000000"/>
        </w:rPr>
        <w:t xml:space="preserve">and </w:t>
      </w:r>
      <w:r w:rsidRPr="005E1F55">
        <w:rPr>
          <w:color w:val="000000"/>
        </w:rPr>
        <w:t>Oc</w:t>
      </w:r>
      <w:r w:rsidR="001034BC" w:rsidRPr="005E1F55">
        <w:rPr>
          <w:color w:val="000000"/>
        </w:rPr>
        <w:t>tober 30</w:t>
      </w:r>
      <w:r w:rsidRPr="005E1F55">
        <w:rPr>
          <w:color w:val="000000"/>
        </w:rPr>
        <w:t xml:space="preserve">, 2009.  </w:t>
      </w:r>
      <w:r w:rsidRPr="005E1F55">
        <w:rPr>
          <w:i/>
          <w:color w:val="000000"/>
        </w:rPr>
        <w:t xml:space="preserve">See supra </w:t>
      </w:r>
      <w:r w:rsidR="00581D92" w:rsidRPr="005E1F55">
        <w:rPr>
          <w:color w:val="000000"/>
        </w:rPr>
        <w:t>para</w:t>
      </w:r>
      <w:r w:rsidRPr="005E1F55">
        <w:rPr>
          <w:color w:val="000000"/>
        </w:rPr>
        <w:t>s</w:t>
      </w:r>
      <w:r w:rsidR="00581D92" w:rsidRPr="005E1F55">
        <w:rPr>
          <w:color w:val="000000"/>
        </w:rPr>
        <w:t>.</w:t>
      </w:r>
      <w:r w:rsidR="00946A8F" w:rsidRPr="005E1F55">
        <w:rPr>
          <w:color w:val="000000"/>
        </w:rPr>
        <w:t xml:space="preserve"> 7-1</w:t>
      </w:r>
      <w:r w:rsidR="00585C1F" w:rsidRPr="005E1F55">
        <w:rPr>
          <w:color w:val="000000"/>
        </w:rPr>
        <w:t>1</w:t>
      </w:r>
      <w:r w:rsidRPr="005E1F55">
        <w:rPr>
          <w:color w:val="000000"/>
        </w:rPr>
        <w:t>.</w:t>
      </w:r>
      <w:r w:rsidR="005257C9" w:rsidRPr="005E1F55">
        <w:rPr>
          <w:color w:val="000000"/>
        </w:rPr>
        <w:t xml:space="preserve">  </w:t>
      </w:r>
    </w:p>
  </w:footnote>
  <w:footnote w:id="55">
    <w:p w:rsidR="004D2296" w:rsidRPr="005E1F55" w:rsidRDefault="004D2296" w:rsidP="005E1F55">
      <w:pPr>
        <w:pStyle w:val="FootnoteText"/>
      </w:pPr>
      <w:r w:rsidRPr="005F751C">
        <w:rPr>
          <w:rStyle w:val="FootnoteReference"/>
          <w:sz w:val="20"/>
        </w:rPr>
        <w:footnoteRef/>
      </w:r>
      <w:r w:rsidRPr="005E1F55">
        <w:t xml:space="preserve"> </w:t>
      </w:r>
      <w:r w:rsidRPr="005E1F55">
        <w:rPr>
          <w:i/>
        </w:rPr>
        <w:t xml:space="preserve">See supra </w:t>
      </w:r>
      <w:r w:rsidRPr="005E1F55">
        <w:t>para.</w:t>
      </w:r>
      <w:r w:rsidR="008C246C" w:rsidRPr="005E1F55">
        <w:t xml:space="preserve"> </w:t>
      </w:r>
      <w:r w:rsidR="006C1D41" w:rsidRPr="005E1F55">
        <w:t>1</w:t>
      </w:r>
      <w:r w:rsidR="00585C1F" w:rsidRPr="005E1F55">
        <w:t>4</w:t>
      </w:r>
      <w:r w:rsidRPr="005E1F55">
        <w:t xml:space="preserve">. </w:t>
      </w:r>
    </w:p>
  </w:footnote>
  <w:footnote w:id="56">
    <w:p w:rsidR="004D2296" w:rsidRPr="005E1F55" w:rsidRDefault="004D2296" w:rsidP="005E1F55">
      <w:pPr>
        <w:pStyle w:val="FootnoteText"/>
      </w:pPr>
      <w:r w:rsidRPr="005F751C">
        <w:rPr>
          <w:rStyle w:val="FootnoteReference"/>
          <w:sz w:val="20"/>
        </w:rPr>
        <w:footnoteRef/>
      </w:r>
      <w:r w:rsidRPr="005E1F55">
        <w:t xml:space="preserve"> </w:t>
      </w:r>
      <w:r w:rsidRPr="005E1F55">
        <w:rPr>
          <w:i/>
        </w:rPr>
        <w:t xml:space="preserve">See supra </w:t>
      </w:r>
      <w:r w:rsidRPr="005E1F55">
        <w:t>para.</w:t>
      </w:r>
      <w:r w:rsidR="006C1D41" w:rsidRPr="005E1F55">
        <w:t xml:space="preserve"> 1</w:t>
      </w:r>
      <w:r w:rsidR="00585C1F" w:rsidRPr="005E1F55">
        <w:t>6</w:t>
      </w:r>
      <w:r w:rsidR="008C246C" w:rsidRPr="005E1F55">
        <w:t>.</w:t>
      </w:r>
    </w:p>
  </w:footnote>
  <w:footnote w:id="57">
    <w:p w:rsidR="004D2296" w:rsidRPr="005E1F55" w:rsidRDefault="004D2296" w:rsidP="005E1F55">
      <w:pPr>
        <w:pStyle w:val="FootnoteText"/>
      </w:pPr>
      <w:r w:rsidRPr="005F751C">
        <w:rPr>
          <w:rStyle w:val="FootnoteReference"/>
          <w:sz w:val="20"/>
        </w:rPr>
        <w:footnoteRef/>
      </w:r>
      <w:r w:rsidRPr="005E1F55">
        <w:t xml:space="preserve"> </w:t>
      </w:r>
      <w:r w:rsidRPr="005E1F55">
        <w:rPr>
          <w:i/>
        </w:rPr>
        <w:t xml:space="preserve">See supra </w:t>
      </w:r>
      <w:r w:rsidRPr="005E1F55">
        <w:t>para.</w:t>
      </w:r>
      <w:r w:rsidR="008C246C" w:rsidRPr="005E1F55">
        <w:t xml:space="preserve"> </w:t>
      </w:r>
      <w:r w:rsidR="006C1D41" w:rsidRPr="005E1F55">
        <w:t>1</w:t>
      </w:r>
      <w:r w:rsidR="00585C1F" w:rsidRPr="005E1F55">
        <w:t>8</w:t>
      </w:r>
      <w:r w:rsidRPr="005E1F55">
        <w:t>.</w:t>
      </w:r>
      <w:r w:rsidR="00022765" w:rsidRPr="005E1F55">
        <w:t xml:space="preserve">  </w:t>
      </w:r>
    </w:p>
  </w:footnote>
  <w:footnote w:id="58">
    <w:p w:rsidR="00C00CBD" w:rsidRPr="005E1F55" w:rsidRDefault="00C00CBD" w:rsidP="005E1F55">
      <w:pPr>
        <w:pStyle w:val="FootnoteText"/>
      </w:pPr>
      <w:r w:rsidRPr="005F751C">
        <w:rPr>
          <w:rStyle w:val="FootnoteReference"/>
          <w:sz w:val="20"/>
        </w:rPr>
        <w:footnoteRef/>
      </w:r>
      <w:r w:rsidRPr="005E1F55">
        <w:t xml:space="preserve"> </w:t>
      </w:r>
      <w:r w:rsidRPr="005E1F55">
        <w:rPr>
          <w:i/>
        </w:rPr>
        <w:t xml:space="preserve">See supra </w:t>
      </w:r>
      <w:r w:rsidRPr="005E1F55">
        <w:t xml:space="preserve">para. </w:t>
      </w:r>
      <w:r w:rsidR="00D553AF" w:rsidRPr="005E1F55">
        <w:t>1</w:t>
      </w:r>
      <w:r w:rsidR="00585C1F" w:rsidRPr="005E1F55">
        <w:t>9</w:t>
      </w:r>
      <w:r w:rsidRPr="005E1F55">
        <w:t>.</w:t>
      </w:r>
      <w:r w:rsidR="00022765" w:rsidRPr="005E1F55">
        <w:t xml:space="preserve">  </w:t>
      </w:r>
    </w:p>
  </w:footnote>
  <w:footnote w:id="59">
    <w:p w:rsidR="00C00CBD" w:rsidRPr="005E1F55" w:rsidRDefault="00C00CBD" w:rsidP="005E1F55">
      <w:pPr>
        <w:pStyle w:val="FootnoteText"/>
      </w:pPr>
      <w:r w:rsidRPr="005F751C">
        <w:rPr>
          <w:rStyle w:val="FootnoteReference"/>
          <w:sz w:val="20"/>
        </w:rPr>
        <w:footnoteRef/>
      </w:r>
      <w:r w:rsidRPr="005E1F55">
        <w:t xml:space="preserve"> 47 U.S.C. § 333.</w:t>
      </w:r>
    </w:p>
  </w:footnote>
  <w:footnote w:id="60">
    <w:p w:rsidR="00465A0E" w:rsidRPr="005E1F55" w:rsidRDefault="00465A0E" w:rsidP="005E1F55">
      <w:pPr>
        <w:pStyle w:val="FootnoteText"/>
      </w:pPr>
      <w:r w:rsidRPr="005F751C">
        <w:rPr>
          <w:rStyle w:val="FootnoteReference"/>
          <w:sz w:val="20"/>
        </w:rPr>
        <w:footnoteRef/>
      </w:r>
      <w:r w:rsidRPr="005E1F55">
        <w:t xml:space="preserve"> </w:t>
      </w:r>
      <w:r w:rsidR="00C00CBD" w:rsidRPr="005E1F55">
        <w:rPr>
          <w:i/>
        </w:rPr>
        <w:t>See</w:t>
      </w:r>
      <w:r w:rsidR="008C246C" w:rsidRPr="005E1F55">
        <w:rPr>
          <w:i/>
        </w:rPr>
        <w:t xml:space="preserve"> </w:t>
      </w:r>
      <w:r w:rsidR="00C00CBD" w:rsidRPr="005E1F55">
        <w:rPr>
          <w:i/>
        </w:rPr>
        <w:t xml:space="preserve">supra </w:t>
      </w:r>
      <w:r w:rsidR="00C00CBD" w:rsidRPr="005E1F55">
        <w:t>note</w:t>
      </w:r>
      <w:r w:rsidR="00433097">
        <w:t xml:space="preserve"> 53</w:t>
      </w:r>
      <w:r w:rsidR="00C00CBD" w:rsidRPr="005E1F55">
        <w:t>.</w:t>
      </w:r>
    </w:p>
  </w:footnote>
  <w:footnote w:id="61">
    <w:p w:rsidR="00465A0E" w:rsidRPr="005E1F55" w:rsidRDefault="00465A0E" w:rsidP="005E1F55">
      <w:pPr>
        <w:pStyle w:val="FootnoteText"/>
      </w:pPr>
      <w:r w:rsidRPr="005F751C">
        <w:rPr>
          <w:rStyle w:val="FootnoteReference"/>
          <w:sz w:val="20"/>
        </w:rPr>
        <w:footnoteRef/>
      </w:r>
      <w:r w:rsidRPr="005E1F55">
        <w:t xml:space="preserve"> </w:t>
      </w:r>
      <w:r w:rsidRPr="005E1F55">
        <w:rPr>
          <w:i/>
        </w:rPr>
        <w:t xml:space="preserve">See </w:t>
      </w:r>
      <w:r w:rsidR="008C246C" w:rsidRPr="005E1F55">
        <w:rPr>
          <w:i/>
        </w:rPr>
        <w:t xml:space="preserve">LOI Response, </w:t>
      </w:r>
      <w:r w:rsidRPr="005E1F55">
        <w:rPr>
          <w:i/>
        </w:rPr>
        <w:t xml:space="preserve">supra </w:t>
      </w:r>
      <w:r w:rsidRPr="005E1F55">
        <w:t>note</w:t>
      </w:r>
      <w:r w:rsidR="00946A8F" w:rsidRPr="005E1F55">
        <w:t xml:space="preserve"> 24</w:t>
      </w:r>
      <w:r w:rsidR="00047B5B" w:rsidRPr="005E1F55">
        <w:t xml:space="preserve">.  </w:t>
      </w:r>
      <w:r w:rsidR="00047B5B" w:rsidRPr="005E1F55">
        <w:rPr>
          <w:i/>
        </w:rPr>
        <w:t xml:space="preserve">See also supra </w:t>
      </w:r>
      <w:r w:rsidR="00047B5B" w:rsidRPr="005E1F55">
        <w:t>notes</w:t>
      </w:r>
      <w:r w:rsidR="00946A8F" w:rsidRPr="005E1F55">
        <w:t xml:space="preserve"> 29</w:t>
      </w:r>
      <w:r w:rsidR="00F70295" w:rsidRPr="005E1F55">
        <w:t xml:space="preserve">, </w:t>
      </w:r>
      <w:r w:rsidR="00946A8F" w:rsidRPr="005E1F55">
        <w:t>32</w:t>
      </w:r>
      <w:r w:rsidR="00AE7279" w:rsidRPr="005E1F55">
        <w:t xml:space="preserve">, </w:t>
      </w:r>
      <w:r w:rsidR="00B10443">
        <w:t>35</w:t>
      </w:r>
      <w:r w:rsidR="00946A8F" w:rsidRPr="005E1F55">
        <w:t xml:space="preserve"> </w:t>
      </w:r>
      <w:r w:rsidR="005D5035" w:rsidRPr="005E1F55">
        <w:t xml:space="preserve">and </w:t>
      </w:r>
      <w:r w:rsidR="005D5035" w:rsidRPr="005E1F55">
        <w:rPr>
          <w:i/>
        </w:rPr>
        <w:t xml:space="preserve">supra </w:t>
      </w:r>
      <w:r w:rsidR="005D5035" w:rsidRPr="005E1F55">
        <w:t xml:space="preserve">para. </w:t>
      </w:r>
      <w:r w:rsidR="00946A8F" w:rsidRPr="005E1F55">
        <w:t>1</w:t>
      </w:r>
      <w:r w:rsidR="00B10443">
        <w:t>7</w:t>
      </w:r>
      <w:r w:rsidR="00946A8F" w:rsidRPr="005E1F55">
        <w:t xml:space="preserve"> </w:t>
      </w:r>
      <w:r w:rsidR="00047B5B" w:rsidRPr="005E1F55">
        <w:t>(Towerstream agreeing to avoid frequencies around TDWR frequencies)</w:t>
      </w:r>
      <w:r w:rsidR="0085236B" w:rsidRPr="005E1F55">
        <w:t>.</w:t>
      </w:r>
    </w:p>
  </w:footnote>
  <w:footnote w:id="62">
    <w:p w:rsidR="0056024D" w:rsidRPr="005E1F55" w:rsidRDefault="0056024D" w:rsidP="005E1F55">
      <w:pPr>
        <w:pStyle w:val="FootnoteText"/>
      </w:pPr>
      <w:r w:rsidRPr="005F751C">
        <w:rPr>
          <w:rStyle w:val="FootnoteReference"/>
          <w:sz w:val="20"/>
        </w:rPr>
        <w:footnoteRef/>
      </w:r>
      <w:r w:rsidRPr="005E1F55">
        <w:t xml:space="preserve"> </w:t>
      </w:r>
      <w:r w:rsidRPr="005E1F55">
        <w:rPr>
          <w:i/>
        </w:rPr>
        <w:t>See OET</w:t>
      </w:r>
      <w:r w:rsidR="00093BD3" w:rsidRPr="005E1F55">
        <w:rPr>
          <w:i/>
        </w:rPr>
        <w:t>/EB</w:t>
      </w:r>
      <w:r w:rsidRPr="005E1F55">
        <w:rPr>
          <w:i/>
        </w:rPr>
        <w:t xml:space="preserve"> Memo</w:t>
      </w:r>
      <w:r w:rsidRPr="005E1F55">
        <w:t xml:space="preserve">, </w:t>
      </w:r>
      <w:r w:rsidRPr="005E1F55">
        <w:rPr>
          <w:i/>
        </w:rPr>
        <w:t xml:space="preserve">supra </w:t>
      </w:r>
      <w:r w:rsidRPr="005E1F55">
        <w:t>note</w:t>
      </w:r>
      <w:r w:rsidR="00946A8F" w:rsidRPr="005E1F55">
        <w:t xml:space="preserve"> 15</w:t>
      </w:r>
      <w:r w:rsidR="006178A3" w:rsidRPr="005E1F55">
        <w:t xml:space="preserve">.  The Enforcement Bureau further publicized these additional precautions in an Enforcement Advisory issued on September 27, 2012.  </w:t>
      </w:r>
      <w:r w:rsidR="006178A3" w:rsidRPr="005E1F55">
        <w:rPr>
          <w:i/>
        </w:rPr>
        <w:t xml:space="preserve">See </w:t>
      </w:r>
      <w:r w:rsidR="00375B59" w:rsidRPr="005E1F55">
        <w:rPr>
          <w:i/>
        </w:rPr>
        <w:t>Enforcement Bureau Takes Action to Prevent Interference to FAA-Operated Terminal Doppler Weather Radars Critical to Flight Safety</w:t>
      </w:r>
      <w:r w:rsidR="00375B59" w:rsidRPr="005E1F55">
        <w:t>, Enforcement Advisory, 27 FCC Rcd 10800 (Enf. Bur. 2012).</w:t>
      </w:r>
    </w:p>
  </w:footnote>
  <w:footnote w:id="63">
    <w:p w:rsidR="00465A0E" w:rsidRPr="005E1F55" w:rsidRDefault="00465A0E" w:rsidP="005E1F55">
      <w:pPr>
        <w:pStyle w:val="FootnoteText"/>
      </w:pPr>
      <w:r w:rsidRPr="005F751C">
        <w:rPr>
          <w:rStyle w:val="FootnoteReference"/>
          <w:sz w:val="20"/>
        </w:rPr>
        <w:footnoteRef/>
      </w:r>
      <w:r w:rsidRPr="005E1F55">
        <w:t xml:space="preserve"> </w:t>
      </w:r>
      <w:r w:rsidRPr="005E1F55">
        <w:rPr>
          <w:i/>
        </w:rPr>
        <w:t xml:space="preserve">See </w:t>
      </w:r>
      <w:r w:rsidR="00C00CBD" w:rsidRPr="005E1F55">
        <w:rPr>
          <w:i/>
        </w:rPr>
        <w:t>Letter to OET</w:t>
      </w:r>
      <w:r w:rsidR="00C00CBD" w:rsidRPr="005E1F55">
        <w:t>,</w:t>
      </w:r>
      <w:r w:rsidR="00C00CBD" w:rsidRPr="005E1F55">
        <w:rPr>
          <w:i/>
        </w:rPr>
        <w:t xml:space="preserve"> </w:t>
      </w:r>
      <w:r w:rsidRPr="005E1F55">
        <w:rPr>
          <w:i/>
        </w:rPr>
        <w:t xml:space="preserve">supra </w:t>
      </w:r>
      <w:r w:rsidRPr="005E1F55">
        <w:t>note</w:t>
      </w:r>
      <w:r w:rsidR="00946A8F" w:rsidRPr="005E1F55">
        <w:t xml:space="preserve"> 29</w:t>
      </w:r>
      <w:r w:rsidRPr="005E1F55">
        <w:t>.</w:t>
      </w:r>
    </w:p>
  </w:footnote>
  <w:footnote w:id="64">
    <w:p w:rsidR="009963DC" w:rsidRPr="005E1F55" w:rsidRDefault="009963DC" w:rsidP="005E1F55">
      <w:pPr>
        <w:pStyle w:val="FootnoteText"/>
      </w:pPr>
      <w:r w:rsidRPr="005F751C">
        <w:rPr>
          <w:rStyle w:val="FootnoteReference"/>
          <w:sz w:val="20"/>
        </w:rPr>
        <w:footnoteRef/>
      </w:r>
      <w:r w:rsidRPr="005E1F55">
        <w:t xml:space="preserve"> 47 U.S.C. § 503(b).</w:t>
      </w:r>
    </w:p>
  </w:footnote>
  <w:footnote w:id="65">
    <w:p w:rsidR="009963DC" w:rsidRPr="005E1F55" w:rsidRDefault="009963DC" w:rsidP="005E1F55">
      <w:pPr>
        <w:pStyle w:val="FootnoteText"/>
      </w:pPr>
      <w:r w:rsidRPr="005F751C">
        <w:rPr>
          <w:rStyle w:val="FootnoteReference"/>
          <w:sz w:val="20"/>
        </w:rPr>
        <w:footnoteRef/>
      </w:r>
      <w:r w:rsidRPr="005E1F55">
        <w:t xml:space="preserve"> </w:t>
      </w:r>
      <w:r w:rsidRPr="005E1F55">
        <w:rPr>
          <w:i/>
        </w:rPr>
        <w:t>The Commission’s Forfeiture Policy Statement and Amendment of Section 1.80 of the Rules to Incorporate the Forfeiture Guidelines</w:t>
      </w:r>
      <w:r w:rsidRPr="005E1F55">
        <w:t>, Report and Order, 12 FCC Rcd 17087 (1997) (</w:t>
      </w:r>
      <w:r w:rsidRPr="005E1F55">
        <w:rPr>
          <w:i/>
        </w:rPr>
        <w:t>Forfeiture Policy Statement</w:t>
      </w:r>
      <w:r w:rsidRPr="005E1F55">
        <w:t xml:space="preserve">), </w:t>
      </w:r>
      <w:r w:rsidRPr="005E1F55">
        <w:rPr>
          <w:i/>
        </w:rPr>
        <w:t>recons. denied</w:t>
      </w:r>
      <w:r w:rsidRPr="005E1F55">
        <w:t>, 15 FCC Rcd 303 (1999); 47 C.F.R. § 1.80.</w:t>
      </w:r>
    </w:p>
  </w:footnote>
  <w:footnote w:id="66">
    <w:p w:rsidR="009963DC" w:rsidRPr="005E1F55" w:rsidRDefault="009963DC" w:rsidP="005E1F55">
      <w:pPr>
        <w:pStyle w:val="FootnoteText"/>
      </w:pPr>
      <w:r w:rsidRPr="005F751C">
        <w:rPr>
          <w:rStyle w:val="FootnoteReference"/>
          <w:sz w:val="20"/>
        </w:rPr>
        <w:footnoteRef/>
      </w:r>
      <w:r w:rsidRPr="005E1F55">
        <w:t xml:space="preserve"> </w:t>
      </w:r>
      <w:r w:rsidRPr="005E1F55">
        <w:rPr>
          <w:i/>
        </w:rPr>
        <w:t xml:space="preserve">See </w:t>
      </w:r>
      <w:r w:rsidRPr="005E1F55">
        <w:t>47 C.F.R. § 1.80(b)(</w:t>
      </w:r>
      <w:r w:rsidR="00E56D8B" w:rsidRPr="005E1F55">
        <w:t>8</w:t>
      </w:r>
      <w:r w:rsidRPr="005E1F55">
        <w:t>), Note</w:t>
      </w:r>
      <w:r w:rsidR="005047E2" w:rsidRPr="005E1F55">
        <w:t xml:space="preserve"> to para</w:t>
      </w:r>
      <w:r w:rsidR="00F23C25" w:rsidRPr="005E1F55">
        <w:t>.</w:t>
      </w:r>
      <w:r w:rsidR="005047E2" w:rsidRPr="005E1F55">
        <w:t xml:space="preserve"> (b)(5)</w:t>
      </w:r>
      <w:r w:rsidRPr="005E1F55">
        <w:t xml:space="preserve"> (“The Commission and its staff retain the discretion to issue a higher or lower forfeiture than provided in the guidelines, to issue no forfeiture at all, or to apply alternative or additional sanctions as permitted by the statute . . . .”).</w:t>
      </w:r>
      <w:r w:rsidR="007E4C2E" w:rsidRPr="005E1F55">
        <w:t xml:space="preserve">  </w:t>
      </w:r>
    </w:p>
  </w:footnote>
  <w:footnote w:id="67">
    <w:p w:rsidR="009963DC" w:rsidRPr="005E1F55" w:rsidRDefault="009963DC" w:rsidP="005E1F55">
      <w:pPr>
        <w:pStyle w:val="FootnoteText"/>
      </w:pPr>
      <w:r w:rsidRPr="005F751C">
        <w:rPr>
          <w:rStyle w:val="FootnoteReference"/>
          <w:sz w:val="20"/>
        </w:rPr>
        <w:footnoteRef/>
      </w:r>
      <w:r w:rsidRPr="005E1F55">
        <w:t xml:space="preserve"> </w:t>
      </w:r>
      <w:r w:rsidRPr="005E1F55">
        <w:rPr>
          <w:i/>
        </w:rPr>
        <w:t xml:space="preserve">See </w:t>
      </w:r>
      <w:r w:rsidRPr="005E1F55">
        <w:t xml:space="preserve">47 U.S.C. § 503; 47 C.F.R. § 1.80(b)(7).  These amounts are subject to further adjustment for inflation and the forfeiture amount applicable to any violation will be determined based on the statutory amount designated at the time of the violation.  </w:t>
      </w:r>
      <w:r w:rsidRPr="005E1F55">
        <w:rPr>
          <w:i/>
        </w:rPr>
        <w:t>See</w:t>
      </w:r>
      <w:r w:rsidRPr="005E1F55">
        <w:t xml:space="preserve"> 47 C.F.R. § 1.80(b)(9).</w:t>
      </w:r>
    </w:p>
  </w:footnote>
  <w:footnote w:id="68">
    <w:p w:rsidR="009963DC" w:rsidRPr="005E1F55" w:rsidRDefault="009963DC" w:rsidP="00892CC3">
      <w:pPr>
        <w:pStyle w:val="PlainText"/>
        <w:spacing w:after="120"/>
        <w:rPr>
          <w:rFonts w:ascii="Times New Roman" w:hAnsi="Times New Roman"/>
          <w:sz w:val="20"/>
          <w:szCs w:val="20"/>
        </w:rPr>
      </w:pPr>
      <w:r w:rsidRPr="00892CC3">
        <w:rPr>
          <w:rStyle w:val="FootnoteReference"/>
          <w:sz w:val="20"/>
        </w:rPr>
        <w:footnoteRef/>
      </w:r>
      <w:r w:rsidR="00787BA9" w:rsidRPr="005E1F55">
        <w:rPr>
          <w:rFonts w:ascii="Times New Roman" w:hAnsi="Times New Roman"/>
          <w:sz w:val="20"/>
          <w:szCs w:val="20"/>
        </w:rPr>
        <w:t xml:space="preserve"> The </w:t>
      </w:r>
      <w:r w:rsidR="00022765" w:rsidRPr="005E1F55">
        <w:rPr>
          <w:rFonts w:ascii="Times New Roman" w:hAnsi="Times New Roman"/>
          <w:sz w:val="20"/>
          <w:szCs w:val="20"/>
        </w:rPr>
        <w:t>Commission has previously calculated forfeitures for interference violations on a per-transmitter basis</w:t>
      </w:r>
      <w:r w:rsidRPr="005E1F55">
        <w:rPr>
          <w:rFonts w:ascii="Times New Roman" w:hAnsi="Times New Roman"/>
          <w:sz w:val="20"/>
          <w:szCs w:val="20"/>
        </w:rPr>
        <w:t xml:space="preserve">.  </w:t>
      </w:r>
      <w:r w:rsidRPr="005E1F55">
        <w:rPr>
          <w:rFonts w:ascii="Times New Roman" w:hAnsi="Times New Roman"/>
          <w:i/>
          <w:sz w:val="20"/>
          <w:szCs w:val="20"/>
        </w:rPr>
        <w:t xml:space="preserve">See </w:t>
      </w:r>
      <w:r w:rsidRPr="005E1F55">
        <w:rPr>
          <w:rFonts w:ascii="Times New Roman" w:hAnsi="Times New Roman"/>
          <w:sz w:val="20"/>
          <w:szCs w:val="20"/>
        </w:rPr>
        <w:t xml:space="preserve">47 U.S.C. </w:t>
      </w:r>
      <w:r w:rsidR="005A5C7B" w:rsidRPr="005E1F55">
        <w:rPr>
          <w:rFonts w:ascii="Times New Roman" w:hAnsi="Times New Roman"/>
          <w:sz w:val="20"/>
          <w:szCs w:val="20"/>
        </w:rPr>
        <w:t>§</w:t>
      </w:r>
      <w:r w:rsidRPr="005E1F55">
        <w:rPr>
          <w:rFonts w:ascii="Times New Roman" w:hAnsi="Times New Roman"/>
          <w:sz w:val="20"/>
          <w:szCs w:val="20"/>
        </w:rPr>
        <w:t>§ 301</w:t>
      </w:r>
      <w:r w:rsidR="005A5C7B" w:rsidRPr="005E1F55">
        <w:rPr>
          <w:rFonts w:ascii="Times New Roman" w:hAnsi="Times New Roman"/>
          <w:sz w:val="20"/>
          <w:szCs w:val="20"/>
        </w:rPr>
        <w:t>, 333</w:t>
      </w:r>
      <w:r w:rsidRPr="005E1F55">
        <w:rPr>
          <w:rFonts w:ascii="Times New Roman" w:hAnsi="Times New Roman"/>
          <w:sz w:val="20"/>
          <w:szCs w:val="20"/>
        </w:rPr>
        <w:t xml:space="preserve">.  </w:t>
      </w:r>
      <w:r w:rsidRPr="005E1F55">
        <w:rPr>
          <w:rFonts w:ascii="Times New Roman" w:hAnsi="Times New Roman"/>
          <w:i/>
          <w:sz w:val="20"/>
          <w:szCs w:val="20"/>
        </w:rPr>
        <w:t xml:space="preserve">See also </w:t>
      </w:r>
      <w:r w:rsidR="005A5C7B" w:rsidRPr="005E1F55">
        <w:rPr>
          <w:rFonts w:ascii="Times New Roman" w:hAnsi="Times New Roman"/>
          <w:i/>
          <w:sz w:val="20"/>
          <w:szCs w:val="20"/>
        </w:rPr>
        <w:t>The Supply Room, Inc.</w:t>
      </w:r>
      <w:r w:rsidR="005A5C7B" w:rsidRPr="005E1F55">
        <w:rPr>
          <w:rFonts w:ascii="Times New Roman" w:hAnsi="Times New Roman"/>
          <w:sz w:val="20"/>
          <w:szCs w:val="20"/>
        </w:rPr>
        <w:t xml:space="preserve">, Notice of Apparent Liability for Forfeiture and Order, </w:t>
      </w:r>
      <w:r w:rsidR="00F54BA7" w:rsidRPr="005E1F55">
        <w:rPr>
          <w:rFonts w:ascii="Times New Roman" w:hAnsi="Times New Roman"/>
          <w:sz w:val="20"/>
          <w:szCs w:val="20"/>
        </w:rPr>
        <w:t>28 FCC Rcd 4981</w:t>
      </w:r>
      <w:r w:rsidR="005A5C7B" w:rsidRPr="005E1F55">
        <w:rPr>
          <w:rFonts w:ascii="Times New Roman" w:hAnsi="Times New Roman"/>
          <w:color w:val="000000"/>
          <w:sz w:val="20"/>
          <w:szCs w:val="20"/>
          <w:shd w:val="clear" w:color="auto" w:fill="FFFFFF"/>
        </w:rPr>
        <w:t xml:space="preserve"> (2013) (</w:t>
      </w:r>
      <w:r w:rsidR="005A5C7B" w:rsidRPr="005E1F55">
        <w:rPr>
          <w:rFonts w:ascii="Times New Roman" w:hAnsi="Times New Roman"/>
          <w:i/>
          <w:color w:val="000000"/>
          <w:sz w:val="20"/>
          <w:szCs w:val="20"/>
          <w:shd w:val="clear" w:color="auto" w:fill="FFFFFF"/>
        </w:rPr>
        <w:t>Supply Room NAL</w:t>
      </w:r>
      <w:r w:rsidR="005A5C7B" w:rsidRPr="005E1F55">
        <w:rPr>
          <w:rFonts w:ascii="Times New Roman" w:hAnsi="Times New Roman"/>
          <w:color w:val="000000"/>
          <w:sz w:val="20"/>
          <w:szCs w:val="20"/>
          <w:shd w:val="clear" w:color="auto" w:fill="FFFFFF"/>
        </w:rPr>
        <w:t>)</w:t>
      </w:r>
      <w:r w:rsidR="007578B9" w:rsidRPr="005E1F55">
        <w:rPr>
          <w:rFonts w:ascii="Times New Roman" w:hAnsi="Times New Roman"/>
          <w:color w:val="000000"/>
          <w:sz w:val="20"/>
          <w:szCs w:val="20"/>
          <w:shd w:val="clear" w:color="auto" w:fill="FFFFFF"/>
        </w:rPr>
        <w:t xml:space="preserve"> (proposing forfeitures for violating Sections 301,</w:t>
      </w:r>
      <w:r w:rsidR="00834945">
        <w:rPr>
          <w:rFonts w:ascii="Times New Roman" w:hAnsi="Times New Roman"/>
          <w:color w:val="000000"/>
          <w:sz w:val="20"/>
          <w:szCs w:val="20"/>
          <w:shd w:val="clear" w:color="auto" w:fill="FFFFFF"/>
        </w:rPr>
        <w:t xml:space="preserve"> 302(b), and 333 on a per-</w:t>
      </w:r>
      <w:r w:rsidR="007C06FA" w:rsidRPr="005E1F55">
        <w:rPr>
          <w:rFonts w:ascii="Times New Roman" w:hAnsi="Times New Roman"/>
          <w:color w:val="000000"/>
          <w:sz w:val="20"/>
          <w:szCs w:val="20"/>
          <w:shd w:val="clear" w:color="auto" w:fill="FFFFFF"/>
        </w:rPr>
        <w:t>device</w:t>
      </w:r>
      <w:r w:rsidR="007578B9" w:rsidRPr="005E1F55">
        <w:rPr>
          <w:rFonts w:ascii="Times New Roman" w:hAnsi="Times New Roman"/>
          <w:color w:val="000000"/>
          <w:sz w:val="20"/>
          <w:szCs w:val="20"/>
          <w:shd w:val="clear" w:color="auto" w:fill="FFFFFF"/>
        </w:rPr>
        <w:t xml:space="preserve"> basis)</w:t>
      </w:r>
      <w:r w:rsidR="005A5C7B" w:rsidRPr="005E1F55">
        <w:rPr>
          <w:rFonts w:ascii="Times New Roman" w:hAnsi="Times New Roman"/>
          <w:color w:val="000000"/>
          <w:sz w:val="20"/>
          <w:szCs w:val="20"/>
          <w:shd w:val="clear" w:color="auto" w:fill="FFFFFF"/>
        </w:rPr>
        <w:t>;</w:t>
      </w:r>
      <w:r w:rsidR="005A5C7B" w:rsidRPr="00892CC3">
        <w:rPr>
          <w:rFonts w:ascii="Times New Roman" w:hAnsi="Times New Roman"/>
          <w:color w:val="000000"/>
          <w:sz w:val="20"/>
          <w:shd w:val="clear" w:color="auto" w:fill="FFFFFF"/>
        </w:rPr>
        <w:t xml:space="preserve"> </w:t>
      </w:r>
      <w:r w:rsidR="007578B9" w:rsidRPr="005E1F55">
        <w:rPr>
          <w:rFonts w:ascii="Times New Roman" w:hAnsi="Times New Roman"/>
          <w:i/>
          <w:color w:val="000000"/>
          <w:sz w:val="20"/>
          <w:szCs w:val="20"/>
          <w:shd w:val="clear" w:color="auto" w:fill="FFFFFF"/>
        </w:rPr>
        <w:t>Taylor Oilfield Manufacturing, Inc.</w:t>
      </w:r>
      <w:r w:rsidR="007578B9" w:rsidRPr="005E1F55">
        <w:rPr>
          <w:rFonts w:ascii="Times New Roman" w:hAnsi="Times New Roman"/>
          <w:color w:val="000000"/>
          <w:sz w:val="20"/>
          <w:szCs w:val="20"/>
          <w:shd w:val="clear" w:color="auto" w:fill="FFFFFF"/>
        </w:rPr>
        <w:t xml:space="preserve">, Notice of Apparent Liability for Forfeiture and Order, </w:t>
      </w:r>
      <w:r w:rsidR="00F54BA7" w:rsidRPr="005E1F55">
        <w:rPr>
          <w:rFonts w:ascii="Times New Roman" w:hAnsi="Times New Roman"/>
          <w:color w:val="000000"/>
          <w:sz w:val="20"/>
          <w:szCs w:val="20"/>
          <w:shd w:val="clear" w:color="auto" w:fill="FFFFFF"/>
        </w:rPr>
        <w:t>28 FCC Rcd 4972</w:t>
      </w:r>
      <w:r w:rsidR="007578B9" w:rsidRPr="005E1F55">
        <w:rPr>
          <w:rFonts w:ascii="Times New Roman" w:hAnsi="Times New Roman"/>
          <w:color w:val="000000"/>
          <w:sz w:val="20"/>
          <w:szCs w:val="20"/>
          <w:shd w:val="clear" w:color="auto" w:fill="FFFFFF"/>
        </w:rPr>
        <w:t xml:space="preserve"> (2013) (</w:t>
      </w:r>
      <w:r w:rsidR="007578B9" w:rsidRPr="005E1F55">
        <w:rPr>
          <w:rFonts w:ascii="Times New Roman" w:hAnsi="Times New Roman"/>
          <w:i/>
          <w:color w:val="000000"/>
          <w:sz w:val="20"/>
          <w:szCs w:val="20"/>
          <w:shd w:val="clear" w:color="auto" w:fill="FFFFFF"/>
        </w:rPr>
        <w:t>Taylor Oilfield NAL</w:t>
      </w:r>
      <w:r w:rsidR="007578B9" w:rsidRPr="005E1F55">
        <w:rPr>
          <w:rFonts w:ascii="Times New Roman" w:hAnsi="Times New Roman"/>
          <w:color w:val="000000"/>
          <w:sz w:val="20"/>
          <w:szCs w:val="20"/>
          <w:shd w:val="clear" w:color="auto" w:fill="FFFFFF"/>
        </w:rPr>
        <w:t>) (proposing forfeitures for violating Sections 301,</w:t>
      </w:r>
      <w:r w:rsidR="00834945">
        <w:rPr>
          <w:rFonts w:ascii="Times New Roman" w:hAnsi="Times New Roman"/>
          <w:color w:val="000000"/>
          <w:sz w:val="20"/>
          <w:szCs w:val="20"/>
          <w:shd w:val="clear" w:color="auto" w:fill="FFFFFF"/>
        </w:rPr>
        <w:t xml:space="preserve"> 302(b), and 333 on a per-</w:t>
      </w:r>
      <w:r w:rsidR="007C06FA" w:rsidRPr="005E1F55">
        <w:rPr>
          <w:rFonts w:ascii="Times New Roman" w:hAnsi="Times New Roman"/>
          <w:color w:val="000000"/>
          <w:sz w:val="20"/>
          <w:szCs w:val="20"/>
          <w:shd w:val="clear" w:color="auto" w:fill="FFFFFF"/>
        </w:rPr>
        <w:t>device</w:t>
      </w:r>
      <w:r w:rsidR="007578B9" w:rsidRPr="005E1F55">
        <w:rPr>
          <w:rFonts w:ascii="Times New Roman" w:hAnsi="Times New Roman"/>
          <w:color w:val="000000"/>
          <w:sz w:val="20"/>
          <w:szCs w:val="20"/>
          <w:shd w:val="clear" w:color="auto" w:fill="FFFFFF"/>
        </w:rPr>
        <w:t xml:space="preserve"> basis); </w:t>
      </w:r>
      <w:r w:rsidR="005A5C7B" w:rsidRPr="005E1F55">
        <w:rPr>
          <w:rFonts w:ascii="Times New Roman" w:hAnsi="Times New Roman"/>
          <w:i/>
          <w:sz w:val="20"/>
          <w:szCs w:val="20"/>
        </w:rPr>
        <w:t>Argos Net, Inc.</w:t>
      </w:r>
      <w:r w:rsidR="005A5C7B" w:rsidRPr="005E1F55">
        <w:rPr>
          <w:rFonts w:ascii="Times New Roman" w:hAnsi="Times New Roman"/>
          <w:sz w:val="20"/>
          <w:szCs w:val="20"/>
        </w:rPr>
        <w:t xml:space="preserve"> Notice of Apparent Liability for Forfeiture and Order, 27 FCC Rcd 2786 (En</w:t>
      </w:r>
      <w:r w:rsidR="007578B9" w:rsidRPr="005E1F55">
        <w:rPr>
          <w:rFonts w:ascii="Times New Roman" w:hAnsi="Times New Roman"/>
          <w:sz w:val="20"/>
          <w:szCs w:val="20"/>
        </w:rPr>
        <w:t xml:space="preserve">f. Bur. 2012) (proposing </w:t>
      </w:r>
      <w:r w:rsidR="005A5C7B" w:rsidRPr="005E1F55">
        <w:rPr>
          <w:rFonts w:ascii="Times New Roman" w:hAnsi="Times New Roman"/>
          <w:sz w:val="20"/>
          <w:szCs w:val="20"/>
        </w:rPr>
        <w:t xml:space="preserve">forfeiture </w:t>
      </w:r>
      <w:r w:rsidR="007578B9" w:rsidRPr="005E1F55">
        <w:rPr>
          <w:rFonts w:ascii="Times New Roman" w:hAnsi="Times New Roman"/>
          <w:sz w:val="20"/>
          <w:szCs w:val="20"/>
        </w:rPr>
        <w:t xml:space="preserve">for violation of Section 301 on a </w:t>
      </w:r>
      <w:r w:rsidR="00834945">
        <w:rPr>
          <w:rFonts w:ascii="Times New Roman" w:hAnsi="Times New Roman"/>
          <w:sz w:val="20"/>
          <w:szCs w:val="20"/>
        </w:rPr>
        <w:t>per-</w:t>
      </w:r>
      <w:r w:rsidR="005A5C7B" w:rsidRPr="005E1F55">
        <w:rPr>
          <w:rFonts w:ascii="Times New Roman" w:hAnsi="Times New Roman"/>
          <w:sz w:val="20"/>
          <w:szCs w:val="20"/>
        </w:rPr>
        <w:t xml:space="preserve">transmitter </w:t>
      </w:r>
      <w:r w:rsidR="007578B9" w:rsidRPr="005E1F55">
        <w:rPr>
          <w:rFonts w:ascii="Times New Roman" w:hAnsi="Times New Roman"/>
          <w:sz w:val="20"/>
          <w:szCs w:val="20"/>
        </w:rPr>
        <w:t>basis</w:t>
      </w:r>
      <w:r w:rsidR="005A5C7B" w:rsidRPr="005E1F55">
        <w:rPr>
          <w:rFonts w:ascii="Times New Roman" w:hAnsi="Times New Roman"/>
          <w:sz w:val="20"/>
          <w:szCs w:val="20"/>
        </w:rPr>
        <w:t>)</w:t>
      </w:r>
      <w:r w:rsidRPr="005E1F55">
        <w:rPr>
          <w:rFonts w:ascii="Times New Roman" w:hAnsi="Times New Roman"/>
          <w:sz w:val="20"/>
          <w:szCs w:val="20"/>
        </w:rPr>
        <w:t>.</w:t>
      </w:r>
    </w:p>
  </w:footnote>
  <w:footnote w:id="69">
    <w:p w:rsidR="009963DC" w:rsidRPr="005E1F55" w:rsidRDefault="009963DC" w:rsidP="005E1F55">
      <w:pPr>
        <w:pStyle w:val="FootnoteText"/>
      </w:pPr>
      <w:r w:rsidRPr="005F751C">
        <w:rPr>
          <w:rStyle w:val="FootnoteReference"/>
          <w:sz w:val="20"/>
        </w:rPr>
        <w:footnoteRef/>
      </w:r>
      <w:r w:rsidRPr="005E1F55">
        <w:t xml:space="preserve"> 47 U.S.C. § 503(b)(2)(E).</w:t>
      </w:r>
    </w:p>
  </w:footnote>
  <w:footnote w:id="70">
    <w:p w:rsidR="009963DC" w:rsidRPr="005E1F55" w:rsidRDefault="009963DC" w:rsidP="005E1F55">
      <w:pPr>
        <w:pStyle w:val="FootnoteText"/>
        <w:rPr>
          <w:i/>
        </w:rPr>
      </w:pPr>
      <w:r w:rsidRPr="005F751C">
        <w:rPr>
          <w:rStyle w:val="FootnoteReference"/>
          <w:sz w:val="20"/>
        </w:rPr>
        <w:footnoteRef/>
      </w:r>
      <w:r w:rsidRPr="005E1F55">
        <w:t xml:space="preserve"> 47 C.F.R. § 1.80(b)(7).</w:t>
      </w:r>
      <w:r w:rsidR="00CD68CA" w:rsidRPr="005E1F55">
        <w:t xml:space="preserve">  </w:t>
      </w:r>
      <w:r w:rsidR="00F0537F" w:rsidRPr="005E1F55">
        <w:rPr>
          <w:i/>
        </w:rPr>
        <w:t>See Supply Room NAL</w:t>
      </w:r>
      <w:r w:rsidR="00F0537F" w:rsidRPr="005E1F55">
        <w:t xml:space="preserve">, </w:t>
      </w:r>
      <w:r w:rsidR="005047E2" w:rsidRPr="005E1F55">
        <w:t>28 FCC Rcd 4981 (2013)</w:t>
      </w:r>
      <w:r w:rsidR="00F0537F" w:rsidRPr="005E1F55">
        <w:t xml:space="preserve"> (imposing the statutory maximum </w:t>
      </w:r>
      <w:r w:rsidR="0094275B" w:rsidRPr="005E1F55">
        <w:t xml:space="preserve">per violation </w:t>
      </w:r>
      <w:r w:rsidR="00F0537F" w:rsidRPr="005E1F55">
        <w:t xml:space="preserve">for </w:t>
      </w:r>
      <w:r w:rsidR="006C1D41" w:rsidRPr="005E1F55">
        <w:t>violations of Sections 301 and 333 using</w:t>
      </w:r>
      <w:r w:rsidR="00F0537F" w:rsidRPr="005E1F55">
        <w:t xml:space="preserve"> unlicensed </w:t>
      </w:r>
      <w:r w:rsidR="007C06FA" w:rsidRPr="005E1F55">
        <w:t>signal jamming devices</w:t>
      </w:r>
      <w:r w:rsidR="00F0537F" w:rsidRPr="005E1F55">
        <w:t xml:space="preserve"> </w:t>
      </w:r>
      <w:r w:rsidR="000A1E17" w:rsidRPr="005E1F55">
        <w:t xml:space="preserve">that </w:t>
      </w:r>
      <w:r w:rsidR="00F0537F" w:rsidRPr="005E1F55">
        <w:t xml:space="preserve">caused interference); </w:t>
      </w:r>
      <w:r w:rsidR="00F0537F" w:rsidRPr="005E1F55">
        <w:rPr>
          <w:i/>
        </w:rPr>
        <w:t>Taylor Oilfield Manufacturing, Inc.</w:t>
      </w:r>
      <w:r w:rsidR="00F0537F" w:rsidRPr="005E1F55">
        <w:t xml:space="preserve">, </w:t>
      </w:r>
      <w:r w:rsidR="005047E2" w:rsidRPr="005E1F55">
        <w:t>28 FCC Rcd 4972 (2013)</w:t>
      </w:r>
      <w:r w:rsidR="00F0537F" w:rsidRPr="005E1F55">
        <w:t xml:space="preserve"> (imposing the statutory maximum </w:t>
      </w:r>
      <w:r w:rsidR="0094275B" w:rsidRPr="005E1F55">
        <w:t xml:space="preserve">per violation </w:t>
      </w:r>
      <w:r w:rsidR="00F0537F" w:rsidRPr="005E1F55">
        <w:t xml:space="preserve">for operating unlicensed </w:t>
      </w:r>
      <w:r w:rsidR="007C06FA" w:rsidRPr="005E1F55">
        <w:t>signal jamming devices</w:t>
      </w:r>
      <w:r w:rsidR="000A1E17" w:rsidRPr="005E1F55">
        <w:t xml:space="preserve"> that</w:t>
      </w:r>
      <w:r w:rsidR="00F0537F" w:rsidRPr="005E1F55">
        <w:t xml:space="preserve"> caused interference); </w:t>
      </w:r>
      <w:r w:rsidR="00F0537F" w:rsidRPr="005E1F55">
        <w:rPr>
          <w:i/>
        </w:rPr>
        <w:t>St. George Cable, Inc.</w:t>
      </w:r>
      <w:r w:rsidR="00F0537F" w:rsidRPr="005E1F55">
        <w:t xml:space="preserve">, Notice of Apparent Liability for Forfeiture and Order, 27 FCC Rcd 11447 (2012) (imposing the statutory maximum </w:t>
      </w:r>
      <w:r w:rsidR="0094275B" w:rsidRPr="005E1F55">
        <w:t xml:space="preserve">per violation </w:t>
      </w:r>
      <w:r w:rsidR="00F0537F" w:rsidRPr="005E1F55">
        <w:t xml:space="preserve">for cable signal leakage in excess of the cumulative leakage index).  Because Towerstream operated unlicensed devices </w:t>
      </w:r>
      <w:r w:rsidR="00BA592D" w:rsidRPr="005E1F55">
        <w:t xml:space="preserve">that </w:t>
      </w:r>
      <w:r w:rsidR="00F0537F" w:rsidRPr="005E1F55">
        <w:t xml:space="preserve">caused actual interference, the statutory maximum </w:t>
      </w:r>
      <w:r w:rsidR="00BA592D" w:rsidRPr="005E1F55">
        <w:t xml:space="preserve">forfeiture </w:t>
      </w:r>
      <w:r w:rsidR="00F0537F" w:rsidRPr="005E1F55">
        <w:t>for each violation</w:t>
      </w:r>
      <w:r w:rsidR="00BA592D" w:rsidRPr="005E1F55">
        <w:t xml:space="preserve"> is appropriate</w:t>
      </w:r>
      <w:r w:rsidR="00F0537F" w:rsidRPr="005E1F55">
        <w:t xml:space="preserve">.    </w:t>
      </w:r>
    </w:p>
  </w:footnote>
  <w:footnote w:id="71">
    <w:p w:rsidR="00BA592D" w:rsidRPr="005E1F55" w:rsidRDefault="00BA592D" w:rsidP="005E1F55">
      <w:pPr>
        <w:pStyle w:val="FootnoteText"/>
      </w:pPr>
      <w:r w:rsidRPr="005F751C">
        <w:rPr>
          <w:rStyle w:val="FootnoteReference"/>
          <w:sz w:val="20"/>
        </w:rPr>
        <w:footnoteRef/>
      </w:r>
      <w:r w:rsidRPr="005E1F55">
        <w:t xml:space="preserve"> </w:t>
      </w:r>
      <w:r w:rsidR="00591B97" w:rsidRPr="005E1F55">
        <w:rPr>
          <w:i/>
        </w:rPr>
        <w:t xml:space="preserve">See, e.g., General Communications, Inc., </w:t>
      </w:r>
      <w:r w:rsidR="00591B97" w:rsidRPr="005E1F55">
        <w:t xml:space="preserve">Notice of Apparent Liability for Forfeiture, 28 FCC Rcd 3079 (Enf. Bur. 2013); </w:t>
      </w:r>
      <w:r w:rsidR="00591B97" w:rsidRPr="005E1F55">
        <w:rPr>
          <w:i/>
        </w:rPr>
        <w:t>Jared A. Bruegman</w:t>
      </w:r>
      <w:r w:rsidR="00591B97" w:rsidRPr="005E1F55">
        <w:t xml:space="preserve">, </w:t>
      </w:r>
      <w:r w:rsidR="0094275B" w:rsidRPr="005E1F55">
        <w:t xml:space="preserve">Notice of Apparent Liability for Forfeiture, </w:t>
      </w:r>
      <w:r w:rsidR="00591B97" w:rsidRPr="005E1F55">
        <w:t xml:space="preserve">28 FCC Rcd 1327 (Enf. Bur. 2013); </w:t>
      </w:r>
      <w:r w:rsidR="00591B97" w:rsidRPr="005E1F55">
        <w:rPr>
          <w:i/>
        </w:rPr>
        <w:t xml:space="preserve">Glen Rubash, </w:t>
      </w:r>
      <w:r w:rsidR="00591B97" w:rsidRPr="005E1F55">
        <w:t>Notice of Apparent Liability for Forfeiture, 27 FCC Rcd 15044 (Enf. Bur. 2012).</w:t>
      </w:r>
    </w:p>
  </w:footnote>
  <w:footnote w:id="72">
    <w:p w:rsidR="00737CF9" w:rsidRPr="005E1F55" w:rsidRDefault="00737CF9" w:rsidP="005E1F55">
      <w:pPr>
        <w:pStyle w:val="FootnoteText"/>
      </w:pPr>
      <w:r w:rsidRPr="005F751C">
        <w:rPr>
          <w:rStyle w:val="FootnoteReference"/>
          <w:sz w:val="20"/>
        </w:rPr>
        <w:footnoteRef/>
      </w:r>
      <w:r w:rsidRPr="005E1F55">
        <w:t xml:space="preserve"> 47 C.F.R. § 1.16.</w:t>
      </w:r>
    </w:p>
  </w:footnote>
  <w:footnote w:id="73">
    <w:p w:rsidR="00737CF9" w:rsidRPr="005E1F55" w:rsidRDefault="00737CF9" w:rsidP="005E1F55">
      <w:pPr>
        <w:pStyle w:val="FootnoteText"/>
      </w:pPr>
      <w:r w:rsidRPr="005F751C">
        <w:rPr>
          <w:rStyle w:val="FootnoteReference"/>
          <w:sz w:val="20"/>
        </w:rPr>
        <w:footnoteRef/>
      </w:r>
      <w:r w:rsidRPr="005E1F55">
        <w:t xml:space="preserve"> 47 U.S.C. §§ 301, </w:t>
      </w:r>
      <w:r w:rsidR="005047E2" w:rsidRPr="005E1F55">
        <w:t xml:space="preserve">333, </w:t>
      </w:r>
      <w:r w:rsidRPr="005E1F55">
        <w:t>503(b); 47 C.F.R. § 1.80.</w:t>
      </w:r>
    </w:p>
  </w:footnote>
  <w:footnote w:id="74">
    <w:p w:rsidR="00737CF9" w:rsidRPr="005E1F55" w:rsidRDefault="00737CF9" w:rsidP="005E1F55">
      <w:pPr>
        <w:pStyle w:val="FootnoteText"/>
      </w:pPr>
      <w:r w:rsidRPr="005F751C">
        <w:rPr>
          <w:rStyle w:val="FootnoteReference"/>
          <w:sz w:val="20"/>
        </w:rPr>
        <w:footnoteRef/>
      </w:r>
      <w:r w:rsidRPr="005E1F55">
        <w:t xml:space="preserve"> </w:t>
      </w:r>
      <w:r w:rsidRPr="005E1F55">
        <w:rPr>
          <w:rFonts w:eastAsia="MS Mincho"/>
        </w:rPr>
        <w:t>An FCC Form 159 and detailed instructions for completing the form may be obtained at http://www.fcc.gov/Forms/Form159/159.pdf.</w:t>
      </w:r>
    </w:p>
  </w:footnote>
  <w:footnote w:id="75">
    <w:p w:rsidR="00737CF9" w:rsidRPr="005E1F55" w:rsidRDefault="00737CF9" w:rsidP="005E1F55">
      <w:pPr>
        <w:pStyle w:val="FootnoteText"/>
      </w:pPr>
      <w:r w:rsidRPr="005F751C">
        <w:rPr>
          <w:rStyle w:val="FootnoteReference"/>
          <w:sz w:val="20"/>
        </w:rPr>
        <w:footnoteRef/>
      </w:r>
      <w:r w:rsidRPr="005E1F55">
        <w:t xml:space="preserve"> </w:t>
      </w:r>
      <w:r w:rsidRPr="005E1F55">
        <w:rPr>
          <w:i/>
        </w:rPr>
        <w:t>See</w:t>
      </w:r>
      <w:r w:rsidRPr="005E1F55">
        <w:t xml:space="preserve"> 47 C.F.R. § 1.1914.</w:t>
      </w:r>
    </w:p>
  </w:footnote>
  <w:footnote w:id="76">
    <w:p w:rsidR="00737CF9" w:rsidRPr="005E1F55" w:rsidRDefault="00737CF9" w:rsidP="005E1F55">
      <w:pPr>
        <w:pStyle w:val="FootnoteText"/>
      </w:pPr>
      <w:r w:rsidRPr="005F751C">
        <w:rPr>
          <w:rStyle w:val="FootnoteReference"/>
          <w:sz w:val="20"/>
        </w:rPr>
        <w:footnoteRef/>
      </w:r>
      <w:r w:rsidRPr="005E1F55">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3E7" w:rsidRDefault="003B0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F9" w:rsidRDefault="00C37012">
    <w:pPr>
      <w:pStyle w:val="Header"/>
      <w:pBdr>
        <w:bottom w:val="single" w:sz="12" w:space="1" w:color="auto"/>
      </w:pBdr>
      <w:rPr>
        <w:b w:val="0"/>
      </w:rPr>
    </w:pPr>
    <w:r>
      <w:rPr>
        <w:noProof/>
        <w:snapToGrid/>
      </w:rPr>
      <w:pict>
        <v:rect id="_x0000_s2049" style="position:absolute;margin-left:0;margin-top:14.35pt;width:468pt;height:.95pt;z-index:-251658752;mso-position-horizontal-relative:margin" o:allowincell="f" fillcolor="black" stroked="f" strokeweight=".05pt">
          <v:fill color2="black"/>
          <w10:wrap anchorx="margin"/>
        </v:rect>
      </w:pict>
    </w:r>
    <w:r w:rsidR="00737CF9">
      <w:tab/>
      <w:t>Federal Communications Commission</w:t>
    </w:r>
    <w:r w:rsidR="00737CF9">
      <w:tab/>
      <w:t>FCC 13-</w:t>
    </w:r>
    <w:r w:rsidR="00892CC3">
      <w:t>109</w:t>
    </w:r>
  </w:p>
  <w:p w:rsidR="00737CF9" w:rsidRDefault="00737CF9">
    <w:pPr>
      <w:tabs>
        <w:tab w:val="left" w:pos="-720"/>
      </w:tabs>
      <w:suppressAutoHyphens/>
      <w:spacing w:line="19" w:lineRule="exact"/>
      <w:rPr>
        <w:spacing w:val="-2"/>
      </w:rPr>
    </w:pPr>
  </w:p>
  <w:p w:rsidR="00737CF9" w:rsidRDefault="00737CF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F9" w:rsidRDefault="00737CF9">
    <w:pPr>
      <w:pStyle w:val="Header"/>
      <w:pBdr>
        <w:bottom w:val="single" w:sz="12" w:space="1" w:color="auto"/>
      </w:pBdr>
      <w:rPr>
        <w:b w:val="0"/>
      </w:rPr>
    </w:pPr>
    <w:r>
      <w:tab/>
      <w:t>Federal Communications Commission</w:t>
    </w:r>
    <w:r>
      <w:tab/>
    </w:r>
    <w:r>
      <w:rPr>
        <w:spacing w:val="-2"/>
      </w:rPr>
      <w:t>FCC 13-</w:t>
    </w:r>
    <w:r w:rsidR="00892CC3">
      <w:rPr>
        <w:spacing w:val="-2"/>
      </w:rPr>
      <w:t>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CD7CAA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4319A0"/>
    <w:multiLevelType w:val="hybridMultilevel"/>
    <w:tmpl w:val="C7EC4AE4"/>
    <w:lvl w:ilvl="0" w:tplc="0F5445A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3DCE4EA5"/>
    <w:multiLevelType w:val="hybridMultilevel"/>
    <w:tmpl w:val="61789B18"/>
    <w:lvl w:ilvl="0" w:tplc="4D32EDC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546816"/>
    <w:multiLevelType w:val="hybridMultilevel"/>
    <w:tmpl w:val="9D2C5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D2B65F8"/>
    <w:multiLevelType w:val="hybridMultilevel"/>
    <w:tmpl w:val="D5F81BFA"/>
    <w:lvl w:ilvl="0" w:tplc="5914C96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
  </w:num>
  <w:num w:numId="2">
    <w:abstractNumId w:val="11"/>
  </w:num>
  <w:num w:numId="3">
    <w:abstractNumId w:val="3"/>
  </w:num>
  <w:num w:numId="4">
    <w:abstractNumId w:val="10"/>
  </w:num>
  <w:num w:numId="5">
    <w:abstractNumId w:val="2"/>
  </w:num>
  <w:num w:numId="6">
    <w:abstractNumId w:val="0"/>
  </w:num>
  <w:num w:numId="7">
    <w:abstractNumId w:val="9"/>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9"/>
    </w:lvlOverride>
  </w:num>
  <w:num w:numId="14">
    <w:abstractNumId w:val="3"/>
    <w:lvlOverride w:ilvl="0">
      <w:startOverride w:val="1"/>
    </w:lvlOverride>
    <w:lvlOverride w:ilvl="1">
      <w:startOverride w:val="1"/>
    </w:lvlOverride>
    <w:lvlOverride w:ilvl="2">
      <w:startOverride w:val="1"/>
    </w:lvlOverride>
    <w:lvlOverride w:ilvl="3">
      <w:startOverride w:val="9"/>
    </w:lvlOverride>
  </w:num>
  <w:num w:numId="15">
    <w:abstractNumId w:val="3"/>
  </w:num>
  <w:num w:numId="16">
    <w:abstractNumId w:val="4"/>
  </w:num>
  <w:num w:numId="17">
    <w:abstractNumId w:val="11"/>
  </w:num>
  <w:num w:numId="18">
    <w:abstractNumId w:val="5"/>
  </w:num>
  <w:num w:numId="19">
    <w:abstractNumId w:val="6"/>
  </w:num>
  <w:num w:numId="20">
    <w:abstractNumId w:val="11"/>
  </w:num>
  <w:num w:numId="21">
    <w:abstractNumId w:val="11"/>
  </w:num>
  <w:num w:numId="22">
    <w:abstractNumId w:val="11"/>
  </w:num>
  <w:num w:numId="23">
    <w:abstractNumId w:val="11"/>
  </w:num>
  <w:num w:numId="24">
    <w:abstractNumId w:val="3"/>
  </w:num>
  <w:num w:numId="25">
    <w:abstractNumId w:val="11"/>
  </w:num>
  <w:num w:numId="26">
    <w:abstractNumId w:val="11"/>
  </w:num>
  <w:num w:numId="27">
    <w:abstractNumId w:val="7"/>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5FE4"/>
    <w:rsid w:val="00005471"/>
    <w:rsid w:val="000069ED"/>
    <w:rsid w:val="00011D6E"/>
    <w:rsid w:val="000120C0"/>
    <w:rsid w:val="00015FE4"/>
    <w:rsid w:val="00017079"/>
    <w:rsid w:val="00017595"/>
    <w:rsid w:val="00017676"/>
    <w:rsid w:val="00022765"/>
    <w:rsid w:val="00023279"/>
    <w:rsid w:val="00026703"/>
    <w:rsid w:val="00031162"/>
    <w:rsid w:val="00035985"/>
    <w:rsid w:val="00036039"/>
    <w:rsid w:val="0003652F"/>
    <w:rsid w:val="00037F90"/>
    <w:rsid w:val="000402E8"/>
    <w:rsid w:val="00040542"/>
    <w:rsid w:val="00047B5B"/>
    <w:rsid w:val="00050FF7"/>
    <w:rsid w:val="00052C63"/>
    <w:rsid w:val="00057FBF"/>
    <w:rsid w:val="0006343E"/>
    <w:rsid w:val="000645E0"/>
    <w:rsid w:val="00075982"/>
    <w:rsid w:val="00076E27"/>
    <w:rsid w:val="00082988"/>
    <w:rsid w:val="0008729E"/>
    <w:rsid w:val="000875BF"/>
    <w:rsid w:val="000916F6"/>
    <w:rsid w:val="00093BD3"/>
    <w:rsid w:val="00096D8C"/>
    <w:rsid w:val="00097BA0"/>
    <w:rsid w:val="000A0544"/>
    <w:rsid w:val="000A1E17"/>
    <w:rsid w:val="000A4E0B"/>
    <w:rsid w:val="000B24BB"/>
    <w:rsid w:val="000B393A"/>
    <w:rsid w:val="000B686F"/>
    <w:rsid w:val="000C0B65"/>
    <w:rsid w:val="000C3F56"/>
    <w:rsid w:val="000D3C4A"/>
    <w:rsid w:val="000D6935"/>
    <w:rsid w:val="000E3D42"/>
    <w:rsid w:val="000E5734"/>
    <w:rsid w:val="000F0EDA"/>
    <w:rsid w:val="000F54E5"/>
    <w:rsid w:val="000F6B43"/>
    <w:rsid w:val="00100A5E"/>
    <w:rsid w:val="001034BC"/>
    <w:rsid w:val="001058D3"/>
    <w:rsid w:val="00107B85"/>
    <w:rsid w:val="00114938"/>
    <w:rsid w:val="00117779"/>
    <w:rsid w:val="001213F6"/>
    <w:rsid w:val="00122132"/>
    <w:rsid w:val="00122BD5"/>
    <w:rsid w:val="00123C65"/>
    <w:rsid w:val="00125010"/>
    <w:rsid w:val="001263A4"/>
    <w:rsid w:val="00126BE6"/>
    <w:rsid w:val="001401FE"/>
    <w:rsid w:val="00141667"/>
    <w:rsid w:val="001458FE"/>
    <w:rsid w:val="001463AC"/>
    <w:rsid w:val="00164C33"/>
    <w:rsid w:val="00171BA2"/>
    <w:rsid w:val="00173CF9"/>
    <w:rsid w:val="0018240B"/>
    <w:rsid w:val="001826C4"/>
    <w:rsid w:val="001934C7"/>
    <w:rsid w:val="001A2037"/>
    <w:rsid w:val="001A4326"/>
    <w:rsid w:val="001B6872"/>
    <w:rsid w:val="001C3723"/>
    <w:rsid w:val="001C697E"/>
    <w:rsid w:val="001C6BC2"/>
    <w:rsid w:val="001D232F"/>
    <w:rsid w:val="001D53CB"/>
    <w:rsid w:val="001D5863"/>
    <w:rsid w:val="001D6BCF"/>
    <w:rsid w:val="001D77E8"/>
    <w:rsid w:val="001E01CA"/>
    <w:rsid w:val="001E06C0"/>
    <w:rsid w:val="001F1011"/>
    <w:rsid w:val="001F18C8"/>
    <w:rsid w:val="001F4364"/>
    <w:rsid w:val="0021325B"/>
    <w:rsid w:val="002137DE"/>
    <w:rsid w:val="00213A7D"/>
    <w:rsid w:val="00221376"/>
    <w:rsid w:val="002216F2"/>
    <w:rsid w:val="00227A60"/>
    <w:rsid w:val="002317D5"/>
    <w:rsid w:val="002323A2"/>
    <w:rsid w:val="00234393"/>
    <w:rsid w:val="00243136"/>
    <w:rsid w:val="0024576D"/>
    <w:rsid w:val="00246986"/>
    <w:rsid w:val="00246DC0"/>
    <w:rsid w:val="002474A3"/>
    <w:rsid w:val="00251610"/>
    <w:rsid w:val="00254A9D"/>
    <w:rsid w:val="00257155"/>
    <w:rsid w:val="00257D6E"/>
    <w:rsid w:val="00261AEE"/>
    <w:rsid w:val="0026625E"/>
    <w:rsid w:val="002702D3"/>
    <w:rsid w:val="00276986"/>
    <w:rsid w:val="00277C39"/>
    <w:rsid w:val="00285017"/>
    <w:rsid w:val="00286D80"/>
    <w:rsid w:val="002900DE"/>
    <w:rsid w:val="002A2D2E"/>
    <w:rsid w:val="002A35B5"/>
    <w:rsid w:val="002A4BBA"/>
    <w:rsid w:val="002A63F8"/>
    <w:rsid w:val="002A7915"/>
    <w:rsid w:val="002B2A56"/>
    <w:rsid w:val="002B72AD"/>
    <w:rsid w:val="002B7D61"/>
    <w:rsid w:val="002C103F"/>
    <w:rsid w:val="002C12EE"/>
    <w:rsid w:val="002C1BE1"/>
    <w:rsid w:val="002D0D42"/>
    <w:rsid w:val="002D143F"/>
    <w:rsid w:val="002D6F04"/>
    <w:rsid w:val="002F16BF"/>
    <w:rsid w:val="00311478"/>
    <w:rsid w:val="00316A77"/>
    <w:rsid w:val="00320783"/>
    <w:rsid w:val="003240EF"/>
    <w:rsid w:val="003300E5"/>
    <w:rsid w:val="00334193"/>
    <w:rsid w:val="00334898"/>
    <w:rsid w:val="0033735F"/>
    <w:rsid w:val="00341783"/>
    <w:rsid w:val="003418BF"/>
    <w:rsid w:val="0034274A"/>
    <w:rsid w:val="00343749"/>
    <w:rsid w:val="00345E00"/>
    <w:rsid w:val="003527BB"/>
    <w:rsid w:val="00355F62"/>
    <w:rsid w:val="003560AC"/>
    <w:rsid w:val="003565EB"/>
    <w:rsid w:val="0035754C"/>
    <w:rsid w:val="0036505C"/>
    <w:rsid w:val="00366489"/>
    <w:rsid w:val="003707C2"/>
    <w:rsid w:val="00373820"/>
    <w:rsid w:val="00375B59"/>
    <w:rsid w:val="0038142B"/>
    <w:rsid w:val="003847EF"/>
    <w:rsid w:val="003876BC"/>
    <w:rsid w:val="00390D3C"/>
    <w:rsid w:val="00390E9F"/>
    <w:rsid w:val="0039253C"/>
    <w:rsid w:val="003976D1"/>
    <w:rsid w:val="003A69D1"/>
    <w:rsid w:val="003B03E7"/>
    <w:rsid w:val="003B0550"/>
    <w:rsid w:val="003B55C7"/>
    <w:rsid w:val="003B694F"/>
    <w:rsid w:val="003C122E"/>
    <w:rsid w:val="003D0D6A"/>
    <w:rsid w:val="003D0F0B"/>
    <w:rsid w:val="003E3B6B"/>
    <w:rsid w:val="003F0A86"/>
    <w:rsid w:val="003F171C"/>
    <w:rsid w:val="003F3B36"/>
    <w:rsid w:val="003F79E6"/>
    <w:rsid w:val="00400AF9"/>
    <w:rsid w:val="00401D41"/>
    <w:rsid w:val="00407284"/>
    <w:rsid w:val="00411C4A"/>
    <w:rsid w:val="00412A3D"/>
    <w:rsid w:val="00412FC5"/>
    <w:rsid w:val="00415556"/>
    <w:rsid w:val="00415AC0"/>
    <w:rsid w:val="004178D9"/>
    <w:rsid w:val="00422276"/>
    <w:rsid w:val="00423733"/>
    <w:rsid w:val="004242F1"/>
    <w:rsid w:val="00426B76"/>
    <w:rsid w:val="00431B35"/>
    <w:rsid w:val="00433097"/>
    <w:rsid w:val="004345F3"/>
    <w:rsid w:val="00445A00"/>
    <w:rsid w:val="00451B0F"/>
    <w:rsid w:val="00456D47"/>
    <w:rsid w:val="004609CF"/>
    <w:rsid w:val="00465A0E"/>
    <w:rsid w:val="00473BB9"/>
    <w:rsid w:val="004748E9"/>
    <w:rsid w:val="00476CE2"/>
    <w:rsid w:val="00477C96"/>
    <w:rsid w:val="00477FD7"/>
    <w:rsid w:val="00480D1C"/>
    <w:rsid w:val="004868A1"/>
    <w:rsid w:val="004869AF"/>
    <w:rsid w:val="004902A8"/>
    <w:rsid w:val="0049197C"/>
    <w:rsid w:val="00494D62"/>
    <w:rsid w:val="004A0355"/>
    <w:rsid w:val="004A1303"/>
    <w:rsid w:val="004A15A7"/>
    <w:rsid w:val="004B2B14"/>
    <w:rsid w:val="004C0AE2"/>
    <w:rsid w:val="004C2EE3"/>
    <w:rsid w:val="004D1715"/>
    <w:rsid w:val="004D2296"/>
    <w:rsid w:val="004D4BF1"/>
    <w:rsid w:val="004D66DE"/>
    <w:rsid w:val="004D6CD4"/>
    <w:rsid w:val="004E3F9F"/>
    <w:rsid w:val="004E4A22"/>
    <w:rsid w:val="004E4F12"/>
    <w:rsid w:val="004F0D3B"/>
    <w:rsid w:val="004F108F"/>
    <w:rsid w:val="004F2B1F"/>
    <w:rsid w:val="004F333F"/>
    <w:rsid w:val="0050169D"/>
    <w:rsid w:val="005047E2"/>
    <w:rsid w:val="00511968"/>
    <w:rsid w:val="005134F1"/>
    <w:rsid w:val="00513BD0"/>
    <w:rsid w:val="00524315"/>
    <w:rsid w:val="0052438E"/>
    <w:rsid w:val="005257C9"/>
    <w:rsid w:val="0053722B"/>
    <w:rsid w:val="0054245F"/>
    <w:rsid w:val="0054362A"/>
    <w:rsid w:val="005463E0"/>
    <w:rsid w:val="00546ECC"/>
    <w:rsid w:val="00547451"/>
    <w:rsid w:val="0055614C"/>
    <w:rsid w:val="0056024D"/>
    <w:rsid w:val="00562132"/>
    <w:rsid w:val="005767FA"/>
    <w:rsid w:val="0058004E"/>
    <w:rsid w:val="00581D92"/>
    <w:rsid w:val="00585C1F"/>
    <w:rsid w:val="00585EB9"/>
    <w:rsid w:val="00591B97"/>
    <w:rsid w:val="005A5C7B"/>
    <w:rsid w:val="005A6117"/>
    <w:rsid w:val="005A6A19"/>
    <w:rsid w:val="005A6D17"/>
    <w:rsid w:val="005B01D3"/>
    <w:rsid w:val="005B09CE"/>
    <w:rsid w:val="005C0B59"/>
    <w:rsid w:val="005C225F"/>
    <w:rsid w:val="005C59FF"/>
    <w:rsid w:val="005C6CAC"/>
    <w:rsid w:val="005D4DD9"/>
    <w:rsid w:val="005D5035"/>
    <w:rsid w:val="005D5F7A"/>
    <w:rsid w:val="005E1164"/>
    <w:rsid w:val="005E1D37"/>
    <w:rsid w:val="005E1F55"/>
    <w:rsid w:val="005E364C"/>
    <w:rsid w:val="005E487B"/>
    <w:rsid w:val="005F3CD8"/>
    <w:rsid w:val="005F3FB2"/>
    <w:rsid w:val="005F6F85"/>
    <w:rsid w:val="005F751C"/>
    <w:rsid w:val="0060263E"/>
    <w:rsid w:val="006038BD"/>
    <w:rsid w:val="006066CE"/>
    <w:rsid w:val="00607BA5"/>
    <w:rsid w:val="00612513"/>
    <w:rsid w:val="00615428"/>
    <w:rsid w:val="006178A3"/>
    <w:rsid w:val="00622AC5"/>
    <w:rsid w:val="00626EB6"/>
    <w:rsid w:val="0063271A"/>
    <w:rsid w:val="00636A7E"/>
    <w:rsid w:val="00655D03"/>
    <w:rsid w:val="006641CB"/>
    <w:rsid w:val="00666A54"/>
    <w:rsid w:val="0066765D"/>
    <w:rsid w:val="0067048D"/>
    <w:rsid w:val="00671E65"/>
    <w:rsid w:val="006725B4"/>
    <w:rsid w:val="00683F84"/>
    <w:rsid w:val="006854EC"/>
    <w:rsid w:val="006A1AF5"/>
    <w:rsid w:val="006A6A81"/>
    <w:rsid w:val="006A74E1"/>
    <w:rsid w:val="006B051B"/>
    <w:rsid w:val="006B2EAA"/>
    <w:rsid w:val="006C1D41"/>
    <w:rsid w:val="006C2CC2"/>
    <w:rsid w:val="006D051E"/>
    <w:rsid w:val="006D1C7E"/>
    <w:rsid w:val="006D298D"/>
    <w:rsid w:val="006D78DA"/>
    <w:rsid w:val="006E2561"/>
    <w:rsid w:val="006E585B"/>
    <w:rsid w:val="006E5B54"/>
    <w:rsid w:val="006F7393"/>
    <w:rsid w:val="006F7DF8"/>
    <w:rsid w:val="007010BC"/>
    <w:rsid w:val="0070224F"/>
    <w:rsid w:val="0070372B"/>
    <w:rsid w:val="00704982"/>
    <w:rsid w:val="00707C39"/>
    <w:rsid w:val="007115F7"/>
    <w:rsid w:val="00721A1A"/>
    <w:rsid w:val="00721CE7"/>
    <w:rsid w:val="007247A7"/>
    <w:rsid w:val="00726215"/>
    <w:rsid w:val="00727C4E"/>
    <w:rsid w:val="00737CF9"/>
    <w:rsid w:val="007469F6"/>
    <w:rsid w:val="0075201B"/>
    <w:rsid w:val="007578B9"/>
    <w:rsid w:val="00762F24"/>
    <w:rsid w:val="00776197"/>
    <w:rsid w:val="00781704"/>
    <w:rsid w:val="00781F65"/>
    <w:rsid w:val="00782CC4"/>
    <w:rsid w:val="00782CD6"/>
    <w:rsid w:val="007840C6"/>
    <w:rsid w:val="00785689"/>
    <w:rsid w:val="00785E69"/>
    <w:rsid w:val="00787BA9"/>
    <w:rsid w:val="007972D8"/>
    <w:rsid w:val="0079754B"/>
    <w:rsid w:val="007A1E6D"/>
    <w:rsid w:val="007A28B3"/>
    <w:rsid w:val="007A3EDE"/>
    <w:rsid w:val="007A4C97"/>
    <w:rsid w:val="007A4FF7"/>
    <w:rsid w:val="007A644E"/>
    <w:rsid w:val="007A6AF7"/>
    <w:rsid w:val="007B026B"/>
    <w:rsid w:val="007B668B"/>
    <w:rsid w:val="007B7251"/>
    <w:rsid w:val="007C06FA"/>
    <w:rsid w:val="007C2F4D"/>
    <w:rsid w:val="007C351A"/>
    <w:rsid w:val="007C6C22"/>
    <w:rsid w:val="007D0899"/>
    <w:rsid w:val="007D5752"/>
    <w:rsid w:val="007D5EF8"/>
    <w:rsid w:val="007E4C2E"/>
    <w:rsid w:val="007E7484"/>
    <w:rsid w:val="007E75B5"/>
    <w:rsid w:val="007F5535"/>
    <w:rsid w:val="00806EB0"/>
    <w:rsid w:val="00817DCD"/>
    <w:rsid w:val="00821DD0"/>
    <w:rsid w:val="00822CE0"/>
    <w:rsid w:val="00827C57"/>
    <w:rsid w:val="00834945"/>
    <w:rsid w:val="00834B26"/>
    <w:rsid w:val="00841AB1"/>
    <w:rsid w:val="0085236B"/>
    <w:rsid w:val="008551C9"/>
    <w:rsid w:val="00855E63"/>
    <w:rsid w:val="00862AB5"/>
    <w:rsid w:val="00863427"/>
    <w:rsid w:val="008645AC"/>
    <w:rsid w:val="00873E22"/>
    <w:rsid w:val="00874B91"/>
    <w:rsid w:val="00874E4A"/>
    <w:rsid w:val="00876AF4"/>
    <w:rsid w:val="00885300"/>
    <w:rsid w:val="008863CC"/>
    <w:rsid w:val="00892CC3"/>
    <w:rsid w:val="00893EE7"/>
    <w:rsid w:val="008976CF"/>
    <w:rsid w:val="008A1046"/>
    <w:rsid w:val="008B6D3C"/>
    <w:rsid w:val="008C014D"/>
    <w:rsid w:val="008C246C"/>
    <w:rsid w:val="008C2BAF"/>
    <w:rsid w:val="008C388B"/>
    <w:rsid w:val="008C5207"/>
    <w:rsid w:val="008C5E6F"/>
    <w:rsid w:val="008C6404"/>
    <w:rsid w:val="008D7AA1"/>
    <w:rsid w:val="008E06A6"/>
    <w:rsid w:val="0090279F"/>
    <w:rsid w:val="009034CB"/>
    <w:rsid w:val="00913207"/>
    <w:rsid w:val="00917339"/>
    <w:rsid w:val="00921803"/>
    <w:rsid w:val="00925526"/>
    <w:rsid w:val="00926503"/>
    <w:rsid w:val="00927DD2"/>
    <w:rsid w:val="00935BE8"/>
    <w:rsid w:val="00941595"/>
    <w:rsid w:val="0094275B"/>
    <w:rsid w:val="00946A8F"/>
    <w:rsid w:val="00953DEF"/>
    <w:rsid w:val="00954974"/>
    <w:rsid w:val="00957F4C"/>
    <w:rsid w:val="00961704"/>
    <w:rsid w:val="009625E9"/>
    <w:rsid w:val="00962FDB"/>
    <w:rsid w:val="00982DC0"/>
    <w:rsid w:val="00985EB3"/>
    <w:rsid w:val="009963DC"/>
    <w:rsid w:val="009A6A7B"/>
    <w:rsid w:val="009B5A56"/>
    <w:rsid w:val="009B6436"/>
    <w:rsid w:val="009B79BB"/>
    <w:rsid w:val="009B7B6D"/>
    <w:rsid w:val="009C5C12"/>
    <w:rsid w:val="009D172F"/>
    <w:rsid w:val="009D23B9"/>
    <w:rsid w:val="009D608E"/>
    <w:rsid w:val="009E06CD"/>
    <w:rsid w:val="009E26F5"/>
    <w:rsid w:val="009E6499"/>
    <w:rsid w:val="009E7540"/>
    <w:rsid w:val="009E7652"/>
    <w:rsid w:val="00A010D5"/>
    <w:rsid w:val="00A022EE"/>
    <w:rsid w:val="00A11A67"/>
    <w:rsid w:val="00A15E31"/>
    <w:rsid w:val="00A210C1"/>
    <w:rsid w:val="00A2186D"/>
    <w:rsid w:val="00A227D7"/>
    <w:rsid w:val="00A24D1A"/>
    <w:rsid w:val="00A45435"/>
    <w:rsid w:val="00A45F4F"/>
    <w:rsid w:val="00A600A9"/>
    <w:rsid w:val="00A6296C"/>
    <w:rsid w:val="00A6775F"/>
    <w:rsid w:val="00A7704A"/>
    <w:rsid w:val="00A85D46"/>
    <w:rsid w:val="00A96D72"/>
    <w:rsid w:val="00AA3A00"/>
    <w:rsid w:val="00AA55B7"/>
    <w:rsid w:val="00AA5B9E"/>
    <w:rsid w:val="00AB2407"/>
    <w:rsid w:val="00AB53DF"/>
    <w:rsid w:val="00AB59C0"/>
    <w:rsid w:val="00AB716D"/>
    <w:rsid w:val="00AB7B92"/>
    <w:rsid w:val="00AC12B9"/>
    <w:rsid w:val="00AC23B9"/>
    <w:rsid w:val="00AC57C3"/>
    <w:rsid w:val="00AC78B0"/>
    <w:rsid w:val="00AC7BB3"/>
    <w:rsid w:val="00AD2318"/>
    <w:rsid w:val="00AD4F67"/>
    <w:rsid w:val="00AD53E4"/>
    <w:rsid w:val="00AD6C65"/>
    <w:rsid w:val="00AE4609"/>
    <w:rsid w:val="00AE7279"/>
    <w:rsid w:val="00AE7DF3"/>
    <w:rsid w:val="00AF78C4"/>
    <w:rsid w:val="00B006E7"/>
    <w:rsid w:val="00B04B1E"/>
    <w:rsid w:val="00B07E5C"/>
    <w:rsid w:val="00B10443"/>
    <w:rsid w:val="00B2491E"/>
    <w:rsid w:val="00B312BD"/>
    <w:rsid w:val="00B32622"/>
    <w:rsid w:val="00B36483"/>
    <w:rsid w:val="00B54FE0"/>
    <w:rsid w:val="00B55147"/>
    <w:rsid w:val="00B601C9"/>
    <w:rsid w:val="00B727D2"/>
    <w:rsid w:val="00B811F7"/>
    <w:rsid w:val="00B81739"/>
    <w:rsid w:val="00B821CC"/>
    <w:rsid w:val="00B8473E"/>
    <w:rsid w:val="00B85A5F"/>
    <w:rsid w:val="00B86C46"/>
    <w:rsid w:val="00B87357"/>
    <w:rsid w:val="00B87EF7"/>
    <w:rsid w:val="00B94249"/>
    <w:rsid w:val="00BA592D"/>
    <w:rsid w:val="00BA5DC6"/>
    <w:rsid w:val="00BA6196"/>
    <w:rsid w:val="00BA7490"/>
    <w:rsid w:val="00BB31D7"/>
    <w:rsid w:val="00BB52BE"/>
    <w:rsid w:val="00BC178C"/>
    <w:rsid w:val="00BC6D8C"/>
    <w:rsid w:val="00BD4B7D"/>
    <w:rsid w:val="00BD7207"/>
    <w:rsid w:val="00BE2AA0"/>
    <w:rsid w:val="00BE358D"/>
    <w:rsid w:val="00BE363A"/>
    <w:rsid w:val="00BF0DD5"/>
    <w:rsid w:val="00BF4130"/>
    <w:rsid w:val="00C00CBD"/>
    <w:rsid w:val="00C02F13"/>
    <w:rsid w:val="00C16B86"/>
    <w:rsid w:val="00C34006"/>
    <w:rsid w:val="00C37012"/>
    <w:rsid w:val="00C426B1"/>
    <w:rsid w:val="00C5138C"/>
    <w:rsid w:val="00C51C66"/>
    <w:rsid w:val="00C57377"/>
    <w:rsid w:val="00C60ED1"/>
    <w:rsid w:val="00C734DD"/>
    <w:rsid w:val="00C775DE"/>
    <w:rsid w:val="00C8740B"/>
    <w:rsid w:val="00C903CB"/>
    <w:rsid w:val="00C90554"/>
    <w:rsid w:val="00C90D6A"/>
    <w:rsid w:val="00C97400"/>
    <w:rsid w:val="00CA247E"/>
    <w:rsid w:val="00CA500C"/>
    <w:rsid w:val="00CA7A6C"/>
    <w:rsid w:val="00CB2388"/>
    <w:rsid w:val="00CC3B8E"/>
    <w:rsid w:val="00CC72B6"/>
    <w:rsid w:val="00CD68CA"/>
    <w:rsid w:val="00CE135B"/>
    <w:rsid w:val="00CE1BF7"/>
    <w:rsid w:val="00CE41C5"/>
    <w:rsid w:val="00CE613A"/>
    <w:rsid w:val="00CF1A5B"/>
    <w:rsid w:val="00CF3212"/>
    <w:rsid w:val="00D003DC"/>
    <w:rsid w:val="00D017AA"/>
    <w:rsid w:val="00D01D94"/>
    <w:rsid w:val="00D0218D"/>
    <w:rsid w:val="00D02A96"/>
    <w:rsid w:val="00D03743"/>
    <w:rsid w:val="00D110DC"/>
    <w:rsid w:val="00D1284D"/>
    <w:rsid w:val="00D13859"/>
    <w:rsid w:val="00D1396D"/>
    <w:rsid w:val="00D24FB3"/>
    <w:rsid w:val="00D253B1"/>
    <w:rsid w:val="00D27005"/>
    <w:rsid w:val="00D31398"/>
    <w:rsid w:val="00D37596"/>
    <w:rsid w:val="00D42D19"/>
    <w:rsid w:val="00D45720"/>
    <w:rsid w:val="00D46AEB"/>
    <w:rsid w:val="00D5092D"/>
    <w:rsid w:val="00D553AF"/>
    <w:rsid w:val="00D56EFE"/>
    <w:rsid w:val="00D576FA"/>
    <w:rsid w:val="00D63B79"/>
    <w:rsid w:val="00D73E59"/>
    <w:rsid w:val="00D75E3E"/>
    <w:rsid w:val="00D8268F"/>
    <w:rsid w:val="00D86429"/>
    <w:rsid w:val="00D93763"/>
    <w:rsid w:val="00D95F88"/>
    <w:rsid w:val="00D97B98"/>
    <w:rsid w:val="00D97F1F"/>
    <w:rsid w:val="00DA1C41"/>
    <w:rsid w:val="00DA2529"/>
    <w:rsid w:val="00DB130A"/>
    <w:rsid w:val="00DB6249"/>
    <w:rsid w:val="00DC0F1F"/>
    <w:rsid w:val="00DC10A1"/>
    <w:rsid w:val="00DC3BAF"/>
    <w:rsid w:val="00DC4BF9"/>
    <w:rsid w:val="00DC5F64"/>
    <w:rsid w:val="00DC655F"/>
    <w:rsid w:val="00DD0B59"/>
    <w:rsid w:val="00DD5E0C"/>
    <w:rsid w:val="00DD6F2C"/>
    <w:rsid w:val="00DD7624"/>
    <w:rsid w:val="00DD7EBD"/>
    <w:rsid w:val="00DE11D0"/>
    <w:rsid w:val="00DE285F"/>
    <w:rsid w:val="00DE35F1"/>
    <w:rsid w:val="00DE53E7"/>
    <w:rsid w:val="00DE5BDD"/>
    <w:rsid w:val="00DE677A"/>
    <w:rsid w:val="00DE6D21"/>
    <w:rsid w:val="00DE7B8B"/>
    <w:rsid w:val="00DF462E"/>
    <w:rsid w:val="00DF51EC"/>
    <w:rsid w:val="00DF62B6"/>
    <w:rsid w:val="00E0193A"/>
    <w:rsid w:val="00E0311B"/>
    <w:rsid w:val="00E04A24"/>
    <w:rsid w:val="00E07225"/>
    <w:rsid w:val="00E13CCB"/>
    <w:rsid w:val="00E23262"/>
    <w:rsid w:val="00E24A40"/>
    <w:rsid w:val="00E4274C"/>
    <w:rsid w:val="00E432D0"/>
    <w:rsid w:val="00E45A2E"/>
    <w:rsid w:val="00E45E96"/>
    <w:rsid w:val="00E511B3"/>
    <w:rsid w:val="00E5409F"/>
    <w:rsid w:val="00E567D1"/>
    <w:rsid w:val="00E56D8B"/>
    <w:rsid w:val="00E57387"/>
    <w:rsid w:val="00E61E21"/>
    <w:rsid w:val="00E700B5"/>
    <w:rsid w:val="00E71BBE"/>
    <w:rsid w:val="00E72289"/>
    <w:rsid w:val="00E745B1"/>
    <w:rsid w:val="00E80D0A"/>
    <w:rsid w:val="00E81707"/>
    <w:rsid w:val="00E91B5A"/>
    <w:rsid w:val="00E95160"/>
    <w:rsid w:val="00E97D7B"/>
    <w:rsid w:val="00EA0EA9"/>
    <w:rsid w:val="00EA2F72"/>
    <w:rsid w:val="00EA6FA9"/>
    <w:rsid w:val="00EB3113"/>
    <w:rsid w:val="00EC33F6"/>
    <w:rsid w:val="00EC66AF"/>
    <w:rsid w:val="00EC7367"/>
    <w:rsid w:val="00ED3850"/>
    <w:rsid w:val="00EE2613"/>
    <w:rsid w:val="00EE6488"/>
    <w:rsid w:val="00F021FA"/>
    <w:rsid w:val="00F02F3E"/>
    <w:rsid w:val="00F033C4"/>
    <w:rsid w:val="00F0351A"/>
    <w:rsid w:val="00F0537F"/>
    <w:rsid w:val="00F1262F"/>
    <w:rsid w:val="00F16797"/>
    <w:rsid w:val="00F20C5B"/>
    <w:rsid w:val="00F23C25"/>
    <w:rsid w:val="00F2568D"/>
    <w:rsid w:val="00F27393"/>
    <w:rsid w:val="00F27727"/>
    <w:rsid w:val="00F27DFA"/>
    <w:rsid w:val="00F40021"/>
    <w:rsid w:val="00F42D0A"/>
    <w:rsid w:val="00F43CAB"/>
    <w:rsid w:val="00F471A7"/>
    <w:rsid w:val="00F50979"/>
    <w:rsid w:val="00F54BA7"/>
    <w:rsid w:val="00F62E97"/>
    <w:rsid w:val="00F64209"/>
    <w:rsid w:val="00F70295"/>
    <w:rsid w:val="00F86254"/>
    <w:rsid w:val="00F93BF5"/>
    <w:rsid w:val="00F96919"/>
    <w:rsid w:val="00FA1F90"/>
    <w:rsid w:val="00FA264C"/>
    <w:rsid w:val="00FA6F86"/>
    <w:rsid w:val="00FA72F7"/>
    <w:rsid w:val="00FA7599"/>
    <w:rsid w:val="00FB0D11"/>
    <w:rsid w:val="00FC0485"/>
    <w:rsid w:val="00FC3B9C"/>
    <w:rsid w:val="00FC5B64"/>
    <w:rsid w:val="00FC7335"/>
    <w:rsid w:val="00FD6753"/>
    <w:rsid w:val="00FD7404"/>
    <w:rsid w:val="00FE4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7279"/>
    <w:pPr>
      <w:keepNext/>
      <w:widowControl/>
      <w:numPr>
        <w:ilvl w:val="1"/>
        <w:numId w:val="3"/>
      </w:numPr>
      <w:spacing w:after="2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sid w:val="00636A7E"/>
    <w:rPr>
      <w:sz w:val="20"/>
    </w:rPr>
  </w:style>
  <w:style w:type="character" w:styleId="EndnoteReference">
    <w:name w:val="endnote reference"/>
    <w:semiHidden/>
    <w:rsid w:val="00636A7E"/>
    <w:rPr>
      <w:vertAlign w:val="superscript"/>
    </w:rPr>
  </w:style>
  <w:style w:type="paragraph" w:styleId="FootnoteText">
    <w:name w:val="footnote text"/>
    <w:aliases w:val="rrfootnote,Footnote Text Char1,Footnote Text Char Char,rrfootnote Char Char,rrfootnote Char1,Footnote Text Char,rrfootnote Char,Footnote Text Char1 Char,Footnote Text Char Char Char,Footnote Text Char1 Char Char Char"/>
    <w:link w:val="FootnoteTextChar2"/>
    <w:rsid w:val="000E3D42"/>
    <w:pPr>
      <w:spacing w:after="120"/>
    </w:pPr>
  </w:style>
  <w:style w:type="character" w:styleId="FootnoteReference">
    <w:name w:val="footnote reference"/>
    <w:aliases w:val="Style 12,(NECG) Footnote Reference,Appel note de bas de p,Style 124,Style 4,Style 13,o,fr,Style 3"/>
    <w:semiHidden/>
    <w:rsid w:val="00636A7E"/>
    <w:rPr>
      <w:rFonts w:ascii="Times New Roman" w:hAnsi="Times New Roman"/>
      <w:dstrike w:val="0"/>
      <w:color w:val="auto"/>
      <w:sz w:val="22"/>
      <w:vertAlign w:val="superscript"/>
    </w:rPr>
  </w:style>
  <w:style w:type="paragraph" w:styleId="TOC1">
    <w:name w:val="toc 1"/>
    <w:basedOn w:val="Normal"/>
    <w:next w:val="Normal"/>
    <w:semiHidden/>
    <w:rsid w:val="00636A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6A7E"/>
    <w:pPr>
      <w:tabs>
        <w:tab w:val="left" w:pos="720"/>
        <w:tab w:val="right" w:leader="dot" w:pos="9360"/>
      </w:tabs>
      <w:suppressAutoHyphens/>
      <w:ind w:left="720" w:right="720" w:hanging="360"/>
    </w:pPr>
    <w:rPr>
      <w:noProof/>
    </w:rPr>
  </w:style>
  <w:style w:type="paragraph" w:styleId="TOC3">
    <w:name w:val="toc 3"/>
    <w:basedOn w:val="Normal"/>
    <w:next w:val="Normal"/>
    <w:semiHidden/>
    <w:rsid w:val="00636A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6A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6A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6A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6A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6A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6A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6A7E"/>
    <w:pPr>
      <w:tabs>
        <w:tab w:val="right" w:pos="9360"/>
      </w:tabs>
      <w:suppressAutoHyphens/>
    </w:pPr>
  </w:style>
  <w:style w:type="character" w:customStyle="1" w:styleId="EquationCaption">
    <w:name w:val="_Equation Caption"/>
    <w:rsid w:val="00636A7E"/>
  </w:style>
  <w:style w:type="paragraph" w:styleId="Header">
    <w:name w:val="header"/>
    <w:basedOn w:val="Normal"/>
    <w:autoRedefine/>
    <w:rsid w:val="00636A7E"/>
    <w:pPr>
      <w:tabs>
        <w:tab w:val="center" w:pos="4680"/>
        <w:tab w:val="right" w:pos="9360"/>
      </w:tabs>
    </w:pPr>
    <w:rPr>
      <w:b/>
    </w:rPr>
  </w:style>
  <w:style w:type="paragraph" w:styleId="Footer">
    <w:name w:val="footer"/>
    <w:basedOn w:val="Normal"/>
    <w:rsid w:val="00636A7E"/>
    <w:pPr>
      <w:tabs>
        <w:tab w:val="center" w:pos="4320"/>
        <w:tab w:val="right" w:pos="8640"/>
      </w:tabs>
    </w:pPr>
  </w:style>
  <w:style w:type="character" w:styleId="PageNumber">
    <w:name w:val="page number"/>
    <w:basedOn w:val="DefaultParagraphFont"/>
    <w:rsid w:val="00636A7E"/>
  </w:style>
  <w:style w:type="paragraph" w:styleId="BlockText">
    <w:name w:val="Block Text"/>
    <w:basedOn w:val="Normal"/>
    <w:rsid w:val="00636A7E"/>
    <w:pPr>
      <w:spacing w:after="240"/>
      <w:ind w:left="1440" w:right="1440"/>
    </w:pPr>
  </w:style>
  <w:style w:type="paragraph" w:customStyle="1" w:styleId="Paratitle">
    <w:name w:val="Para title"/>
    <w:basedOn w:val="Normal"/>
    <w:rsid w:val="00636A7E"/>
    <w:pPr>
      <w:tabs>
        <w:tab w:val="center" w:pos="9270"/>
      </w:tabs>
      <w:spacing w:after="240"/>
    </w:pPr>
    <w:rPr>
      <w:spacing w:val="-2"/>
    </w:rPr>
  </w:style>
  <w:style w:type="paragraph" w:customStyle="1" w:styleId="Bullet">
    <w:name w:val="Bullet"/>
    <w:basedOn w:val="Normal"/>
    <w:rsid w:val="00636A7E"/>
    <w:pPr>
      <w:numPr>
        <w:numId w:val="1"/>
      </w:numPr>
      <w:tabs>
        <w:tab w:val="clear" w:pos="360"/>
        <w:tab w:val="left" w:pos="2160"/>
      </w:tabs>
      <w:spacing w:after="220"/>
      <w:ind w:left="2160" w:hanging="720"/>
    </w:pPr>
  </w:style>
  <w:style w:type="paragraph" w:customStyle="1" w:styleId="TableFormat">
    <w:name w:val="TableFormat"/>
    <w:basedOn w:val="Bullet"/>
    <w:rsid w:val="00636A7E"/>
    <w:pPr>
      <w:numPr>
        <w:numId w:val="0"/>
      </w:numPr>
      <w:tabs>
        <w:tab w:val="clear" w:pos="2160"/>
        <w:tab w:val="left" w:pos="5040"/>
      </w:tabs>
      <w:ind w:left="5040" w:hanging="3600"/>
    </w:pPr>
  </w:style>
  <w:style w:type="paragraph" w:customStyle="1" w:styleId="TOCTitle">
    <w:name w:val="TOC Title"/>
    <w:basedOn w:val="Normal"/>
    <w:rsid w:val="00636A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2,Footnote Text Char1 Char1,Footnote Text Char Char Char1,rrfootnote Char Char Char,rrfootnote Char1 Char,Footnote Text Char Char1,rrfootnote Char Char1,Footnote Text Char1 Char Char,Footnote Text Char Char Char Char"/>
    <w:link w:val="FootnoteText"/>
    <w:rsid w:val="00015FE4"/>
    <w:rPr>
      <w:lang w:val="en-US" w:eastAsia="en-US" w:bidi="ar-SA"/>
    </w:rPr>
  </w:style>
  <w:style w:type="character" w:customStyle="1" w:styleId="documentbody">
    <w:name w:val="documentbody"/>
    <w:rsid w:val="00015FE4"/>
  </w:style>
  <w:style w:type="character" w:customStyle="1" w:styleId="searchterm">
    <w:name w:val="searchterm"/>
    <w:rsid w:val="00015FE4"/>
  </w:style>
  <w:style w:type="paragraph" w:styleId="ListParagraph">
    <w:name w:val="List Paragraph"/>
    <w:basedOn w:val="Normal"/>
    <w:qFormat/>
    <w:rsid w:val="00015FE4"/>
    <w:pPr>
      <w:autoSpaceDE w:val="0"/>
      <w:autoSpaceDN w:val="0"/>
      <w:adjustRightInd w:val="0"/>
      <w:ind w:left="720"/>
    </w:pPr>
    <w:rPr>
      <w:snapToGrid/>
      <w:kern w:val="0"/>
      <w:sz w:val="20"/>
    </w:rPr>
  </w:style>
  <w:style w:type="character" w:customStyle="1" w:styleId="ParaNumChar">
    <w:name w:val="ParaNum Char"/>
    <w:link w:val="ParaNum"/>
    <w:locked/>
    <w:rsid w:val="00015FE4"/>
    <w:rPr>
      <w:snapToGrid w:val="0"/>
      <w:kern w:val="28"/>
      <w:sz w:val="22"/>
    </w:rPr>
  </w:style>
  <w:style w:type="paragraph" w:styleId="BalloonText">
    <w:name w:val="Balloon Text"/>
    <w:basedOn w:val="Normal"/>
    <w:semiHidden/>
    <w:rsid w:val="00DC5F64"/>
    <w:rPr>
      <w:rFonts w:ascii="Tahoma" w:hAnsi="Tahoma" w:cs="Tahoma"/>
      <w:sz w:val="16"/>
      <w:szCs w:val="16"/>
    </w:rPr>
  </w:style>
  <w:style w:type="character" w:styleId="CommentReference">
    <w:name w:val="annotation reference"/>
    <w:semiHidden/>
    <w:rsid w:val="00311478"/>
    <w:rPr>
      <w:sz w:val="16"/>
      <w:szCs w:val="16"/>
    </w:rPr>
  </w:style>
  <w:style w:type="paragraph" w:styleId="CommentText">
    <w:name w:val="annotation text"/>
    <w:basedOn w:val="Normal"/>
    <w:semiHidden/>
    <w:rsid w:val="00311478"/>
    <w:rPr>
      <w:sz w:val="20"/>
    </w:rPr>
  </w:style>
  <w:style w:type="paragraph" w:styleId="CommentSubject">
    <w:name w:val="annotation subject"/>
    <w:basedOn w:val="CommentText"/>
    <w:next w:val="CommentText"/>
    <w:semiHidden/>
    <w:rsid w:val="00311478"/>
    <w:rPr>
      <w:b/>
      <w:bCs/>
    </w:rPr>
  </w:style>
  <w:style w:type="character" w:customStyle="1" w:styleId="rrfootnoteCharCharCharChar">
    <w:name w:val="rrfootnote Char Char Char Char"/>
    <w:aliases w:val="Footnote Text Char Char Char Char Char,Footnote Text Char1 Char Char Char Char Char"/>
    <w:rsid w:val="009963DC"/>
  </w:style>
  <w:style w:type="paragraph" w:styleId="Caption">
    <w:name w:val="caption"/>
    <w:basedOn w:val="Normal"/>
    <w:next w:val="Normal"/>
    <w:qFormat/>
    <w:rsid w:val="009963DC"/>
    <w:pPr>
      <w:widowControl/>
      <w:spacing w:before="120" w:after="120"/>
    </w:pPr>
    <w:rPr>
      <w:b/>
      <w:snapToGrid/>
      <w:kern w:val="0"/>
    </w:rPr>
  </w:style>
  <w:style w:type="paragraph" w:styleId="PlainText">
    <w:name w:val="Plain Text"/>
    <w:basedOn w:val="Normal"/>
    <w:link w:val="PlainTextChar"/>
    <w:uiPriority w:val="99"/>
    <w:unhideWhenUsed/>
    <w:rsid w:val="009963DC"/>
    <w:pPr>
      <w:widowControl/>
    </w:pPr>
    <w:rPr>
      <w:rFonts w:ascii="Calibri" w:eastAsia="Calibri" w:hAnsi="Calibri"/>
      <w:snapToGrid/>
      <w:kern w:val="0"/>
      <w:szCs w:val="21"/>
    </w:rPr>
  </w:style>
  <w:style w:type="character" w:customStyle="1" w:styleId="PlainTextChar">
    <w:name w:val="Plain Text Char"/>
    <w:link w:val="PlainText"/>
    <w:uiPriority w:val="99"/>
    <w:rsid w:val="009963DC"/>
    <w:rPr>
      <w:rFonts w:ascii="Calibri" w:eastAsia="Calibri" w:hAnsi="Calibri"/>
      <w:sz w:val="22"/>
      <w:szCs w:val="21"/>
    </w:rPr>
  </w:style>
  <w:style w:type="paragraph" w:styleId="Revision">
    <w:name w:val="Revision"/>
    <w:hidden/>
    <w:uiPriority w:val="99"/>
    <w:semiHidden/>
    <w:rsid w:val="00BA592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7279"/>
    <w:pPr>
      <w:keepNext/>
      <w:widowControl/>
      <w:numPr>
        <w:ilvl w:val="1"/>
        <w:numId w:val="3"/>
      </w:numPr>
      <w:spacing w:after="2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sid w:val="00636A7E"/>
    <w:rPr>
      <w:sz w:val="20"/>
    </w:rPr>
  </w:style>
  <w:style w:type="character" w:styleId="EndnoteReference">
    <w:name w:val="endnote reference"/>
    <w:semiHidden/>
    <w:rsid w:val="00636A7E"/>
    <w:rPr>
      <w:vertAlign w:val="superscript"/>
    </w:rPr>
  </w:style>
  <w:style w:type="paragraph" w:styleId="FootnoteText">
    <w:name w:val="footnote text"/>
    <w:aliases w:val="rrfootnote,Footnote Text Char1,Footnote Text Char Char,rrfootnote Char Char,rrfootnote Char1,Footnote Text Char,rrfootnote Char,Footnote Text Char1 Char,Footnote Text Char Char Char,Footnote Text Char1 Char Char Char"/>
    <w:link w:val="FootnoteTextChar2"/>
    <w:rsid w:val="000E3D42"/>
    <w:pPr>
      <w:spacing w:after="120"/>
    </w:pPr>
  </w:style>
  <w:style w:type="character" w:styleId="FootnoteReference">
    <w:name w:val="footnote reference"/>
    <w:aliases w:val="Style 12,(NECG) Footnote Reference,Appel note de bas de p,Style 124,Style 4,Style 13,o,fr,Style 3"/>
    <w:semiHidden/>
    <w:rsid w:val="00636A7E"/>
    <w:rPr>
      <w:rFonts w:ascii="Times New Roman" w:hAnsi="Times New Roman"/>
      <w:dstrike w:val="0"/>
      <w:color w:val="auto"/>
      <w:sz w:val="22"/>
      <w:vertAlign w:val="superscript"/>
    </w:rPr>
  </w:style>
  <w:style w:type="paragraph" w:styleId="TOC1">
    <w:name w:val="toc 1"/>
    <w:basedOn w:val="Normal"/>
    <w:next w:val="Normal"/>
    <w:semiHidden/>
    <w:rsid w:val="00636A7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6A7E"/>
    <w:pPr>
      <w:tabs>
        <w:tab w:val="left" w:pos="720"/>
        <w:tab w:val="right" w:leader="dot" w:pos="9360"/>
      </w:tabs>
      <w:suppressAutoHyphens/>
      <w:ind w:left="720" w:right="720" w:hanging="360"/>
    </w:pPr>
    <w:rPr>
      <w:noProof/>
    </w:rPr>
  </w:style>
  <w:style w:type="paragraph" w:styleId="TOC3">
    <w:name w:val="toc 3"/>
    <w:basedOn w:val="Normal"/>
    <w:next w:val="Normal"/>
    <w:semiHidden/>
    <w:rsid w:val="00636A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6A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6A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6A7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6A7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6A7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6A7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6A7E"/>
    <w:pPr>
      <w:tabs>
        <w:tab w:val="right" w:pos="9360"/>
      </w:tabs>
      <w:suppressAutoHyphens/>
    </w:pPr>
  </w:style>
  <w:style w:type="character" w:customStyle="1" w:styleId="EquationCaption">
    <w:name w:val="_Equation Caption"/>
    <w:rsid w:val="00636A7E"/>
  </w:style>
  <w:style w:type="paragraph" w:styleId="Header">
    <w:name w:val="header"/>
    <w:basedOn w:val="Normal"/>
    <w:autoRedefine/>
    <w:rsid w:val="00636A7E"/>
    <w:pPr>
      <w:tabs>
        <w:tab w:val="center" w:pos="4680"/>
        <w:tab w:val="right" w:pos="9360"/>
      </w:tabs>
    </w:pPr>
    <w:rPr>
      <w:b/>
    </w:rPr>
  </w:style>
  <w:style w:type="paragraph" w:styleId="Footer">
    <w:name w:val="footer"/>
    <w:basedOn w:val="Normal"/>
    <w:rsid w:val="00636A7E"/>
    <w:pPr>
      <w:tabs>
        <w:tab w:val="center" w:pos="4320"/>
        <w:tab w:val="right" w:pos="8640"/>
      </w:tabs>
    </w:pPr>
  </w:style>
  <w:style w:type="character" w:styleId="PageNumber">
    <w:name w:val="page number"/>
    <w:basedOn w:val="DefaultParagraphFont"/>
    <w:rsid w:val="00636A7E"/>
  </w:style>
  <w:style w:type="paragraph" w:styleId="BlockText">
    <w:name w:val="Block Text"/>
    <w:basedOn w:val="Normal"/>
    <w:rsid w:val="00636A7E"/>
    <w:pPr>
      <w:spacing w:after="240"/>
      <w:ind w:left="1440" w:right="1440"/>
    </w:pPr>
  </w:style>
  <w:style w:type="paragraph" w:customStyle="1" w:styleId="Paratitle">
    <w:name w:val="Para title"/>
    <w:basedOn w:val="Normal"/>
    <w:rsid w:val="00636A7E"/>
    <w:pPr>
      <w:tabs>
        <w:tab w:val="center" w:pos="9270"/>
      </w:tabs>
      <w:spacing w:after="240"/>
    </w:pPr>
    <w:rPr>
      <w:spacing w:val="-2"/>
    </w:rPr>
  </w:style>
  <w:style w:type="paragraph" w:customStyle="1" w:styleId="Bullet">
    <w:name w:val="Bullet"/>
    <w:basedOn w:val="Normal"/>
    <w:rsid w:val="00636A7E"/>
    <w:pPr>
      <w:numPr>
        <w:numId w:val="1"/>
      </w:numPr>
      <w:tabs>
        <w:tab w:val="clear" w:pos="360"/>
        <w:tab w:val="left" w:pos="2160"/>
      </w:tabs>
      <w:spacing w:after="220"/>
      <w:ind w:left="2160" w:hanging="720"/>
    </w:pPr>
  </w:style>
  <w:style w:type="paragraph" w:customStyle="1" w:styleId="TableFormat">
    <w:name w:val="TableFormat"/>
    <w:basedOn w:val="Bullet"/>
    <w:rsid w:val="00636A7E"/>
    <w:pPr>
      <w:numPr>
        <w:numId w:val="0"/>
      </w:numPr>
      <w:tabs>
        <w:tab w:val="clear" w:pos="2160"/>
        <w:tab w:val="left" w:pos="5040"/>
      </w:tabs>
      <w:ind w:left="5040" w:hanging="3600"/>
    </w:pPr>
  </w:style>
  <w:style w:type="paragraph" w:customStyle="1" w:styleId="TOCTitle">
    <w:name w:val="TOC Title"/>
    <w:basedOn w:val="Normal"/>
    <w:rsid w:val="00636A7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2,Footnote Text Char1 Char1,Footnote Text Char Char Char1,rrfootnote Char Char Char,rrfootnote Char1 Char,Footnote Text Char Char1,rrfootnote Char Char1,Footnote Text Char1 Char Char,Footnote Text Char Char Char Char"/>
    <w:link w:val="FootnoteText"/>
    <w:rsid w:val="00015FE4"/>
    <w:rPr>
      <w:lang w:val="en-US" w:eastAsia="en-US" w:bidi="ar-SA"/>
    </w:rPr>
  </w:style>
  <w:style w:type="character" w:customStyle="1" w:styleId="documentbody">
    <w:name w:val="documentbody"/>
    <w:rsid w:val="00015FE4"/>
  </w:style>
  <w:style w:type="character" w:customStyle="1" w:styleId="searchterm">
    <w:name w:val="searchterm"/>
    <w:rsid w:val="00015FE4"/>
  </w:style>
  <w:style w:type="paragraph" w:styleId="ListParagraph">
    <w:name w:val="List Paragraph"/>
    <w:basedOn w:val="Normal"/>
    <w:qFormat/>
    <w:rsid w:val="00015FE4"/>
    <w:pPr>
      <w:autoSpaceDE w:val="0"/>
      <w:autoSpaceDN w:val="0"/>
      <w:adjustRightInd w:val="0"/>
      <w:ind w:left="720"/>
    </w:pPr>
    <w:rPr>
      <w:snapToGrid/>
      <w:kern w:val="0"/>
      <w:sz w:val="20"/>
    </w:rPr>
  </w:style>
  <w:style w:type="character" w:customStyle="1" w:styleId="ParaNumChar">
    <w:name w:val="ParaNum Char"/>
    <w:link w:val="ParaNum"/>
    <w:locked/>
    <w:rsid w:val="00015FE4"/>
    <w:rPr>
      <w:snapToGrid w:val="0"/>
      <w:kern w:val="28"/>
      <w:sz w:val="22"/>
    </w:rPr>
  </w:style>
  <w:style w:type="paragraph" w:styleId="BalloonText">
    <w:name w:val="Balloon Text"/>
    <w:basedOn w:val="Normal"/>
    <w:semiHidden/>
    <w:rsid w:val="00DC5F64"/>
    <w:rPr>
      <w:rFonts w:ascii="Tahoma" w:hAnsi="Tahoma" w:cs="Tahoma"/>
      <w:sz w:val="16"/>
      <w:szCs w:val="16"/>
    </w:rPr>
  </w:style>
  <w:style w:type="character" w:styleId="CommentReference">
    <w:name w:val="annotation reference"/>
    <w:semiHidden/>
    <w:rsid w:val="00311478"/>
    <w:rPr>
      <w:sz w:val="16"/>
      <w:szCs w:val="16"/>
    </w:rPr>
  </w:style>
  <w:style w:type="paragraph" w:styleId="CommentText">
    <w:name w:val="annotation text"/>
    <w:basedOn w:val="Normal"/>
    <w:semiHidden/>
    <w:rsid w:val="00311478"/>
    <w:rPr>
      <w:sz w:val="20"/>
    </w:rPr>
  </w:style>
  <w:style w:type="paragraph" w:styleId="CommentSubject">
    <w:name w:val="annotation subject"/>
    <w:basedOn w:val="CommentText"/>
    <w:next w:val="CommentText"/>
    <w:semiHidden/>
    <w:rsid w:val="00311478"/>
    <w:rPr>
      <w:b/>
      <w:bCs/>
    </w:rPr>
  </w:style>
  <w:style w:type="character" w:customStyle="1" w:styleId="rrfootnoteCharCharCharChar">
    <w:name w:val="rrfootnote Char Char Char Char"/>
    <w:aliases w:val="Footnote Text Char Char Char Char Char,Footnote Text Char1 Char Char Char Char Char"/>
    <w:rsid w:val="009963DC"/>
  </w:style>
  <w:style w:type="paragraph" w:styleId="Caption">
    <w:name w:val="caption"/>
    <w:basedOn w:val="Normal"/>
    <w:next w:val="Normal"/>
    <w:qFormat/>
    <w:rsid w:val="009963DC"/>
    <w:pPr>
      <w:widowControl/>
      <w:spacing w:before="120" w:after="120"/>
    </w:pPr>
    <w:rPr>
      <w:b/>
      <w:snapToGrid/>
      <w:kern w:val="0"/>
    </w:rPr>
  </w:style>
  <w:style w:type="paragraph" w:styleId="PlainText">
    <w:name w:val="Plain Text"/>
    <w:basedOn w:val="Normal"/>
    <w:link w:val="PlainTextChar"/>
    <w:uiPriority w:val="99"/>
    <w:unhideWhenUsed/>
    <w:rsid w:val="009963DC"/>
    <w:pPr>
      <w:widowControl/>
    </w:pPr>
    <w:rPr>
      <w:rFonts w:ascii="Calibri" w:eastAsia="Calibri" w:hAnsi="Calibri"/>
      <w:snapToGrid/>
      <w:kern w:val="0"/>
      <w:szCs w:val="21"/>
    </w:rPr>
  </w:style>
  <w:style w:type="character" w:customStyle="1" w:styleId="PlainTextChar">
    <w:name w:val="Plain Text Char"/>
    <w:link w:val="PlainText"/>
    <w:uiPriority w:val="99"/>
    <w:rsid w:val="009963DC"/>
    <w:rPr>
      <w:rFonts w:ascii="Calibri" w:eastAsia="Calibri" w:hAnsi="Calibri"/>
      <w:sz w:val="22"/>
      <w:szCs w:val="21"/>
    </w:rPr>
  </w:style>
  <w:style w:type="paragraph" w:styleId="Revision">
    <w:name w:val="Revision"/>
    <w:hidden/>
    <w:uiPriority w:val="99"/>
    <w:semiHidden/>
    <w:rsid w:val="00BA592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678">
      <w:bodyDiv w:val="1"/>
      <w:marLeft w:val="0"/>
      <w:marRight w:val="0"/>
      <w:marTop w:val="28"/>
      <w:marBottom w:val="28"/>
      <w:divBdr>
        <w:top w:val="none" w:sz="0" w:space="0" w:color="auto"/>
        <w:left w:val="none" w:sz="0" w:space="0" w:color="auto"/>
        <w:bottom w:val="none" w:sz="0" w:space="0" w:color="auto"/>
        <w:right w:val="none" w:sz="0" w:space="0" w:color="auto"/>
      </w:divBdr>
      <w:divsChild>
        <w:div w:id="338041291">
          <w:marLeft w:val="0"/>
          <w:marRight w:val="0"/>
          <w:marTop w:val="0"/>
          <w:marBottom w:val="0"/>
          <w:divBdr>
            <w:top w:val="none" w:sz="0" w:space="0" w:color="auto"/>
            <w:left w:val="none" w:sz="0" w:space="0" w:color="auto"/>
            <w:bottom w:val="none" w:sz="0" w:space="0" w:color="auto"/>
            <w:right w:val="none" w:sz="0" w:space="0" w:color="auto"/>
          </w:divBdr>
          <w:divsChild>
            <w:div w:id="40599545">
              <w:marLeft w:val="0"/>
              <w:marRight w:val="0"/>
              <w:marTop w:val="0"/>
              <w:marBottom w:val="0"/>
              <w:divBdr>
                <w:top w:val="none" w:sz="0" w:space="0" w:color="auto"/>
                <w:left w:val="none" w:sz="0" w:space="0" w:color="auto"/>
                <w:bottom w:val="none" w:sz="0" w:space="0" w:color="auto"/>
                <w:right w:val="none" w:sz="0" w:space="0" w:color="auto"/>
              </w:divBdr>
              <w:divsChild>
                <w:div w:id="134959123">
                  <w:marLeft w:val="0"/>
                  <w:marRight w:val="0"/>
                  <w:marTop w:val="0"/>
                  <w:marBottom w:val="0"/>
                  <w:divBdr>
                    <w:top w:val="none" w:sz="0" w:space="0" w:color="auto"/>
                    <w:left w:val="none" w:sz="0" w:space="0" w:color="auto"/>
                    <w:bottom w:val="none" w:sz="0" w:space="0" w:color="auto"/>
                    <w:right w:val="none" w:sz="0" w:space="0" w:color="auto"/>
                  </w:divBdr>
                  <w:divsChild>
                    <w:div w:id="1916474806">
                      <w:marLeft w:val="0"/>
                      <w:marRight w:val="0"/>
                      <w:marTop w:val="0"/>
                      <w:marBottom w:val="0"/>
                      <w:divBdr>
                        <w:top w:val="none" w:sz="0" w:space="0" w:color="auto"/>
                        <w:left w:val="none" w:sz="0" w:space="0" w:color="auto"/>
                        <w:bottom w:val="none" w:sz="0" w:space="0" w:color="auto"/>
                        <w:right w:val="none" w:sz="0" w:space="0" w:color="auto"/>
                      </w:divBdr>
                      <w:divsChild>
                        <w:div w:id="208884351">
                          <w:marLeft w:val="0"/>
                          <w:marRight w:val="0"/>
                          <w:marTop w:val="28"/>
                          <w:marBottom w:val="0"/>
                          <w:divBdr>
                            <w:top w:val="none" w:sz="0" w:space="0" w:color="auto"/>
                            <w:left w:val="none" w:sz="0" w:space="0" w:color="auto"/>
                            <w:bottom w:val="none" w:sz="0" w:space="0" w:color="auto"/>
                            <w:right w:val="none" w:sz="0" w:space="0" w:color="auto"/>
                          </w:divBdr>
                          <w:divsChild>
                            <w:div w:id="1676879938">
                              <w:marLeft w:val="0"/>
                              <w:marRight w:val="0"/>
                              <w:marTop w:val="0"/>
                              <w:marBottom w:val="0"/>
                              <w:divBdr>
                                <w:top w:val="none" w:sz="0" w:space="0" w:color="auto"/>
                                <w:left w:val="none" w:sz="0" w:space="0" w:color="auto"/>
                                <w:bottom w:val="none" w:sz="0" w:space="0" w:color="auto"/>
                                <w:right w:val="none" w:sz="0" w:space="0" w:color="auto"/>
                              </w:divBdr>
                              <w:divsChild>
                                <w:div w:id="1074085418">
                                  <w:marLeft w:val="6572"/>
                                  <w:marRight w:val="0"/>
                                  <w:marTop w:val="0"/>
                                  <w:marBottom w:val="0"/>
                                  <w:divBdr>
                                    <w:top w:val="none" w:sz="0" w:space="0" w:color="auto"/>
                                    <w:left w:val="none" w:sz="0" w:space="0" w:color="auto"/>
                                    <w:bottom w:val="none" w:sz="0" w:space="0" w:color="auto"/>
                                    <w:right w:val="none" w:sz="0" w:space="0" w:color="auto"/>
                                  </w:divBdr>
                                  <w:divsChild>
                                    <w:div w:id="750003624">
                                      <w:marLeft w:val="0"/>
                                      <w:marRight w:val="0"/>
                                      <w:marTop w:val="0"/>
                                      <w:marBottom w:val="0"/>
                                      <w:divBdr>
                                        <w:top w:val="none" w:sz="0" w:space="0" w:color="auto"/>
                                        <w:left w:val="none" w:sz="0" w:space="0" w:color="auto"/>
                                        <w:bottom w:val="none" w:sz="0" w:space="0" w:color="auto"/>
                                        <w:right w:val="none" w:sz="0" w:space="0" w:color="auto"/>
                                      </w:divBdr>
                                      <w:divsChild>
                                        <w:div w:id="11689111">
                                          <w:marLeft w:val="18"/>
                                          <w:marRight w:val="18"/>
                                          <w:marTop w:val="55"/>
                                          <w:marBottom w:val="148"/>
                                          <w:divBdr>
                                            <w:top w:val="none" w:sz="0" w:space="0" w:color="auto"/>
                                            <w:left w:val="none" w:sz="0" w:space="0" w:color="auto"/>
                                            <w:bottom w:val="none" w:sz="0" w:space="0" w:color="auto"/>
                                            <w:right w:val="none" w:sz="0" w:space="0" w:color="auto"/>
                                          </w:divBdr>
                                          <w:divsChild>
                                            <w:div w:id="361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29342">
      <w:bodyDiv w:val="1"/>
      <w:marLeft w:val="0"/>
      <w:marRight w:val="0"/>
      <w:marTop w:val="0"/>
      <w:marBottom w:val="0"/>
      <w:divBdr>
        <w:top w:val="none" w:sz="0" w:space="0" w:color="auto"/>
        <w:left w:val="none" w:sz="0" w:space="0" w:color="auto"/>
        <w:bottom w:val="none" w:sz="0" w:space="0" w:color="auto"/>
        <w:right w:val="none" w:sz="0" w:space="0" w:color="auto"/>
      </w:divBdr>
    </w:div>
    <w:div w:id="1727220132">
      <w:bodyDiv w:val="1"/>
      <w:marLeft w:val="0"/>
      <w:marRight w:val="0"/>
      <w:marTop w:val="0"/>
      <w:marBottom w:val="0"/>
      <w:divBdr>
        <w:top w:val="none" w:sz="0" w:space="0" w:color="auto"/>
        <w:left w:val="none" w:sz="0" w:space="0" w:color="auto"/>
        <w:bottom w:val="none" w:sz="0" w:space="0" w:color="auto"/>
        <w:right w:val="none" w:sz="0" w:space="0" w:color="auto"/>
      </w:divBdr>
    </w:div>
    <w:div w:id="18157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5231</Words>
  <Characters>29244</Characters>
  <Application>Microsoft Office Word</Application>
  <DocSecurity>0</DocSecurity>
  <Lines>424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34631</CharactersWithSpaces>
  <SharedDoc>false</SharedDoc>
  <HyperlinkBase> </HyperlinkBase>
  <HLinks>
    <vt:vector size="48" baseType="variant">
      <vt:variant>
        <vt:i4>1835128</vt:i4>
      </vt:variant>
      <vt:variant>
        <vt:i4>15</vt:i4>
      </vt:variant>
      <vt:variant>
        <vt:i4>0</vt:i4>
      </vt:variant>
      <vt:variant>
        <vt:i4>5</vt:i4>
      </vt:variant>
      <vt:variant>
        <vt:lpwstr>mailto:SCR-Response@fcc.gov</vt:lpwstr>
      </vt:variant>
      <vt:variant>
        <vt:lpwstr/>
      </vt:variant>
      <vt:variant>
        <vt:i4>8126550</vt:i4>
      </vt:variant>
      <vt:variant>
        <vt:i4>12</vt:i4>
      </vt:variant>
      <vt:variant>
        <vt:i4>0</vt:i4>
      </vt:variant>
      <vt:variant>
        <vt:i4>5</vt:i4>
      </vt:variant>
      <vt:variant>
        <vt:lpwstr>mailto:ARINQUIRIES@fcc.gov</vt:lpwstr>
      </vt:variant>
      <vt:variant>
        <vt:lpwstr/>
      </vt:variant>
      <vt:variant>
        <vt:i4>1835128</vt:i4>
      </vt:variant>
      <vt:variant>
        <vt:i4>9</vt:i4>
      </vt:variant>
      <vt:variant>
        <vt:i4>0</vt:i4>
      </vt:variant>
      <vt:variant>
        <vt:i4>5</vt:i4>
      </vt:variant>
      <vt:variant>
        <vt:lpwstr>mailto:SCR-Response@fcc.gov</vt:lpwstr>
      </vt:variant>
      <vt:variant>
        <vt:lpwstr/>
      </vt:variant>
      <vt:variant>
        <vt:i4>1835128</vt:i4>
      </vt:variant>
      <vt:variant>
        <vt:i4>6</vt:i4>
      </vt:variant>
      <vt:variant>
        <vt:i4>0</vt:i4>
      </vt:variant>
      <vt:variant>
        <vt:i4>5</vt:i4>
      </vt:variant>
      <vt:variant>
        <vt:lpwstr>mailto:SCR-Response@fcc.gov</vt:lpwstr>
      </vt:variant>
      <vt:variant>
        <vt:lpwstr/>
      </vt:variant>
      <vt:variant>
        <vt:i4>458823</vt:i4>
      </vt:variant>
      <vt:variant>
        <vt:i4>9</vt:i4>
      </vt:variant>
      <vt:variant>
        <vt:i4>0</vt:i4>
      </vt:variant>
      <vt:variant>
        <vt:i4>5</vt:i4>
      </vt:variant>
      <vt:variant>
        <vt:lpwstr>http://ir.towerstream.com/releasedetail.cfm?ReleaseID=749233</vt:lpwstr>
      </vt:variant>
      <vt:variant>
        <vt:lpwstr/>
      </vt:variant>
      <vt:variant>
        <vt:i4>6815864</vt:i4>
      </vt:variant>
      <vt:variant>
        <vt:i4>6</vt:i4>
      </vt:variant>
      <vt:variant>
        <vt:i4>0</vt:i4>
      </vt:variant>
      <vt:variant>
        <vt:i4>5</vt:i4>
      </vt:variant>
      <vt:variant>
        <vt:lpwstr>http://ir.towerstream.com/</vt:lpwstr>
      </vt:variant>
      <vt:variant>
        <vt:lpwstr/>
      </vt:variant>
      <vt:variant>
        <vt:i4>4325444</vt:i4>
      </vt:variant>
      <vt:variant>
        <vt:i4>3</vt:i4>
      </vt:variant>
      <vt:variant>
        <vt:i4>0</vt:i4>
      </vt:variant>
      <vt:variant>
        <vt:i4>5</vt:i4>
      </vt:variant>
      <vt:variant>
        <vt:lpwstr>http://transition.fcc.gov/eb/uniitdwr.pdf</vt:lpwstr>
      </vt:variant>
      <vt:variant>
        <vt:lpwstr/>
      </vt:variant>
      <vt:variant>
        <vt:i4>786505</vt:i4>
      </vt:variant>
      <vt:variant>
        <vt:i4>0</vt:i4>
      </vt:variant>
      <vt:variant>
        <vt:i4>0</vt:i4>
      </vt:variant>
      <vt:variant>
        <vt:i4>5</vt:i4>
      </vt:variant>
      <vt:variant>
        <vt:lpwstr>http://www.ll.mit.edu/mission/aviation/faawxsystems/tdwr.html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2013-08-05T20:42:00Z</dcterms:created>
  <dcterms:modified xsi:type="dcterms:W3CDTF">2013-08-05T20:42:00Z</dcterms:modified>
  <cp:category> </cp:category>
  <cp:contentStatus> </cp:contentStatus>
</cp:coreProperties>
</file>