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17" w:rsidRPr="00F205BE" w:rsidRDefault="00811317" w:rsidP="00E8622E">
      <w:pPr>
        <w:tabs>
          <w:tab w:val="left" w:pos="2340"/>
        </w:tabs>
        <w:spacing w:after="0" w:line="240" w:lineRule="auto"/>
        <w:jc w:val="center"/>
        <w:rPr>
          <w:rFonts w:ascii="Times New Roman" w:hAnsi="Times New Roman" w:cs="Times New Roman"/>
          <w:b/>
        </w:rPr>
      </w:pPr>
      <w:bookmarkStart w:id="0" w:name="_GoBack"/>
      <w:bookmarkEnd w:id="0"/>
      <w:r w:rsidRPr="00F205BE">
        <w:rPr>
          <w:rFonts w:ascii="Times New Roman" w:hAnsi="Times New Roman" w:cs="Times New Roman"/>
          <w:b/>
        </w:rPr>
        <w:t>Before the</w:t>
      </w:r>
    </w:p>
    <w:p w:rsidR="00811317" w:rsidRPr="00F205BE" w:rsidRDefault="00811317" w:rsidP="00E8622E">
      <w:pPr>
        <w:spacing w:after="0" w:line="240" w:lineRule="auto"/>
        <w:jc w:val="center"/>
        <w:rPr>
          <w:rFonts w:ascii="Times New Roman" w:hAnsi="Times New Roman" w:cs="Times New Roman"/>
          <w:b/>
        </w:rPr>
      </w:pPr>
      <w:r w:rsidRPr="00F205BE">
        <w:rPr>
          <w:rFonts w:ascii="Times New Roman" w:hAnsi="Times New Roman" w:cs="Times New Roman"/>
          <w:b/>
        </w:rPr>
        <w:t>Federal Communications Commission</w:t>
      </w:r>
    </w:p>
    <w:p w:rsidR="00811317" w:rsidRPr="00F205BE" w:rsidRDefault="00811317" w:rsidP="00E8622E">
      <w:pPr>
        <w:spacing w:after="0" w:line="240" w:lineRule="auto"/>
        <w:jc w:val="center"/>
        <w:rPr>
          <w:rFonts w:ascii="Times New Roman" w:hAnsi="Times New Roman" w:cs="Times New Roman"/>
          <w:b/>
        </w:rPr>
      </w:pPr>
      <w:r w:rsidRPr="00F205BE">
        <w:rPr>
          <w:rFonts w:ascii="Times New Roman" w:hAnsi="Times New Roman" w:cs="Times New Roman"/>
          <w:b/>
        </w:rPr>
        <w:t>Washington, D.C. 20554</w:t>
      </w:r>
    </w:p>
    <w:p w:rsidR="00811317" w:rsidRPr="00F205BE" w:rsidRDefault="00811317" w:rsidP="00E8622E">
      <w:pPr>
        <w:tabs>
          <w:tab w:val="left" w:pos="-720"/>
        </w:tabs>
        <w:suppressAutoHyphens/>
        <w:spacing w:after="0" w:line="240" w:lineRule="auto"/>
        <w:rPr>
          <w:rFonts w:ascii="Times New Roman" w:hAnsi="Times New Roman" w:cs="Times New Roman"/>
          <w:spacing w:val="-2"/>
        </w:rPr>
      </w:pPr>
    </w:p>
    <w:p w:rsidR="00D87812" w:rsidRPr="00F205BE" w:rsidRDefault="00D87812" w:rsidP="00E8622E">
      <w:pPr>
        <w:tabs>
          <w:tab w:val="left" w:pos="-720"/>
        </w:tabs>
        <w:suppressAutoHyphens/>
        <w:spacing w:after="0" w:line="240" w:lineRule="auto"/>
        <w:rPr>
          <w:rFonts w:ascii="Times New Roman" w:hAnsi="Times New Roman" w:cs="Times New Roman"/>
          <w:spacing w:val="-2"/>
        </w:rPr>
      </w:pPr>
    </w:p>
    <w:tbl>
      <w:tblPr>
        <w:tblW w:w="0" w:type="auto"/>
        <w:tblLayout w:type="fixed"/>
        <w:tblLook w:val="0000" w:firstRow="0" w:lastRow="0" w:firstColumn="0" w:lastColumn="0" w:noHBand="0" w:noVBand="0"/>
      </w:tblPr>
      <w:tblGrid>
        <w:gridCol w:w="4698"/>
        <w:gridCol w:w="630"/>
        <w:gridCol w:w="4248"/>
      </w:tblGrid>
      <w:tr w:rsidR="00811317" w:rsidRPr="00F205BE" w:rsidTr="007F5097">
        <w:trPr>
          <w:trHeight w:val="2061"/>
        </w:trPr>
        <w:tc>
          <w:tcPr>
            <w:tcW w:w="4698" w:type="dxa"/>
          </w:tcPr>
          <w:p w:rsidR="00811317" w:rsidRPr="00F205BE" w:rsidRDefault="00811317"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In the Matter of</w:t>
            </w:r>
          </w:p>
          <w:p w:rsidR="00811317" w:rsidRPr="00F205BE" w:rsidRDefault="00811317" w:rsidP="00E8622E">
            <w:pPr>
              <w:tabs>
                <w:tab w:val="center" w:pos="4680"/>
              </w:tabs>
              <w:suppressAutoHyphens/>
              <w:spacing w:after="0" w:line="240" w:lineRule="auto"/>
              <w:rPr>
                <w:rFonts w:ascii="Times New Roman" w:hAnsi="Times New Roman" w:cs="Times New Roman"/>
                <w:spacing w:val="-2"/>
              </w:rPr>
            </w:pPr>
          </w:p>
          <w:p w:rsidR="00811317" w:rsidRPr="00F205BE" w:rsidRDefault="00811317" w:rsidP="00E8622E">
            <w:pPr>
              <w:spacing w:after="0" w:line="240" w:lineRule="auto"/>
              <w:rPr>
                <w:rFonts w:ascii="Times New Roman" w:hAnsi="Times New Roman" w:cs="Times New Roman"/>
              </w:rPr>
            </w:pPr>
            <w:r w:rsidRPr="00F205BE">
              <w:rPr>
                <w:rFonts w:ascii="Times New Roman" w:hAnsi="Times New Roman" w:cs="Times New Roman"/>
              </w:rPr>
              <w:t>Amendment of Section 73.202(b),</w:t>
            </w:r>
          </w:p>
          <w:p w:rsidR="00811317" w:rsidRPr="00F205BE" w:rsidRDefault="00811317" w:rsidP="00E8622E">
            <w:pPr>
              <w:spacing w:after="0" w:line="240" w:lineRule="auto"/>
              <w:rPr>
                <w:rFonts w:ascii="Times New Roman" w:hAnsi="Times New Roman" w:cs="Times New Roman"/>
              </w:rPr>
            </w:pPr>
            <w:r w:rsidRPr="00F205BE">
              <w:rPr>
                <w:rFonts w:ascii="Times New Roman" w:hAnsi="Times New Roman" w:cs="Times New Roman"/>
              </w:rPr>
              <w:t>Table of Allotments,</w:t>
            </w:r>
          </w:p>
          <w:p w:rsidR="00811317" w:rsidRPr="00F205BE" w:rsidRDefault="00811317" w:rsidP="00E8622E">
            <w:pPr>
              <w:spacing w:after="0" w:line="240" w:lineRule="auto"/>
              <w:rPr>
                <w:rFonts w:ascii="Times New Roman" w:hAnsi="Times New Roman" w:cs="Times New Roman"/>
              </w:rPr>
            </w:pPr>
            <w:r w:rsidRPr="00F205BE">
              <w:rPr>
                <w:rFonts w:ascii="Times New Roman" w:hAnsi="Times New Roman" w:cs="Times New Roman"/>
              </w:rPr>
              <w:t>FM Broadcast Stations.</w:t>
            </w:r>
          </w:p>
          <w:p w:rsidR="0027390D" w:rsidRPr="00F205BE" w:rsidRDefault="00811317" w:rsidP="00E8622E">
            <w:pPr>
              <w:spacing w:after="0" w:line="240" w:lineRule="auto"/>
              <w:rPr>
                <w:rFonts w:ascii="Times New Roman" w:hAnsi="Times New Roman" w:cs="Times New Roman"/>
              </w:rPr>
            </w:pPr>
            <w:r w:rsidRPr="00F205BE">
              <w:rPr>
                <w:rFonts w:ascii="Times New Roman" w:hAnsi="Times New Roman" w:cs="Times New Roman"/>
              </w:rPr>
              <w:t>(</w:t>
            </w:r>
            <w:r w:rsidR="00615110" w:rsidRPr="00F205BE">
              <w:rPr>
                <w:rFonts w:ascii="Times New Roman" w:hAnsi="Times New Roman" w:cs="Times New Roman"/>
              </w:rPr>
              <w:t>Magnolia, Arkansas, and Oil City,</w:t>
            </w:r>
            <w:r w:rsidR="0027390D" w:rsidRPr="00F205BE">
              <w:rPr>
                <w:rFonts w:ascii="Times New Roman" w:hAnsi="Times New Roman" w:cs="Times New Roman"/>
              </w:rPr>
              <w:t xml:space="preserve"> </w:t>
            </w:r>
          </w:p>
          <w:p w:rsidR="00811317" w:rsidRPr="00F205BE" w:rsidRDefault="00615110" w:rsidP="00E8622E">
            <w:pPr>
              <w:spacing w:after="0" w:line="240" w:lineRule="auto"/>
              <w:rPr>
                <w:rFonts w:ascii="Times New Roman" w:hAnsi="Times New Roman" w:cs="Times New Roman"/>
              </w:rPr>
            </w:pPr>
            <w:r w:rsidRPr="00F205BE">
              <w:rPr>
                <w:rFonts w:ascii="Times New Roman" w:hAnsi="Times New Roman" w:cs="Times New Roman"/>
              </w:rPr>
              <w:t>Louisiana</w:t>
            </w:r>
            <w:r w:rsidR="00811317" w:rsidRPr="00F205BE">
              <w:rPr>
                <w:rFonts w:ascii="Times New Roman" w:hAnsi="Times New Roman" w:cs="Times New Roman"/>
              </w:rPr>
              <w:t>)</w:t>
            </w:r>
          </w:p>
        </w:tc>
        <w:tc>
          <w:tcPr>
            <w:tcW w:w="630" w:type="dxa"/>
          </w:tcPr>
          <w:p w:rsidR="00811317"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811317"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w:t>
            </w:r>
          </w:p>
          <w:p w:rsidR="0027390D" w:rsidRPr="00F205BE" w:rsidRDefault="0027390D" w:rsidP="00E8622E">
            <w:pPr>
              <w:tabs>
                <w:tab w:val="center" w:pos="4680"/>
              </w:tabs>
              <w:suppressAutoHyphens/>
              <w:spacing w:after="0" w:line="240" w:lineRule="auto"/>
              <w:rPr>
                <w:rFonts w:ascii="Times New Roman" w:hAnsi="Times New Roman" w:cs="Times New Roman"/>
                <w:spacing w:val="-2"/>
              </w:rPr>
            </w:pPr>
          </w:p>
        </w:tc>
        <w:tc>
          <w:tcPr>
            <w:tcW w:w="4248" w:type="dxa"/>
          </w:tcPr>
          <w:p w:rsidR="00811317" w:rsidRPr="00F205BE" w:rsidRDefault="00811317" w:rsidP="00E8622E">
            <w:pPr>
              <w:tabs>
                <w:tab w:val="center" w:pos="4680"/>
              </w:tabs>
              <w:suppressAutoHyphens/>
              <w:spacing w:after="0" w:line="240" w:lineRule="auto"/>
              <w:rPr>
                <w:rFonts w:ascii="Times New Roman" w:hAnsi="Times New Roman" w:cs="Times New Roman"/>
                <w:spacing w:val="-2"/>
              </w:rPr>
            </w:pPr>
          </w:p>
          <w:p w:rsidR="00D87812" w:rsidRPr="00F205BE" w:rsidRDefault="00D87812" w:rsidP="00E8622E">
            <w:pPr>
              <w:tabs>
                <w:tab w:val="center" w:pos="4680"/>
              </w:tabs>
              <w:suppressAutoHyphens/>
              <w:spacing w:after="0" w:line="240" w:lineRule="auto"/>
              <w:rPr>
                <w:rFonts w:ascii="Times New Roman" w:hAnsi="Times New Roman" w:cs="Times New Roman"/>
                <w:spacing w:val="-2"/>
              </w:rPr>
            </w:pPr>
          </w:p>
          <w:p w:rsidR="00811317" w:rsidRPr="00F205BE" w:rsidRDefault="00811317"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M</w:t>
            </w:r>
            <w:r w:rsidR="00AC17C3" w:rsidRPr="00F205BE">
              <w:rPr>
                <w:rFonts w:ascii="Times New Roman" w:hAnsi="Times New Roman" w:cs="Times New Roman"/>
                <w:spacing w:val="-2"/>
              </w:rPr>
              <w:t>B</w:t>
            </w:r>
            <w:r w:rsidRPr="00F205BE">
              <w:rPr>
                <w:rFonts w:ascii="Times New Roman" w:hAnsi="Times New Roman" w:cs="Times New Roman"/>
                <w:spacing w:val="-2"/>
              </w:rPr>
              <w:t xml:space="preserve"> Docket No. </w:t>
            </w:r>
            <w:r w:rsidR="00C6134A" w:rsidRPr="00F205BE">
              <w:rPr>
                <w:rFonts w:ascii="Times New Roman" w:hAnsi="Times New Roman" w:cs="Times New Roman"/>
                <w:spacing w:val="-2"/>
              </w:rPr>
              <w:t>0</w:t>
            </w:r>
            <w:r w:rsidR="00EF1891" w:rsidRPr="00F205BE">
              <w:rPr>
                <w:rFonts w:ascii="Times New Roman" w:hAnsi="Times New Roman" w:cs="Times New Roman"/>
                <w:spacing w:val="-2"/>
              </w:rPr>
              <w:t>2</w:t>
            </w:r>
            <w:r w:rsidRPr="00F205BE">
              <w:rPr>
                <w:rFonts w:ascii="Times New Roman" w:hAnsi="Times New Roman" w:cs="Times New Roman"/>
                <w:spacing w:val="-2"/>
              </w:rPr>
              <w:t>-</w:t>
            </w:r>
            <w:r w:rsidR="00615110" w:rsidRPr="00F205BE">
              <w:rPr>
                <w:rFonts w:ascii="Times New Roman" w:hAnsi="Times New Roman" w:cs="Times New Roman"/>
                <w:spacing w:val="-2"/>
              </w:rPr>
              <w:t>199</w:t>
            </w:r>
          </w:p>
          <w:p w:rsidR="00811317" w:rsidRPr="00F205BE" w:rsidRDefault="00811317" w:rsidP="00E8622E">
            <w:pPr>
              <w:tabs>
                <w:tab w:val="center" w:pos="4680"/>
              </w:tabs>
              <w:suppressAutoHyphens/>
              <w:spacing w:after="0" w:line="240" w:lineRule="auto"/>
              <w:rPr>
                <w:rFonts w:ascii="Times New Roman" w:hAnsi="Times New Roman" w:cs="Times New Roman"/>
                <w:spacing w:val="-2"/>
              </w:rPr>
            </w:pPr>
            <w:r w:rsidRPr="00F205BE">
              <w:rPr>
                <w:rFonts w:ascii="Times New Roman" w:hAnsi="Times New Roman" w:cs="Times New Roman"/>
                <w:spacing w:val="-2"/>
              </w:rPr>
              <w:t>RM-</w:t>
            </w:r>
            <w:r w:rsidR="00C6134A" w:rsidRPr="00F205BE">
              <w:rPr>
                <w:rFonts w:ascii="Times New Roman" w:hAnsi="Times New Roman" w:cs="Times New Roman"/>
                <w:spacing w:val="-2"/>
              </w:rPr>
              <w:t>1</w:t>
            </w:r>
            <w:r w:rsidR="0003300E" w:rsidRPr="00F205BE">
              <w:rPr>
                <w:rFonts w:ascii="Times New Roman" w:hAnsi="Times New Roman" w:cs="Times New Roman"/>
                <w:spacing w:val="-2"/>
              </w:rPr>
              <w:t>0</w:t>
            </w:r>
            <w:r w:rsidR="00EF1891" w:rsidRPr="00F205BE">
              <w:rPr>
                <w:rFonts w:ascii="Times New Roman" w:hAnsi="Times New Roman" w:cs="Times New Roman"/>
                <w:spacing w:val="-2"/>
              </w:rPr>
              <w:t>5</w:t>
            </w:r>
            <w:r w:rsidR="00615110" w:rsidRPr="00F205BE">
              <w:rPr>
                <w:rFonts w:ascii="Times New Roman" w:hAnsi="Times New Roman" w:cs="Times New Roman"/>
                <w:spacing w:val="-2"/>
              </w:rPr>
              <w:t>14</w:t>
            </w:r>
          </w:p>
        </w:tc>
      </w:tr>
    </w:tbl>
    <w:p w:rsidR="00B41A3C" w:rsidRPr="00F205BE" w:rsidRDefault="00B41A3C" w:rsidP="00E8622E">
      <w:pPr>
        <w:tabs>
          <w:tab w:val="left" w:pos="720"/>
          <w:tab w:val="left" w:pos="5760"/>
        </w:tabs>
        <w:suppressAutoHyphens/>
        <w:spacing w:after="0" w:line="240" w:lineRule="auto"/>
        <w:jc w:val="center"/>
        <w:rPr>
          <w:rFonts w:ascii="Times New Roman" w:hAnsi="Times New Roman" w:cs="Times New Roman"/>
          <w:b/>
          <w:spacing w:val="-2"/>
        </w:rPr>
      </w:pPr>
      <w:r w:rsidRPr="00F205BE">
        <w:rPr>
          <w:rFonts w:ascii="Times New Roman" w:hAnsi="Times New Roman" w:cs="Times New Roman"/>
          <w:b/>
          <w:spacing w:val="-2"/>
        </w:rPr>
        <w:t>MEMORANDUM OPINION AND ORDER</w:t>
      </w:r>
    </w:p>
    <w:p w:rsidR="005C607B" w:rsidRPr="00F205BE" w:rsidRDefault="005C607B" w:rsidP="00E8622E">
      <w:pPr>
        <w:tabs>
          <w:tab w:val="left" w:pos="720"/>
          <w:tab w:val="left" w:pos="5760"/>
        </w:tabs>
        <w:suppressAutoHyphens/>
        <w:spacing w:after="0" w:line="240" w:lineRule="auto"/>
        <w:rPr>
          <w:rFonts w:ascii="Times New Roman" w:hAnsi="Times New Roman" w:cs="Times New Roman"/>
          <w:b/>
          <w:spacing w:val="-2"/>
        </w:rPr>
      </w:pPr>
    </w:p>
    <w:p w:rsidR="00811317" w:rsidRPr="00F205BE" w:rsidRDefault="00811317" w:rsidP="00E8622E">
      <w:pPr>
        <w:tabs>
          <w:tab w:val="left" w:pos="720"/>
          <w:tab w:val="left" w:pos="5760"/>
        </w:tabs>
        <w:suppressAutoHyphens/>
        <w:spacing w:after="0" w:line="240" w:lineRule="auto"/>
        <w:rPr>
          <w:rFonts w:ascii="Times New Roman" w:hAnsi="Times New Roman" w:cs="Times New Roman"/>
          <w:spacing w:val="-2"/>
        </w:rPr>
      </w:pPr>
      <w:r w:rsidRPr="00F205BE">
        <w:rPr>
          <w:rFonts w:ascii="Times New Roman" w:hAnsi="Times New Roman" w:cs="Times New Roman"/>
          <w:b/>
          <w:spacing w:val="-2"/>
        </w:rPr>
        <w:t>Adopted:</w:t>
      </w:r>
      <w:r w:rsidR="008E3191" w:rsidRPr="00F205BE">
        <w:rPr>
          <w:rFonts w:ascii="Times New Roman" w:hAnsi="Times New Roman" w:cs="Times New Roman"/>
          <w:b/>
          <w:spacing w:val="-2"/>
        </w:rPr>
        <w:t xml:space="preserve">  August 14, 2013</w:t>
      </w:r>
      <w:r w:rsidR="0087006B" w:rsidRPr="00F205BE">
        <w:rPr>
          <w:rFonts w:ascii="Times New Roman" w:hAnsi="Times New Roman" w:cs="Times New Roman"/>
          <w:b/>
          <w:spacing w:val="-2"/>
        </w:rPr>
        <w:tab/>
      </w:r>
      <w:r w:rsidR="0087006B" w:rsidRPr="00F205BE">
        <w:rPr>
          <w:rFonts w:ascii="Times New Roman" w:hAnsi="Times New Roman" w:cs="Times New Roman"/>
          <w:b/>
          <w:spacing w:val="-2"/>
        </w:rPr>
        <w:tab/>
      </w:r>
      <w:r w:rsidR="00E5774A" w:rsidRPr="00F205BE">
        <w:rPr>
          <w:rFonts w:ascii="Times New Roman" w:hAnsi="Times New Roman" w:cs="Times New Roman"/>
          <w:b/>
          <w:spacing w:val="-2"/>
        </w:rPr>
        <w:t xml:space="preserve"> </w:t>
      </w:r>
      <w:r w:rsidRPr="00F205BE">
        <w:rPr>
          <w:rFonts w:ascii="Times New Roman" w:hAnsi="Times New Roman" w:cs="Times New Roman"/>
          <w:b/>
          <w:spacing w:val="-2"/>
        </w:rPr>
        <w:t>Released:</w:t>
      </w:r>
      <w:r w:rsidR="00B579DD" w:rsidRPr="00F205BE">
        <w:rPr>
          <w:rFonts w:ascii="Times New Roman" w:hAnsi="Times New Roman" w:cs="Times New Roman"/>
          <w:b/>
          <w:spacing w:val="-2"/>
        </w:rPr>
        <w:t xml:space="preserve"> </w:t>
      </w:r>
      <w:r w:rsidR="00FC3875" w:rsidRPr="00F205BE">
        <w:rPr>
          <w:rFonts w:ascii="Times New Roman" w:hAnsi="Times New Roman" w:cs="Times New Roman"/>
          <w:b/>
          <w:spacing w:val="-2"/>
        </w:rPr>
        <w:t xml:space="preserve"> </w:t>
      </w:r>
      <w:r w:rsidR="008E3191" w:rsidRPr="00F205BE">
        <w:rPr>
          <w:rFonts w:ascii="Times New Roman" w:hAnsi="Times New Roman" w:cs="Times New Roman"/>
          <w:b/>
          <w:spacing w:val="-2"/>
        </w:rPr>
        <w:t>August 1</w:t>
      </w:r>
      <w:r w:rsidR="00625F62" w:rsidRPr="00F205BE">
        <w:rPr>
          <w:rFonts w:ascii="Times New Roman" w:hAnsi="Times New Roman" w:cs="Times New Roman"/>
          <w:b/>
          <w:spacing w:val="-2"/>
        </w:rPr>
        <w:t>6</w:t>
      </w:r>
      <w:r w:rsidR="008E3191" w:rsidRPr="00F205BE">
        <w:rPr>
          <w:rFonts w:ascii="Times New Roman" w:hAnsi="Times New Roman" w:cs="Times New Roman"/>
          <w:b/>
          <w:spacing w:val="-2"/>
        </w:rPr>
        <w:t>, 2013</w:t>
      </w:r>
    </w:p>
    <w:p w:rsidR="003B0DB6" w:rsidRPr="00F205BE" w:rsidRDefault="003B0DB6" w:rsidP="00E8622E">
      <w:pPr>
        <w:spacing w:after="0" w:line="240" w:lineRule="auto"/>
        <w:rPr>
          <w:rFonts w:ascii="Times New Roman" w:hAnsi="Times New Roman" w:cs="Times New Roman"/>
        </w:rPr>
      </w:pPr>
    </w:p>
    <w:p w:rsidR="00811317" w:rsidRPr="00F205BE" w:rsidRDefault="00811317" w:rsidP="00E8622E">
      <w:pPr>
        <w:spacing w:after="0" w:line="240" w:lineRule="auto"/>
        <w:rPr>
          <w:rFonts w:ascii="Times New Roman" w:hAnsi="Times New Roman" w:cs="Times New Roman"/>
          <w:spacing w:val="-2"/>
        </w:rPr>
      </w:pPr>
      <w:r w:rsidRPr="00F205BE">
        <w:rPr>
          <w:rFonts w:ascii="Times New Roman" w:hAnsi="Times New Roman" w:cs="Times New Roman"/>
        </w:rPr>
        <w:t xml:space="preserve">By the </w:t>
      </w:r>
      <w:r w:rsidR="004408BC" w:rsidRPr="00F205BE">
        <w:rPr>
          <w:rFonts w:ascii="Times New Roman" w:hAnsi="Times New Roman" w:cs="Times New Roman"/>
        </w:rPr>
        <w:t>Commission</w:t>
      </w:r>
      <w:r w:rsidRPr="00F205BE">
        <w:rPr>
          <w:rFonts w:ascii="Times New Roman" w:hAnsi="Times New Roman" w:cs="Times New Roman"/>
          <w:spacing w:val="-2"/>
        </w:rPr>
        <w:t>:</w:t>
      </w:r>
    </w:p>
    <w:p w:rsidR="00811317" w:rsidRPr="00F205BE" w:rsidRDefault="00811317" w:rsidP="00E8622E">
      <w:pPr>
        <w:spacing w:after="0" w:line="240" w:lineRule="auto"/>
        <w:rPr>
          <w:rFonts w:ascii="Times New Roman" w:hAnsi="Times New Roman" w:cs="Times New Roman"/>
          <w:spacing w:val="-2"/>
        </w:rPr>
      </w:pPr>
    </w:p>
    <w:p w:rsidR="00E0381E" w:rsidRPr="00F205BE" w:rsidRDefault="00866B48" w:rsidP="00E8622E">
      <w:pPr>
        <w:pStyle w:val="ParaNum"/>
        <w:spacing w:line="240" w:lineRule="auto"/>
        <w:rPr>
          <w:rFonts w:ascii="Times New Roman" w:hAnsi="Times New Roman" w:cs="Times New Roman"/>
        </w:rPr>
      </w:pPr>
      <w:r w:rsidRPr="00F205BE">
        <w:rPr>
          <w:rFonts w:ascii="Times New Roman" w:hAnsi="Times New Roman" w:cs="Times New Roman"/>
          <w:b/>
        </w:rPr>
        <w:t xml:space="preserve">Background.  </w:t>
      </w:r>
      <w:r w:rsidR="00D5594E" w:rsidRPr="00F205BE">
        <w:rPr>
          <w:rFonts w:ascii="Times New Roman" w:hAnsi="Times New Roman" w:cs="Times New Roman"/>
        </w:rPr>
        <w:t xml:space="preserve"> </w:t>
      </w:r>
      <w:r w:rsidR="00811317" w:rsidRPr="00F205BE">
        <w:rPr>
          <w:rFonts w:ascii="Times New Roman" w:hAnsi="Times New Roman" w:cs="Times New Roman"/>
        </w:rPr>
        <w:t>The</w:t>
      </w:r>
      <w:r w:rsidR="00780621" w:rsidRPr="00F205BE">
        <w:rPr>
          <w:rFonts w:ascii="Times New Roman" w:hAnsi="Times New Roman" w:cs="Times New Roman"/>
        </w:rPr>
        <w:t xml:space="preserve"> Commission </w:t>
      </w:r>
      <w:r w:rsidR="00811317" w:rsidRPr="00F205BE">
        <w:rPr>
          <w:rFonts w:ascii="Times New Roman" w:hAnsi="Times New Roman" w:cs="Times New Roman"/>
        </w:rPr>
        <w:t xml:space="preserve">has before it </w:t>
      </w:r>
      <w:r w:rsidR="00B41A3C" w:rsidRPr="00F205BE">
        <w:rPr>
          <w:rFonts w:ascii="Times New Roman" w:hAnsi="Times New Roman" w:cs="Times New Roman"/>
        </w:rPr>
        <w:t>a</w:t>
      </w:r>
      <w:r w:rsidR="00AF2EAD" w:rsidRPr="00F205BE">
        <w:rPr>
          <w:rFonts w:ascii="Times New Roman" w:hAnsi="Times New Roman" w:cs="Times New Roman"/>
        </w:rPr>
        <w:t>n</w:t>
      </w:r>
      <w:r w:rsidR="00780621" w:rsidRPr="00F205BE">
        <w:rPr>
          <w:rFonts w:ascii="Times New Roman" w:hAnsi="Times New Roman" w:cs="Times New Roman"/>
        </w:rPr>
        <w:t xml:space="preserve"> Application</w:t>
      </w:r>
      <w:r w:rsidR="00B41A3C" w:rsidRPr="00F205BE">
        <w:rPr>
          <w:rFonts w:ascii="Times New Roman" w:hAnsi="Times New Roman" w:cs="Times New Roman"/>
        </w:rPr>
        <w:t xml:space="preserve"> for Re</w:t>
      </w:r>
      <w:r w:rsidR="00780621" w:rsidRPr="00F205BE">
        <w:rPr>
          <w:rFonts w:ascii="Times New Roman" w:hAnsi="Times New Roman" w:cs="Times New Roman"/>
        </w:rPr>
        <w:t>view</w:t>
      </w:r>
      <w:r w:rsidR="00B41A3C" w:rsidRPr="00F205BE">
        <w:rPr>
          <w:rFonts w:ascii="Times New Roman" w:hAnsi="Times New Roman" w:cs="Times New Roman"/>
        </w:rPr>
        <w:t xml:space="preserve"> fil</w:t>
      </w:r>
      <w:r w:rsidR="00780621" w:rsidRPr="00F205BE">
        <w:rPr>
          <w:rFonts w:ascii="Times New Roman" w:hAnsi="Times New Roman" w:cs="Times New Roman"/>
        </w:rPr>
        <w:t>ed</w:t>
      </w:r>
      <w:r w:rsidR="007850A1" w:rsidRPr="00F205BE">
        <w:rPr>
          <w:rFonts w:ascii="Times New Roman" w:hAnsi="Times New Roman" w:cs="Times New Roman"/>
        </w:rPr>
        <w:t xml:space="preserve"> on </w:t>
      </w:r>
      <w:r w:rsidR="00615110" w:rsidRPr="00F205BE">
        <w:rPr>
          <w:rFonts w:ascii="Times New Roman" w:hAnsi="Times New Roman" w:cs="Times New Roman"/>
        </w:rPr>
        <w:t>March</w:t>
      </w:r>
      <w:r w:rsidR="00AD018D" w:rsidRPr="00F205BE">
        <w:rPr>
          <w:rFonts w:ascii="Times New Roman" w:hAnsi="Times New Roman" w:cs="Times New Roman"/>
        </w:rPr>
        <w:t> </w:t>
      </w:r>
      <w:r w:rsidR="007850A1" w:rsidRPr="00F205BE">
        <w:rPr>
          <w:rFonts w:ascii="Times New Roman" w:hAnsi="Times New Roman" w:cs="Times New Roman"/>
        </w:rPr>
        <w:t>25</w:t>
      </w:r>
      <w:r w:rsidR="004857DA" w:rsidRPr="00F205BE">
        <w:rPr>
          <w:rFonts w:ascii="Times New Roman" w:hAnsi="Times New Roman" w:cs="Times New Roman"/>
        </w:rPr>
        <w:t>, 200</w:t>
      </w:r>
      <w:r w:rsidR="00615110" w:rsidRPr="00F205BE">
        <w:rPr>
          <w:rFonts w:ascii="Times New Roman" w:hAnsi="Times New Roman" w:cs="Times New Roman"/>
        </w:rPr>
        <w:t>4</w:t>
      </w:r>
      <w:r w:rsidR="00040B7E" w:rsidRPr="00F205BE">
        <w:rPr>
          <w:rFonts w:ascii="Times New Roman" w:hAnsi="Times New Roman" w:cs="Times New Roman"/>
        </w:rPr>
        <w:t>,</w:t>
      </w:r>
      <w:r w:rsidR="00780621" w:rsidRPr="00F205BE">
        <w:rPr>
          <w:rFonts w:ascii="Times New Roman" w:hAnsi="Times New Roman" w:cs="Times New Roman"/>
        </w:rPr>
        <w:t xml:space="preserve"> </w:t>
      </w:r>
      <w:r w:rsidR="00B41A3C" w:rsidRPr="00F205BE">
        <w:rPr>
          <w:rFonts w:ascii="Times New Roman" w:hAnsi="Times New Roman" w:cs="Times New Roman"/>
        </w:rPr>
        <w:t xml:space="preserve">by </w:t>
      </w:r>
      <w:r w:rsidR="00615110" w:rsidRPr="00F205BE">
        <w:rPr>
          <w:rFonts w:ascii="Times New Roman" w:hAnsi="Times New Roman" w:cs="Times New Roman"/>
        </w:rPr>
        <w:t>Access.1 Louisiana Holding Company, LLC (“Access.1”</w:t>
      </w:r>
      <w:r w:rsidR="00AF2EAD" w:rsidRPr="00F205BE">
        <w:rPr>
          <w:rFonts w:ascii="Times New Roman" w:hAnsi="Times New Roman" w:cs="Times New Roman"/>
        </w:rPr>
        <w:t>)</w:t>
      </w:r>
      <w:r w:rsidR="00D10CCC" w:rsidRPr="00F205BE">
        <w:rPr>
          <w:rFonts w:ascii="Times New Roman" w:hAnsi="Times New Roman" w:cs="Times New Roman"/>
        </w:rPr>
        <w:t>,</w:t>
      </w:r>
      <w:r w:rsidR="00615110" w:rsidRPr="00F205BE">
        <w:rPr>
          <w:rFonts w:ascii="Times New Roman" w:hAnsi="Times New Roman" w:cs="Times New Roman"/>
        </w:rPr>
        <w:t xml:space="preserve"> licensee of several ra</w:t>
      </w:r>
      <w:r w:rsidR="004E1086" w:rsidRPr="00F205BE">
        <w:rPr>
          <w:rFonts w:ascii="Times New Roman" w:hAnsi="Times New Roman" w:cs="Times New Roman"/>
        </w:rPr>
        <w:t xml:space="preserve">dio stations in the Shreveport, </w:t>
      </w:r>
      <w:r w:rsidR="00615110" w:rsidRPr="00F205BE">
        <w:rPr>
          <w:rFonts w:ascii="Times New Roman" w:hAnsi="Times New Roman" w:cs="Times New Roman"/>
        </w:rPr>
        <w:t>Louisiana, Urbanized Area</w:t>
      </w:r>
      <w:r w:rsidR="00D0775F" w:rsidRPr="00F205BE">
        <w:rPr>
          <w:rStyle w:val="FootnoteReference"/>
          <w:rFonts w:cs="Times New Roman"/>
          <w:spacing w:val="-2"/>
        </w:rPr>
        <w:footnoteReference w:id="2"/>
      </w:r>
      <w:r w:rsidR="00536E61" w:rsidRPr="00F205BE">
        <w:rPr>
          <w:rFonts w:ascii="Times New Roman" w:hAnsi="Times New Roman" w:cs="Times New Roman"/>
        </w:rPr>
        <w:t xml:space="preserve"> </w:t>
      </w:r>
      <w:r w:rsidR="00E921C3" w:rsidRPr="00F205BE">
        <w:rPr>
          <w:rFonts w:ascii="Times New Roman" w:hAnsi="Times New Roman" w:cs="Times New Roman"/>
        </w:rPr>
        <w:t xml:space="preserve">(the “AFR”) </w:t>
      </w:r>
      <w:r w:rsidR="00E53CAA" w:rsidRPr="00F205BE">
        <w:rPr>
          <w:rFonts w:ascii="Times New Roman" w:hAnsi="Times New Roman" w:cs="Times New Roman"/>
        </w:rPr>
        <w:t>and various related pleadings.</w:t>
      </w:r>
      <w:r w:rsidR="00E53CAA" w:rsidRPr="00F205BE">
        <w:rPr>
          <w:rStyle w:val="FootnoteReference"/>
          <w:rFonts w:cs="Times New Roman"/>
          <w:spacing w:val="-2"/>
        </w:rPr>
        <w:footnoteReference w:id="3"/>
      </w:r>
      <w:r w:rsidR="00E53CAA" w:rsidRPr="00F205BE">
        <w:rPr>
          <w:rFonts w:ascii="Times New Roman" w:hAnsi="Times New Roman" w:cs="Times New Roman"/>
        </w:rPr>
        <w:t xml:space="preserve">  Access.1 seeks</w:t>
      </w:r>
      <w:r w:rsidR="00536E61" w:rsidRPr="00F205BE">
        <w:rPr>
          <w:rFonts w:ascii="Times New Roman" w:hAnsi="Times New Roman" w:cs="Times New Roman"/>
        </w:rPr>
        <w:t xml:space="preserve"> review</w:t>
      </w:r>
      <w:r w:rsidR="00863192" w:rsidRPr="00F205BE">
        <w:rPr>
          <w:rFonts w:ascii="Times New Roman" w:hAnsi="Times New Roman" w:cs="Times New Roman"/>
        </w:rPr>
        <w:t xml:space="preserve"> of</w:t>
      </w:r>
      <w:r w:rsidR="00FB5589" w:rsidRPr="00F205BE">
        <w:rPr>
          <w:rFonts w:ascii="Times New Roman" w:hAnsi="Times New Roman" w:cs="Times New Roman"/>
        </w:rPr>
        <w:t xml:space="preserve"> </w:t>
      </w:r>
      <w:r w:rsidR="00780621" w:rsidRPr="00F205BE">
        <w:rPr>
          <w:rFonts w:ascii="Times New Roman" w:hAnsi="Times New Roman" w:cs="Times New Roman"/>
        </w:rPr>
        <w:t xml:space="preserve">the </w:t>
      </w:r>
      <w:r w:rsidR="00615110" w:rsidRPr="00F205BE">
        <w:rPr>
          <w:rFonts w:ascii="Times New Roman" w:hAnsi="Times New Roman" w:cs="Times New Roman"/>
        </w:rPr>
        <w:t>January 30, 2004,</w:t>
      </w:r>
      <w:r w:rsidR="00742DF5" w:rsidRPr="00F205BE">
        <w:rPr>
          <w:rFonts w:ascii="Times New Roman" w:hAnsi="Times New Roman" w:cs="Times New Roman"/>
        </w:rPr>
        <w:t xml:space="preserve"> </w:t>
      </w:r>
      <w:r w:rsidR="006D18C9" w:rsidRPr="00F205BE">
        <w:rPr>
          <w:rFonts w:ascii="Times New Roman" w:hAnsi="Times New Roman" w:cs="Times New Roman"/>
        </w:rPr>
        <w:t>decision</w:t>
      </w:r>
      <w:r w:rsidR="009B2ABA" w:rsidRPr="00F205BE">
        <w:rPr>
          <w:rStyle w:val="FootnoteReference"/>
          <w:rFonts w:cs="Times New Roman"/>
          <w:spacing w:val="-2"/>
        </w:rPr>
        <w:footnoteReference w:id="4"/>
      </w:r>
      <w:r w:rsidR="00742DF5" w:rsidRPr="00F205BE">
        <w:rPr>
          <w:rFonts w:ascii="Times New Roman" w:hAnsi="Times New Roman" w:cs="Times New Roman"/>
        </w:rPr>
        <w:t xml:space="preserve"> of </w:t>
      </w:r>
      <w:r w:rsidR="002765A1" w:rsidRPr="00F205BE">
        <w:rPr>
          <w:rFonts w:ascii="Times New Roman" w:hAnsi="Times New Roman" w:cs="Times New Roman"/>
        </w:rPr>
        <w:t>the Media</w:t>
      </w:r>
      <w:r w:rsidR="00863192" w:rsidRPr="00F205BE">
        <w:rPr>
          <w:rFonts w:ascii="Times New Roman" w:hAnsi="Times New Roman" w:cs="Times New Roman"/>
        </w:rPr>
        <w:t xml:space="preserve"> Bureau (“Bureau</w:t>
      </w:r>
      <w:r w:rsidR="00D30304" w:rsidRPr="00F205BE">
        <w:rPr>
          <w:rFonts w:ascii="Times New Roman" w:hAnsi="Times New Roman" w:cs="Times New Roman"/>
        </w:rPr>
        <w:t>”</w:t>
      </w:r>
      <w:r w:rsidR="002F4B84" w:rsidRPr="00F205BE">
        <w:rPr>
          <w:rFonts w:ascii="Times New Roman" w:hAnsi="Times New Roman" w:cs="Times New Roman"/>
        </w:rPr>
        <w:t>),</w:t>
      </w:r>
      <w:r w:rsidR="006F3D22" w:rsidRPr="00F205BE">
        <w:rPr>
          <w:rFonts w:ascii="Times New Roman" w:hAnsi="Times New Roman" w:cs="Times New Roman"/>
        </w:rPr>
        <w:t xml:space="preserve"> </w:t>
      </w:r>
      <w:r w:rsidR="00664107" w:rsidRPr="00F205BE">
        <w:rPr>
          <w:rFonts w:ascii="Times New Roman" w:hAnsi="Times New Roman" w:cs="Times New Roman"/>
        </w:rPr>
        <w:t xml:space="preserve">denying </w:t>
      </w:r>
      <w:r w:rsidR="00477BD6" w:rsidRPr="00F205BE">
        <w:rPr>
          <w:rFonts w:ascii="Times New Roman" w:hAnsi="Times New Roman" w:cs="Times New Roman"/>
        </w:rPr>
        <w:t>Access.1’s Petition</w:t>
      </w:r>
      <w:r w:rsidR="006D18C9" w:rsidRPr="00F205BE">
        <w:rPr>
          <w:rFonts w:ascii="Times New Roman" w:hAnsi="Times New Roman" w:cs="Times New Roman"/>
        </w:rPr>
        <w:t xml:space="preserve"> for Reconsideration of </w:t>
      </w:r>
      <w:r w:rsidR="00664107" w:rsidRPr="00F205BE">
        <w:rPr>
          <w:rFonts w:ascii="Times New Roman" w:hAnsi="Times New Roman" w:cs="Times New Roman"/>
        </w:rPr>
        <w:t>the Report and Order in this allocations proceeding.</w:t>
      </w:r>
      <w:r w:rsidR="00664107" w:rsidRPr="00F205BE">
        <w:rPr>
          <w:rStyle w:val="FootnoteReference"/>
          <w:rFonts w:cs="Times New Roman"/>
        </w:rPr>
        <w:footnoteReference w:id="5"/>
      </w:r>
      <w:r w:rsidR="00664107" w:rsidRPr="00F205BE">
        <w:rPr>
          <w:rFonts w:ascii="Times New Roman" w:hAnsi="Times New Roman" w:cs="Times New Roman"/>
        </w:rPr>
        <w:t xml:space="preserve">  The </w:t>
      </w:r>
      <w:r w:rsidR="00664107" w:rsidRPr="00F205BE">
        <w:rPr>
          <w:rFonts w:ascii="Times New Roman" w:hAnsi="Times New Roman" w:cs="Times New Roman"/>
          <w:i/>
        </w:rPr>
        <w:t xml:space="preserve">Magnolia R&amp;O </w:t>
      </w:r>
      <w:r w:rsidR="00664107" w:rsidRPr="00F205BE">
        <w:rPr>
          <w:rFonts w:ascii="Times New Roman" w:hAnsi="Times New Roman" w:cs="Times New Roman"/>
        </w:rPr>
        <w:t xml:space="preserve">granted </w:t>
      </w:r>
      <w:r w:rsidR="00DC097A" w:rsidRPr="00F205BE">
        <w:rPr>
          <w:rFonts w:ascii="Times New Roman" w:hAnsi="Times New Roman" w:cs="Times New Roman"/>
        </w:rPr>
        <w:t xml:space="preserve">a </w:t>
      </w:r>
      <w:r w:rsidR="00D77CB5" w:rsidRPr="00F205BE">
        <w:rPr>
          <w:rFonts w:ascii="Times New Roman" w:hAnsi="Times New Roman" w:cs="Times New Roman"/>
        </w:rPr>
        <w:t>P</w:t>
      </w:r>
      <w:r w:rsidR="00DC097A" w:rsidRPr="00F205BE">
        <w:rPr>
          <w:rFonts w:ascii="Times New Roman" w:hAnsi="Times New Roman" w:cs="Times New Roman"/>
        </w:rPr>
        <w:t>etition for</w:t>
      </w:r>
      <w:r w:rsidR="00D77CB5" w:rsidRPr="00F205BE">
        <w:rPr>
          <w:rFonts w:ascii="Times New Roman" w:hAnsi="Times New Roman" w:cs="Times New Roman"/>
        </w:rPr>
        <w:t xml:space="preserve"> R</w:t>
      </w:r>
      <w:r w:rsidR="00DC097A" w:rsidRPr="00F205BE">
        <w:rPr>
          <w:rFonts w:ascii="Times New Roman" w:hAnsi="Times New Roman" w:cs="Times New Roman"/>
        </w:rPr>
        <w:t>ule</w:t>
      </w:r>
      <w:r w:rsidR="00180629" w:rsidRPr="00F205BE">
        <w:rPr>
          <w:rFonts w:ascii="Times New Roman" w:hAnsi="Times New Roman" w:cs="Times New Roman"/>
        </w:rPr>
        <w:t xml:space="preserve"> M</w:t>
      </w:r>
      <w:r w:rsidR="00DC097A" w:rsidRPr="00F205BE">
        <w:rPr>
          <w:rFonts w:ascii="Times New Roman" w:hAnsi="Times New Roman" w:cs="Times New Roman"/>
        </w:rPr>
        <w:t>aking</w:t>
      </w:r>
      <w:r w:rsidR="00BD5870" w:rsidRPr="00F205BE">
        <w:rPr>
          <w:rFonts w:ascii="Times New Roman" w:hAnsi="Times New Roman" w:cs="Times New Roman"/>
        </w:rPr>
        <w:t xml:space="preserve"> </w:t>
      </w:r>
      <w:r w:rsidR="00D85BAF" w:rsidRPr="00F205BE">
        <w:rPr>
          <w:rFonts w:ascii="Times New Roman" w:hAnsi="Times New Roman" w:cs="Times New Roman"/>
        </w:rPr>
        <w:t xml:space="preserve">filed </w:t>
      </w:r>
      <w:r w:rsidR="00BD5870" w:rsidRPr="00F205BE">
        <w:rPr>
          <w:rFonts w:ascii="Times New Roman" w:hAnsi="Times New Roman" w:cs="Times New Roman"/>
        </w:rPr>
        <w:t xml:space="preserve">by </w:t>
      </w:r>
      <w:r w:rsidR="000602C1" w:rsidRPr="00F205BE">
        <w:rPr>
          <w:rFonts w:ascii="Times New Roman" w:hAnsi="Times New Roman" w:cs="Times New Roman"/>
        </w:rPr>
        <w:t xml:space="preserve">Columbia Broadcasting Company, Inc. (“Columbia”), the </w:t>
      </w:r>
      <w:r w:rsidR="00BD5870" w:rsidRPr="00F205BE">
        <w:rPr>
          <w:rFonts w:ascii="Times New Roman" w:hAnsi="Times New Roman" w:cs="Times New Roman"/>
        </w:rPr>
        <w:t>predecessor</w:t>
      </w:r>
      <w:r w:rsidR="00D30304" w:rsidRPr="00F205BE">
        <w:rPr>
          <w:rFonts w:ascii="Times New Roman" w:hAnsi="Times New Roman" w:cs="Times New Roman"/>
        </w:rPr>
        <w:t xml:space="preserve"> </w:t>
      </w:r>
      <w:r w:rsidR="000602C1" w:rsidRPr="00F205BE">
        <w:rPr>
          <w:rFonts w:ascii="Times New Roman" w:hAnsi="Times New Roman" w:cs="Times New Roman"/>
        </w:rPr>
        <w:t xml:space="preserve">of Cumulus Licensing, LLC (“Cumulus”) </w:t>
      </w:r>
      <w:r w:rsidR="00D30304" w:rsidRPr="00F205BE">
        <w:rPr>
          <w:rFonts w:ascii="Times New Roman" w:hAnsi="Times New Roman" w:cs="Times New Roman"/>
        </w:rPr>
        <w:t>as licensee of Station KQHN(FM)</w:t>
      </w:r>
      <w:r w:rsidR="00893070" w:rsidRPr="00F205BE">
        <w:rPr>
          <w:rFonts w:ascii="Times New Roman" w:hAnsi="Times New Roman" w:cs="Times New Roman"/>
        </w:rPr>
        <w:t xml:space="preserve"> (formerly KVMA-FM) </w:t>
      </w:r>
      <w:r w:rsidR="00D30304" w:rsidRPr="00F205BE">
        <w:rPr>
          <w:rFonts w:ascii="Times New Roman" w:hAnsi="Times New Roman" w:cs="Times New Roman"/>
        </w:rPr>
        <w:t>(the “Station”)</w:t>
      </w:r>
      <w:r w:rsidR="000602C1" w:rsidRPr="00F205BE">
        <w:rPr>
          <w:rFonts w:ascii="Times New Roman" w:hAnsi="Times New Roman" w:cs="Times New Roman"/>
        </w:rPr>
        <w:t>,</w:t>
      </w:r>
      <w:r w:rsidR="00C44C4B" w:rsidRPr="00F205BE">
        <w:rPr>
          <w:rStyle w:val="FootnoteReference"/>
          <w:rFonts w:cs="Times New Roman"/>
        </w:rPr>
        <w:footnoteReference w:id="6"/>
      </w:r>
      <w:r w:rsidR="00DC097A" w:rsidRPr="00F205BE">
        <w:rPr>
          <w:rFonts w:ascii="Times New Roman" w:hAnsi="Times New Roman" w:cs="Times New Roman"/>
        </w:rPr>
        <w:t xml:space="preserve"> </w:t>
      </w:r>
      <w:r w:rsidR="00BC5764" w:rsidRPr="00F205BE">
        <w:rPr>
          <w:rFonts w:ascii="Times New Roman" w:hAnsi="Times New Roman" w:cs="Times New Roman"/>
        </w:rPr>
        <w:t>for a class downgrade and change of community</w:t>
      </w:r>
      <w:r w:rsidR="00BD5870" w:rsidRPr="00F205BE">
        <w:rPr>
          <w:rFonts w:ascii="Times New Roman" w:hAnsi="Times New Roman" w:cs="Times New Roman"/>
        </w:rPr>
        <w:t xml:space="preserve"> for</w:t>
      </w:r>
      <w:r w:rsidR="00D77CB5" w:rsidRPr="00F205BE">
        <w:rPr>
          <w:rFonts w:ascii="Times New Roman" w:hAnsi="Times New Roman" w:cs="Times New Roman"/>
        </w:rPr>
        <w:t xml:space="preserve"> </w:t>
      </w:r>
      <w:r w:rsidR="00D30304" w:rsidRPr="00F205BE">
        <w:rPr>
          <w:rFonts w:ascii="Times New Roman" w:hAnsi="Times New Roman" w:cs="Times New Roman"/>
        </w:rPr>
        <w:lastRenderedPageBreak/>
        <w:t xml:space="preserve">the </w:t>
      </w:r>
      <w:r w:rsidR="00D77CB5" w:rsidRPr="00F205BE">
        <w:rPr>
          <w:rFonts w:ascii="Times New Roman" w:hAnsi="Times New Roman" w:cs="Times New Roman"/>
        </w:rPr>
        <w:t xml:space="preserve">Station </w:t>
      </w:r>
      <w:r w:rsidR="007850A1" w:rsidRPr="00F205BE">
        <w:rPr>
          <w:rFonts w:ascii="Times New Roman" w:hAnsi="Times New Roman" w:cs="Times New Roman"/>
        </w:rPr>
        <w:t xml:space="preserve">from </w:t>
      </w:r>
      <w:r w:rsidR="00BC5764" w:rsidRPr="00F205BE">
        <w:rPr>
          <w:rFonts w:ascii="Times New Roman" w:hAnsi="Times New Roman" w:cs="Times New Roman"/>
        </w:rPr>
        <w:t xml:space="preserve">Channel 300C1 at </w:t>
      </w:r>
      <w:r w:rsidR="00761396" w:rsidRPr="00F205BE">
        <w:rPr>
          <w:rFonts w:ascii="Times New Roman" w:hAnsi="Times New Roman" w:cs="Times New Roman"/>
        </w:rPr>
        <w:t>Magnolia, Arkansas,</w:t>
      </w:r>
      <w:r w:rsidR="007850A1" w:rsidRPr="00F205BE">
        <w:rPr>
          <w:rFonts w:ascii="Times New Roman" w:hAnsi="Times New Roman" w:cs="Times New Roman"/>
        </w:rPr>
        <w:t xml:space="preserve"> to </w:t>
      </w:r>
      <w:r w:rsidR="00BC5764" w:rsidRPr="00F205BE">
        <w:rPr>
          <w:rFonts w:ascii="Times New Roman" w:hAnsi="Times New Roman" w:cs="Times New Roman"/>
        </w:rPr>
        <w:t xml:space="preserve">Channel 300C2 at </w:t>
      </w:r>
      <w:r w:rsidR="00761396" w:rsidRPr="00F205BE">
        <w:rPr>
          <w:rFonts w:ascii="Times New Roman" w:hAnsi="Times New Roman" w:cs="Times New Roman"/>
        </w:rPr>
        <w:t>Oil City, Louisiana</w:t>
      </w:r>
      <w:r w:rsidR="007850A1" w:rsidRPr="00F205BE">
        <w:rPr>
          <w:rFonts w:ascii="Times New Roman" w:hAnsi="Times New Roman" w:cs="Times New Roman"/>
        </w:rPr>
        <w:t>.</w:t>
      </w:r>
      <w:r w:rsidR="007850A1" w:rsidRPr="00F205BE">
        <w:rPr>
          <w:rStyle w:val="FootnoteReference"/>
          <w:rFonts w:cs="Times New Roman"/>
        </w:rPr>
        <w:footnoteReference w:id="7"/>
      </w:r>
      <w:r w:rsidR="006D18C9" w:rsidRPr="00F205BE">
        <w:rPr>
          <w:rFonts w:ascii="Times New Roman" w:hAnsi="Times New Roman" w:cs="Times New Roman"/>
        </w:rPr>
        <w:t xml:space="preserve">  </w:t>
      </w:r>
      <w:r w:rsidR="00F62DFF" w:rsidRPr="00F205BE">
        <w:rPr>
          <w:rFonts w:ascii="Times New Roman" w:hAnsi="Times New Roman" w:cs="Times New Roman"/>
        </w:rPr>
        <w:t>The Bureau</w:t>
      </w:r>
      <w:r w:rsidR="00306F08" w:rsidRPr="00F205BE">
        <w:rPr>
          <w:rFonts w:ascii="Times New Roman" w:hAnsi="Times New Roman" w:cs="Times New Roman"/>
        </w:rPr>
        <w:t xml:space="preserve"> concluded</w:t>
      </w:r>
      <w:r w:rsidR="00761396" w:rsidRPr="00F205BE">
        <w:rPr>
          <w:rFonts w:ascii="Times New Roman" w:hAnsi="Times New Roman" w:cs="Times New Roman"/>
        </w:rPr>
        <w:t xml:space="preserve"> that the relocation of </w:t>
      </w:r>
      <w:r w:rsidR="00D30304" w:rsidRPr="00F205BE">
        <w:rPr>
          <w:rFonts w:ascii="Times New Roman" w:hAnsi="Times New Roman" w:cs="Times New Roman"/>
        </w:rPr>
        <w:t xml:space="preserve">the </w:t>
      </w:r>
      <w:r w:rsidR="00761396" w:rsidRPr="00F205BE">
        <w:rPr>
          <w:rFonts w:ascii="Times New Roman" w:hAnsi="Times New Roman" w:cs="Times New Roman"/>
        </w:rPr>
        <w:t xml:space="preserve">Station to Oil City did not constitute a “move-in” to the Shreveport, Louisiana, Urbanized Area </w:t>
      </w:r>
      <w:r w:rsidR="00EE2FDD" w:rsidRPr="00F205BE">
        <w:rPr>
          <w:rFonts w:ascii="Times New Roman" w:hAnsi="Times New Roman" w:cs="Times New Roman"/>
        </w:rPr>
        <w:t xml:space="preserve">because </w:t>
      </w:r>
      <w:r w:rsidR="00BD5870" w:rsidRPr="00F205BE">
        <w:rPr>
          <w:rFonts w:ascii="Times New Roman" w:hAnsi="Times New Roman" w:cs="Times New Roman"/>
        </w:rPr>
        <w:t>Cumulus</w:t>
      </w:r>
      <w:r w:rsidR="00EE2FDD" w:rsidRPr="00F205BE">
        <w:rPr>
          <w:rFonts w:ascii="Times New Roman" w:hAnsi="Times New Roman" w:cs="Times New Roman"/>
        </w:rPr>
        <w:t xml:space="preserve"> had demonstrated under the </w:t>
      </w:r>
      <w:r w:rsidR="001619A1" w:rsidRPr="00F205BE">
        <w:rPr>
          <w:rFonts w:ascii="Times New Roman" w:hAnsi="Times New Roman" w:cs="Times New Roman"/>
        </w:rPr>
        <w:t>then</w:t>
      </w:r>
      <w:r w:rsidR="00180629" w:rsidRPr="00F205BE">
        <w:rPr>
          <w:rFonts w:ascii="Times New Roman" w:hAnsi="Times New Roman" w:cs="Times New Roman"/>
        </w:rPr>
        <w:t>-</w:t>
      </w:r>
      <w:r w:rsidR="001619A1" w:rsidRPr="00F205BE">
        <w:rPr>
          <w:rFonts w:ascii="Times New Roman" w:hAnsi="Times New Roman" w:cs="Times New Roman"/>
        </w:rPr>
        <w:t>existing</w:t>
      </w:r>
      <w:r w:rsidR="000A5749" w:rsidRPr="00F205BE">
        <w:rPr>
          <w:rFonts w:ascii="Times New Roman" w:hAnsi="Times New Roman" w:cs="Times New Roman"/>
        </w:rPr>
        <w:t xml:space="preserve"> </w:t>
      </w:r>
      <w:r w:rsidR="00EE2FDD" w:rsidRPr="00F205BE">
        <w:rPr>
          <w:rFonts w:ascii="Times New Roman" w:hAnsi="Times New Roman" w:cs="Times New Roman"/>
          <w:i/>
        </w:rPr>
        <w:t>Tuck</w:t>
      </w:r>
      <w:r w:rsidR="00EE2FDD" w:rsidRPr="00F205BE">
        <w:rPr>
          <w:rFonts w:ascii="Times New Roman" w:hAnsi="Times New Roman" w:cs="Times New Roman"/>
        </w:rPr>
        <w:t xml:space="preserve"> test</w:t>
      </w:r>
      <w:r w:rsidR="000A5749" w:rsidRPr="00F205BE">
        <w:rPr>
          <w:rStyle w:val="FootnoteReference"/>
          <w:rFonts w:cs="Times New Roman"/>
        </w:rPr>
        <w:footnoteReference w:id="8"/>
      </w:r>
      <w:r w:rsidR="00EE2FDD" w:rsidRPr="00F205BE">
        <w:rPr>
          <w:rFonts w:ascii="Times New Roman" w:hAnsi="Times New Roman" w:cs="Times New Roman"/>
        </w:rPr>
        <w:t xml:space="preserve"> that Oil City is sufficiently</w:t>
      </w:r>
      <w:r w:rsidR="00A80D2A" w:rsidRPr="00F205BE">
        <w:rPr>
          <w:rFonts w:ascii="Times New Roman" w:hAnsi="Times New Roman" w:cs="Times New Roman"/>
        </w:rPr>
        <w:t xml:space="preserve"> </w:t>
      </w:r>
      <w:r w:rsidR="00EE2FDD" w:rsidRPr="00F205BE">
        <w:rPr>
          <w:rFonts w:ascii="Times New Roman" w:hAnsi="Times New Roman" w:cs="Times New Roman"/>
        </w:rPr>
        <w:t>independent of the Shreveport Urbanized Area to warrant a first local service preference.</w:t>
      </w:r>
      <w:r w:rsidR="005A7D08" w:rsidRPr="00F205BE">
        <w:rPr>
          <w:rStyle w:val="FootnoteReference"/>
          <w:rFonts w:cs="Times New Roman"/>
        </w:rPr>
        <w:footnoteReference w:id="9"/>
      </w:r>
      <w:r w:rsidR="00C1501A" w:rsidRPr="00F205BE">
        <w:rPr>
          <w:rFonts w:ascii="Times New Roman" w:hAnsi="Times New Roman" w:cs="Times New Roman"/>
        </w:rPr>
        <w:t xml:space="preserve"> </w:t>
      </w:r>
      <w:r w:rsidR="003636AC" w:rsidRPr="00F205BE">
        <w:rPr>
          <w:rFonts w:ascii="Times New Roman" w:hAnsi="Times New Roman" w:cs="Times New Roman"/>
        </w:rPr>
        <w:t xml:space="preserve"> </w:t>
      </w:r>
      <w:r w:rsidR="00BD5D7E" w:rsidRPr="00F205BE">
        <w:rPr>
          <w:rFonts w:ascii="Times New Roman" w:hAnsi="Times New Roman" w:cs="Times New Roman"/>
        </w:rPr>
        <w:t xml:space="preserve">The Bureau also </w:t>
      </w:r>
      <w:r w:rsidR="00E0147F" w:rsidRPr="00F205BE">
        <w:rPr>
          <w:rFonts w:ascii="Times New Roman" w:hAnsi="Times New Roman" w:cs="Times New Roman"/>
        </w:rPr>
        <w:t>declined</w:t>
      </w:r>
      <w:r w:rsidR="00BD5D7E" w:rsidRPr="00F205BE">
        <w:rPr>
          <w:rFonts w:ascii="Times New Roman" w:hAnsi="Times New Roman" w:cs="Times New Roman"/>
        </w:rPr>
        <w:t xml:space="preserve"> to consider</w:t>
      </w:r>
      <w:r w:rsidR="00E0147F" w:rsidRPr="00F205BE">
        <w:rPr>
          <w:rFonts w:ascii="Times New Roman" w:hAnsi="Times New Roman" w:cs="Times New Roman"/>
        </w:rPr>
        <w:t>, in the context of this proceeding,</w:t>
      </w:r>
      <w:r w:rsidR="00BD5D7E" w:rsidRPr="00F205BE">
        <w:rPr>
          <w:rFonts w:ascii="Times New Roman" w:hAnsi="Times New Roman" w:cs="Times New Roman"/>
        </w:rPr>
        <w:t xml:space="preserve"> </w:t>
      </w:r>
      <w:r w:rsidR="00E0147F" w:rsidRPr="00F205BE">
        <w:rPr>
          <w:rFonts w:ascii="Times New Roman" w:hAnsi="Times New Roman" w:cs="Times New Roman"/>
        </w:rPr>
        <w:t>A</w:t>
      </w:r>
      <w:r w:rsidR="00BD5D7E" w:rsidRPr="00F205BE">
        <w:rPr>
          <w:rFonts w:ascii="Times New Roman" w:hAnsi="Times New Roman" w:cs="Times New Roman"/>
        </w:rPr>
        <w:t>ccess.1’s request that the Commission</w:t>
      </w:r>
      <w:r w:rsidR="00E0147F" w:rsidRPr="00F205BE">
        <w:rPr>
          <w:rFonts w:ascii="Times New Roman" w:hAnsi="Times New Roman" w:cs="Times New Roman"/>
        </w:rPr>
        <w:t xml:space="preserve"> </w:t>
      </w:r>
      <w:r w:rsidR="0080041E" w:rsidRPr="00F205BE">
        <w:rPr>
          <w:rFonts w:ascii="Times New Roman" w:hAnsi="Times New Roman" w:cs="Times New Roman"/>
        </w:rPr>
        <w:t xml:space="preserve">clarify and </w:t>
      </w:r>
      <w:r w:rsidR="00E0147F" w:rsidRPr="00F205BE">
        <w:rPr>
          <w:rFonts w:ascii="Times New Roman" w:hAnsi="Times New Roman" w:cs="Times New Roman"/>
        </w:rPr>
        <w:t>revise its procedures regarding “move-ins” to urbanized ar</w:t>
      </w:r>
      <w:r w:rsidR="00355954" w:rsidRPr="00F205BE">
        <w:rPr>
          <w:rFonts w:ascii="Times New Roman" w:hAnsi="Times New Roman" w:cs="Times New Roman"/>
        </w:rPr>
        <w:t>eas</w:t>
      </w:r>
      <w:r w:rsidR="00E0147F" w:rsidRPr="00F205BE">
        <w:rPr>
          <w:rFonts w:ascii="Times New Roman" w:hAnsi="Times New Roman" w:cs="Times New Roman"/>
        </w:rPr>
        <w:t>, finding that such a request should be made</w:t>
      </w:r>
      <w:r w:rsidR="00BD5D7E" w:rsidRPr="00F205BE">
        <w:rPr>
          <w:rFonts w:ascii="Times New Roman" w:hAnsi="Times New Roman" w:cs="Times New Roman"/>
        </w:rPr>
        <w:t xml:space="preserve"> in</w:t>
      </w:r>
      <w:r w:rsidR="00C500C8" w:rsidRPr="00F205BE">
        <w:rPr>
          <w:rFonts w:ascii="Times New Roman" w:hAnsi="Times New Roman" w:cs="Times New Roman"/>
        </w:rPr>
        <w:t xml:space="preserve"> </w:t>
      </w:r>
      <w:r w:rsidR="00BD5D7E" w:rsidRPr="00F205BE">
        <w:rPr>
          <w:rFonts w:ascii="Times New Roman" w:hAnsi="Times New Roman" w:cs="Times New Roman"/>
        </w:rPr>
        <w:t>a separate rule making petition.</w:t>
      </w:r>
      <w:r w:rsidR="00BD5D7E" w:rsidRPr="00F205BE">
        <w:rPr>
          <w:rStyle w:val="FootnoteReference"/>
          <w:rFonts w:cs="Times New Roman"/>
        </w:rPr>
        <w:footnoteReference w:id="10"/>
      </w:r>
      <w:r w:rsidR="00F62DFF" w:rsidRPr="00F205BE">
        <w:rPr>
          <w:rFonts w:ascii="Times New Roman" w:hAnsi="Times New Roman" w:cs="Times New Roman"/>
        </w:rPr>
        <w:t xml:space="preserve">  </w:t>
      </w:r>
      <w:r w:rsidR="00B23FE6" w:rsidRPr="00F205BE">
        <w:rPr>
          <w:rFonts w:ascii="Times New Roman" w:hAnsi="Times New Roman" w:cs="Times New Roman"/>
        </w:rPr>
        <w:t xml:space="preserve"> </w:t>
      </w:r>
      <w:r w:rsidR="00EE2FDD" w:rsidRPr="00F205BE">
        <w:rPr>
          <w:rFonts w:ascii="Times New Roman" w:hAnsi="Times New Roman" w:cs="Times New Roman"/>
        </w:rPr>
        <w:t xml:space="preserve">  </w:t>
      </w:r>
      <w:r w:rsidR="00761396" w:rsidRPr="00F205BE">
        <w:rPr>
          <w:rFonts w:ascii="Times New Roman" w:hAnsi="Times New Roman" w:cs="Times New Roman"/>
        </w:rPr>
        <w:t xml:space="preserve"> </w:t>
      </w:r>
    </w:p>
    <w:p w:rsidR="00772D30" w:rsidRPr="00F205BE" w:rsidRDefault="00664107" w:rsidP="00E8622E">
      <w:pPr>
        <w:pStyle w:val="ParaNum"/>
        <w:spacing w:line="240" w:lineRule="auto"/>
        <w:rPr>
          <w:rFonts w:ascii="Times New Roman" w:hAnsi="Times New Roman" w:cs="Times New Roman"/>
        </w:rPr>
      </w:pPr>
      <w:r w:rsidRPr="00F205BE">
        <w:rPr>
          <w:rFonts w:ascii="Times New Roman" w:hAnsi="Times New Roman" w:cs="Times New Roman"/>
        </w:rPr>
        <w:t xml:space="preserve">On review, Access.1 argues </w:t>
      </w:r>
      <w:r w:rsidR="00E76F3F" w:rsidRPr="00F205BE">
        <w:rPr>
          <w:rFonts w:ascii="Times New Roman" w:hAnsi="Times New Roman" w:cs="Times New Roman"/>
        </w:rPr>
        <w:t>that the Bureau erred</w:t>
      </w:r>
      <w:r w:rsidR="00D30304" w:rsidRPr="00F205BE">
        <w:rPr>
          <w:rFonts w:ascii="Times New Roman" w:hAnsi="Times New Roman" w:cs="Times New Roman"/>
        </w:rPr>
        <w:t>:</w:t>
      </w:r>
      <w:r w:rsidR="00E76F3F" w:rsidRPr="00F205BE">
        <w:rPr>
          <w:rFonts w:ascii="Times New Roman" w:hAnsi="Times New Roman" w:cs="Times New Roman"/>
        </w:rPr>
        <w:t xml:space="preserve"> (1) in determining that Oil City was independent of Shreveport under the </w:t>
      </w:r>
      <w:r w:rsidR="00E76F3F" w:rsidRPr="00F205BE">
        <w:rPr>
          <w:rFonts w:ascii="Times New Roman" w:hAnsi="Times New Roman" w:cs="Times New Roman"/>
          <w:i/>
        </w:rPr>
        <w:t>Tuck</w:t>
      </w:r>
      <w:r w:rsidR="00E76F3F" w:rsidRPr="00F205BE">
        <w:rPr>
          <w:rFonts w:ascii="Times New Roman" w:hAnsi="Times New Roman" w:cs="Times New Roman"/>
        </w:rPr>
        <w:t xml:space="preserve"> test; (2) in </w:t>
      </w:r>
      <w:r w:rsidR="00500046" w:rsidRPr="00F205BE">
        <w:rPr>
          <w:rFonts w:ascii="Times New Roman" w:hAnsi="Times New Roman" w:cs="Times New Roman"/>
        </w:rPr>
        <w:t xml:space="preserve">declining to adopt </w:t>
      </w:r>
      <w:r w:rsidR="00E921C3" w:rsidRPr="00F205BE">
        <w:rPr>
          <w:rFonts w:ascii="Times New Roman" w:hAnsi="Times New Roman" w:cs="Times New Roman"/>
        </w:rPr>
        <w:t xml:space="preserve">Access.1’s </w:t>
      </w:r>
      <w:r w:rsidR="00500046" w:rsidRPr="00F205BE">
        <w:rPr>
          <w:rFonts w:ascii="Times New Roman" w:hAnsi="Times New Roman" w:cs="Times New Roman"/>
        </w:rPr>
        <w:t xml:space="preserve">proposed processing policy of requiring a certification </w:t>
      </w:r>
      <w:r w:rsidR="009C0EC1" w:rsidRPr="00F205BE">
        <w:rPr>
          <w:rFonts w:ascii="Times New Roman" w:hAnsi="Times New Roman" w:cs="Times New Roman"/>
        </w:rPr>
        <w:t>by the</w:t>
      </w:r>
      <w:r w:rsidR="00500046" w:rsidRPr="00F205BE">
        <w:rPr>
          <w:rFonts w:ascii="Times New Roman" w:hAnsi="Times New Roman" w:cs="Times New Roman"/>
        </w:rPr>
        <w:t xml:space="preserve"> community of license modification proponent </w:t>
      </w:r>
      <w:r w:rsidR="000602C1" w:rsidRPr="00F205BE">
        <w:rPr>
          <w:rFonts w:ascii="Times New Roman" w:hAnsi="Times New Roman" w:cs="Times New Roman"/>
        </w:rPr>
        <w:t xml:space="preserve">that it </w:t>
      </w:r>
      <w:r w:rsidR="00500046" w:rsidRPr="00F205BE">
        <w:rPr>
          <w:rFonts w:ascii="Times New Roman" w:hAnsi="Times New Roman" w:cs="Times New Roman"/>
        </w:rPr>
        <w:t xml:space="preserve">will not select a site that would provide substantial service to the urbanized area; </w:t>
      </w:r>
      <w:r w:rsidR="00010A7E" w:rsidRPr="00F205BE">
        <w:rPr>
          <w:rFonts w:ascii="Times New Roman" w:hAnsi="Times New Roman" w:cs="Times New Roman"/>
        </w:rPr>
        <w:t xml:space="preserve">(3) in finding that the </w:t>
      </w:r>
      <w:r w:rsidR="000602C1" w:rsidRPr="00F205BE">
        <w:rPr>
          <w:rFonts w:ascii="Times New Roman" w:hAnsi="Times New Roman" w:cs="Times New Roman"/>
        </w:rPr>
        <w:t xml:space="preserve">proposed </w:t>
      </w:r>
      <w:r w:rsidR="00010A7E" w:rsidRPr="00F205BE">
        <w:rPr>
          <w:rFonts w:ascii="Times New Roman" w:hAnsi="Times New Roman" w:cs="Times New Roman"/>
        </w:rPr>
        <w:t xml:space="preserve">reallotment would serve the public interest because </w:t>
      </w:r>
      <w:r w:rsidR="00C95343" w:rsidRPr="00F205BE">
        <w:rPr>
          <w:rFonts w:ascii="Times New Roman" w:hAnsi="Times New Roman" w:cs="Times New Roman"/>
        </w:rPr>
        <w:t>approximately 2,000</w:t>
      </w:r>
      <w:r w:rsidR="00010A7E" w:rsidRPr="00F205BE">
        <w:rPr>
          <w:rFonts w:ascii="Times New Roman" w:hAnsi="Times New Roman" w:cs="Times New Roman"/>
        </w:rPr>
        <w:t xml:space="preserve"> persons would be reduced from five to four aural service</w:t>
      </w:r>
      <w:r w:rsidR="00D30304" w:rsidRPr="00F205BE">
        <w:rPr>
          <w:rFonts w:ascii="Times New Roman" w:hAnsi="Times New Roman" w:cs="Times New Roman"/>
        </w:rPr>
        <w:t>s</w:t>
      </w:r>
      <w:r w:rsidR="00010A7E" w:rsidRPr="00F205BE">
        <w:rPr>
          <w:rFonts w:ascii="Times New Roman" w:hAnsi="Times New Roman" w:cs="Times New Roman"/>
        </w:rPr>
        <w:t xml:space="preserve"> and Magnolia would be left </w:t>
      </w:r>
      <w:r w:rsidR="00D30304" w:rsidRPr="00F205BE">
        <w:rPr>
          <w:rFonts w:ascii="Times New Roman" w:hAnsi="Times New Roman" w:cs="Times New Roman"/>
        </w:rPr>
        <w:t xml:space="preserve">only </w:t>
      </w:r>
      <w:r w:rsidR="00010A7E" w:rsidRPr="00F205BE">
        <w:rPr>
          <w:rFonts w:ascii="Times New Roman" w:hAnsi="Times New Roman" w:cs="Times New Roman"/>
        </w:rPr>
        <w:t xml:space="preserve">with an AM station with limited nighttime service; </w:t>
      </w:r>
      <w:r w:rsidR="00BD570C" w:rsidRPr="00F205BE">
        <w:rPr>
          <w:rFonts w:ascii="Times New Roman" w:hAnsi="Times New Roman" w:cs="Times New Roman"/>
        </w:rPr>
        <w:t>(4)</w:t>
      </w:r>
      <w:r w:rsidR="00CA38E5" w:rsidRPr="00F205BE">
        <w:rPr>
          <w:rFonts w:ascii="Times New Roman" w:hAnsi="Times New Roman" w:cs="Times New Roman"/>
        </w:rPr>
        <w:t xml:space="preserve"> in finding that the relocation of </w:t>
      </w:r>
      <w:r w:rsidR="00D30304" w:rsidRPr="00F205BE">
        <w:rPr>
          <w:rFonts w:ascii="Times New Roman" w:hAnsi="Times New Roman" w:cs="Times New Roman"/>
        </w:rPr>
        <w:t>the Station</w:t>
      </w:r>
      <w:r w:rsidR="00CA38E5" w:rsidRPr="00F205BE">
        <w:rPr>
          <w:rFonts w:ascii="Times New Roman" w:hAnsi="Times New Roman" w:cs="Times New Roman"/>
        </w:rPr>
        <w:t xml:space="preserve"> to a more urbanized area </w:t>
      </w:r>
      <w:r w:rsidR="009617C1" w:rsidRPr="00F205BE">
        <w:rPr>
          <w:rFonts w:ascii="Times New Roman" w:hAnsi="Times New Roman" w:cs="Times New Roman"/>
        </w:rPr>
        <w:t>would result in a preferential arrangement of allotments;</w:t>
      </w:r>
      <w:r w:rsidR="00CA38E5" w:rsidRPr="00F205BE">
        <w:rPr>
          <w:rStyle w:val="FootnoteReference"/>
          <w:rFonts w:cs="Times New Roman"/>
        </w:rPr>
        <w:footnoteReference w:id="11"/>
      </w:r>
      <w:r w:rsidR="009617C1" w:rsidRPr="00F205BE">
        <w:rPr>
          <w:rFonts w:ascii="Times New Roman" w:hAnsi="Times New Roman" w:cs="Times New Roman"/>
        </w:rPr>
        <w:t xml:space="preserve"> </w:t>
      </w:r>
      <w:r w:rsidR="00D92325" w:rsidRPr="00F205BE">
        <w:rPr>
          <w:rFonts w:ascii="Times New Roman" w:hAnsi="Times New Roman" w:cs="Times New Roman"/>
        </w:rPr>
        <w:t xml:space="preserve">and </w:t>
      </w:r>
      <w:r w:rsidR="00E76F3F" w:rsidRPr="00F205BE">
        <w:rPr>
          <w:rFonts w:ascii="Times New Roman" w:hAnsi="Times New Roman" w:cs="Times New Roman"/>
        </w:rPr>
        <w:t>(</w:t>
      </w:r>
      <w:r w:rsidR="00010A7E" w:rsidRPr="00F205BE">
        <w:rPr>
          <w:rFonts w:ascii="Times New Roman" w:hAnsi="Times New Roman" w:cs="Times New Roman"/>
        </w:rPr>
        <w:t>5</w:t>
      </w:r>
      <w:r w:rsidR="00E76F3F" w:rsidRPr="00F205BE">
        <w:rPr>
          <w:rFonts w:ascii="Times New Roman" w:hAnsi="Times New Roman" w:cs="Times New Roman"/>
        </w:rPr>
        <w:t xml:space="preserve">) in not adequately addressing </w:t>
      </w:r>
      <w:r w:rsidR="00D30304" w:rsidRPr="00F205BE">
        <w:rPr>
          <w:rFonts w:ascii="Times New Roman" w:hAnsi="Times New Roman" w:cs="Times New Roman"/>
        </w:rPr>
        <w:t xml:space="preserve">its </w:t>
      </w:r>
      <w:r w:rsidR="00E76F3F" w:rsidRPr="00F205BE">
        <w:rPr>
          <w:rFonts w:ascii="Times New Roman" w:hAnsi="Times New Roman" w:cs="Times New Roman"/>
        </w:rPr>
        <w:t xml:space="preserve">allegation that </w:t>
      </w:r>
      <w:r w:rsidR="00D90B5C" w:rsidRPr="00F205BE">
        <w:rPr>
          <w:rFonts w:ascii="Times New Roman" w:hAnsi="Times New Roman" w:cs="Times New Roman"/>
        </w:rPr>
        <w:t>Cumulus</w:t>
      </w:r>
      <w:r w:rsidR="00E76F3F" w:rsidRPr="00F205BE">
        <w:rPr>
          <w:rFonts w:ascii="Times New Roman" w:hAnsi="Times New Roman" w:cs="Times New Roman"/>
        </w:rPr>
        <w:t xml:space="preserve"> </w:t>
      </w:r>
      <w:r w:rsidR="00D30304" w:rsidRPr="00F205BE">
        <w:rPr>
          <w:rFonts w:ascii="Times New Roman" w:hAnsi="Times New Roman" w:cs="Times New Roman"/>
        </w:rPr>
        <w:t xml:space="preserve">had </w:t>
      </w:r>
      <w:r w:rsidR="00E76F3F" w:rsidRPr="00F205BE">
        <w:rPr>
          <w:rFonts w:ascii="Times New Roman" w:hAnsi="Times New Roman" w:cs="Times New Roman"/>
        </w:rPr>
        <w:t>engaged in misrepresentation and lack</w:t>
      </w:r>
      <w:r w:rsidR="00C4485C" w:rsidRPr="00F205BE">
        <w:rPr>
          <w:rFonts w:ascii="Times New Roman" w:hAnsi="Times New Roman" w:cs="Times New Roman"/>
        </w:rPr>
        <w:t>ed</w:t>
      </w:r>
      <w:r w:rsidR="00E76F3F" w:rsidRPr="00F205BE">
        <w:rPr>
          <w:rFonts w:ascii="Times New Roman" w:hAnsi="Times New Roman" w:cs="Times New Roman"/>
        </w:rPr>
        <w:t xml:space="preserve"> candor</w:t>
      </w:r>
      <w:r w:rsidR="00C4485C" w:rsidRPr="00F205BE">
        <w:rPr>
          <w:rFonts w:ascii="Times New Roman" w:hAnsi="Times New Roman" w:cs="Times New Roman"/>
        </w:rPr>
        <w:t xml:space="preserve"> in claiming a first local service priority at Oil City</w:t>
      </w:r>
      <w:r w:rsidR="00500046" w:rsidRPr="00F205BE">
        <w:rPr>
          <w:rFonts w:ascii="Times New Roman" w:hAnsi="Times New Roman" w:cs="Times New Roman"/>
        </w:rPr>
        <w:t xml:space="preserve"> and then</w:t>
      </w:r>
      <w:r w:rsidR="000602C1" w:rsidRPr="00F205BE">
        <w:rPr>
          <w:rFonts w:ascii="Times New Roman" w:hAnsi="Times New Roman" w:cs="Times New Roman"/>
        </w:rPr>
        <w:t>, after approval of the reallocation,</w:t>
      </w:r>
      <w:r w:rsidR="00500046" w:rsidRPr="00F205BE">
        <w:rPr>
          <w:rFonts w:ascii="Times New Roman" w:hAnsi="Times New Roman" w:cs="Times New Roman"/>
        </w:rPr>
        <w:t xml:space="preserve"> filing an application</w:t>
      </w:r>
      <w:r w:rsidR="00500046" w:rsidRPr="00F205BE">
        <w:rPr>
          <w:rStyle w:val="FootnoteReference"/>
          <w:rFonts w:cs="Times New Roman"/>
        </w:rPr>
        <w:footnoteReference w:id="12"/>
      </w:r>
      <w:r w:rsidR="00500046" w:rsidRPr="00F205BE">
        <w:rPr>
          <w:rFonts w:ascii="Times New Roman" w:hAnsi="Times New Roman" w:cs="Times New Roman"/>
        </w:rPr>
        <w:t xml:space="preserve"> for </w:t>
      </w:r>
      <w:r w:rsidR="00D30304" w:rsidRPr="00F205BE">
        <w:rPr>
          <w:rFonts w:ascii="Times New Roman" w:hAnsi="Times New Roman" w:cs="Times New Roman"/>
        </w:rPr>
        <w:t xml:space="preserve">modified </w:t>
      </w:r>
      <w:r w:rsidR="00E921C3" w:rsidRPr="00F205BE">
        <w:rPr>
          <w:rFonts w:ascii="Times New Roman" w:hAnsi="Times New Roman" w:cs="Times New Roman"/>
        </w:rPr>
        <w:t xml:space="preserve">Station </w:t>
      </w:r>
      <w:r w:rsidR="00500046" w:rsidRPr="00F205BE">
        <w:rPr>
          <w:rFonts w:ascii="Times New Roman" w:hAnsi="Times New Roman" w:cs="Times New Roman"/>
        </w:rPr>
        <w:t>facilities that would place a 70 dBu signal over the entire Shreveport Urbanized Area</w:t>
      </w:r>
      <w:r w:rsidR="00A23200" w:rsidRPr="00F205BE">
        <w:rPr>
          <w:rFonts w:ascii="Times New Roman" w:hAnsi="Times New Roman" w:cs="Times New Roman"/>
        </w:rPr>
        <w:t>.</w:t>
      </w:r>
      <w:r w:rsidR="003F65D9" w:rsidRPr="00F205BE">
        <w:rPr>
          <w:rStyle w:val="FootnoteReference"/>
          <w:rFonts w:cs="Times New Roman"/>
        </w:rPr>
        <w:footnoteReference w:id="13"/>
      </w:r>
      <w:r w:rsidR="00A23200" w:rsidRPr="00F205BE">
        <w:rPr>
          <w:rFonts w:ascii="Times New Roman" w:hAnsi="Times New Roman" w:cs="Times New Roman"/>
        </w:rPr>
        <w:t xml:space="preserve"> </w:t>
      </w:r>
      <w:r w:rsidR="00F56EB6" w:rsidRPr="00F205BE">
        <w:rPr>
          <w:rFonts w:ascii="Times New Roman" w:hAnsi="Times New Roman" w:cs="Times New Roman"/>
        </w:rPr>
        <w:t xml:space="preserve"> </w:t>
      </w:r>
      <w:r w:rsidR="004802A6" w:rsidRPr="00F205BE">
        <w:rPr>
          <w:rFonts w:ascii="Times New Roman" w:hAnsi="Times New Roman" w:cs="Times New Roman"/>
        </w:rPr>
        <w:t>Access.1 also argues that</w:t>
      </w:r>
      <w:r w:rsidR="00F56EB6" w:rsidRPr="00F205BE">
        <w:rPr>
          <w:rFonts w:ascii="Times New Roman" w:hAnsi="Times New Roman" w:cs="Times New Roman"/>
        </w:rPr>
        <w:t xml:space="preserve"> </w:t>
      </w:r>
      <w:r w:rsidR="00276861" w:rsidRPr="00F205BE">
        <w:rPr>
          <w:rFonts w:ascii="Times New Roman" w:hAnsi="Times New Roman" w:cs="Times New Roman"/>
        </w:rPr>
        <w:t xml:space="preserve">the </w:t>
      </w:r>
      <w:r w:rsidR="00D30304" w:rsidRPr="00F205BE">
        <w:rPr>
          <w:rFonts w:ascii="Times New Roman" w:hAnsi="Times New Roman" w:cs="Times New Roman"/>
        </w:rPr>
        <w:t xml:space="preserve">Commission’s </w:t>
      </w:r>
      <w:r w:rsidR="00276861" w:rsidRPr="00F205BE">
        <w:rPr>
          <w:rFonts w:ascii="Times New Roman" w:hAnsi="Times New Roman" w:cs="Times New Roman"/>
          <w:i/>
        </w:rPr>
        <w:t>Tuck</w:t>
      </w:r>
      <w:r w:rsidR="00276861" w:rsidRPr="00F205BE">
        <w:rPr>
          <w:rFonts w:ascii="Times New Roman" w:hAnsi="Times New Roman" w:cs="Times New Roman"/>
        </w:rPr>
        <w:t xml:space="preserve"> policy in general is arbitrary and capricious because it is not supported by any measurable method of determining local program service and is inconsistent with the Commission’s newly adopted Arbitron radio market definition for the multiple</w:t>
      </w:r>
      <w:r w:rsidR="004802A6" w:rsidRPr="00F205BE">
        <w:rPr>
          <w:rFonts w:ascii="Times New Roman" w:hAnsi="Times New Roman" w:cs="Times New Roman"/>
        </w:rPr>
        <w:t xml:space="preserve"> </w:t>
      </w:r>
      <w:r w:rsidR="00276861" w:rsidRPr="00F205BE">
        <w:rPr>
          <w:rFonts w:ascii="Times New Roman" w:hAnsi="Times New Roman" w:cs="Times New Roman"/>
        </w:rPr>
        <w:t>ownership rules.</w:t>
      </w:r>
      <w:r w:rsidR="00276861" w:rsidRPr="00F205BE">
        <w:rPr>
          <w:rStyle w:val="FootnoteReference"/>
          <w:rFonts w:cs="Times New Roman"/>
        </w:rPr>
        <w:footnoteReference w:id="14"/>
      </w:r>
      <w:r w:rsidR="00F217E8" w:rsidRPr="00F205BE">
        <w:rPr>
          <w:rFonts w:ascii="Times New Roman" w:hAnsi="Times New Roman" w:cs="Times New Roman"/>
        </w:rPr>
        <w:t xml:space="preserve">  </w:t>
      </w:r>
    </w:p>
    <w:p w:rsidR="005D4F1E" w:rsidRPr="00F205BE" w:rsidRDefault="00165E44" w:rsidP="00E8622E">
      <w:pPr>
        <w:pStyle w:val="ParaNum"/>
        <w:spacing w:line="240" w:lineRule="auto"/>
        <w:rPr>
          <w:rFonts w:ascii="Times New Roman" w:hAnsi="Times New Roman" w:cs="Times New Roman"/>
        </w:rPr>
      </w:pPr>
      <w:r w:rsidRPr="00F205BE">
        <w:rPr>
          <w:rFonts w:ascii="Times New Roman" w:hAnsi="Times New Roman" w:cs="Times New Roman"/>
          <w:b/>
        </w:rPr>
        <w:t xml:space="preserve">Discussion.  </w:t>
      </w:r>
      <w:r w:rsidR="008F7E6A" w:rsidRPr="00F205BE">
        <w:rPr>
          <w:rFonts w:ascii="Times New Roman" w:hAnsi="Times New Roman" w:cs="Times New Roman"/>
        </w:rPr>
        <w:t xml:space="preserve">We have carefully reviewed the </w:t>
      </w:r>
      <w:r w:rsidR="008F7E6A" w:rsidRPr="00F205BE">
        <w:rPr>
          <w:rFonts w:ascii="Times New Roman" w:hAnsi="Times New Roman" w:cs="Times New Roman"/>
          <w:i/>
        </w:rPr>
        <w:t>Magnolia Reconsideration Decision</w:t>
      </w:r>
      <w:r w:rsidR="008F7E6A" w:rsidRPr="00F205BE">
        <w:rPr>
          <w:rFonts w:ascii="Times New Roman" w:hAnsi="Times New Roman" w:cs="Times New Roman"/>
        </w:rPr>
        <w:t xml:space="preserve"> and the full record of this rule making proceeding.  We conclude that Access.1 has not demonstrated that the Bureau erred with respect to the first </w:t>
      </w:r>
      <w:r w:rsidR="00FF3CFB" w:rsidRPr="00F205BE">
        <w:rPr>
          <w:rFonts w:ascii="Times New Roman" w:hAnsi="Times New Roman" w:cs="Times New Roman"/>
        </w:rPr>
        <w:t>three</w:t>
      </w:r>
      <w:r w:rsidR="008F7E6A" w:rsidRPr="00F205BE">
        <w:rPr>
          <w:rFonts w:ascii="Times New Roman" w:hAnsi="Times New Roman" w:cs="Times New Roman"/>
        </w:rPr>
        <w:t xml:space="preserve"> issues</w:t>
      </w:r>
      <w:r w:rsidR="00D30304" w:rsidRPr="00F205BE">
        <w:rPr>
          <w:rFonts w:ascii="Times New Roman" w:hAnsi="Times New Roman" w:cs="Times New Roman"/>
        </w:rPr>
        <w:t xml:space="preserve"> noted above that it raises in its AFR</w:t>
      </w:r>
      <w:r w:rsidR="008F7E6A" w:rsidRPr="00F205BE">
        <w:rPr>
          <w:rFonts w:ascii="Times New Roman" w:hAnsi="Times New Roman" w:cs="Times New Roman"/>
        </w:rPr>
        <w:t xml:space="preserve">.  </w:t>
      </w:r>
      <w:r w:rsidR="009C2360" w:rsidRPr="00F205BE">
        <w:rPr>
          <w:rFonts w:ascii="Times New Roman" w:hAnsi="Times New Roman" w:cs="Times New Roman"/>
        </w:rPr>
        <w:t xml:space="preserve">The </w:t>
      </w:r>
      <w:r w:rsidR="009C2360" w:rsidRPr="00F205BE">
        <w:rPr>
          <w:rFonts w:ascii="Times New Roman" w:hAnsi="Times New Roman" w:cs="Times New Roman"/>
          <w:i/>
        </w:rPr>
        <w:t xml:space="preserve">Magnolia </w:t>
      </w:r>
      <w:r w:rsidR="009C2360" w:rsidRPr="00F205BE">
        <w:rPr>
          <w:rFonts w:ascii="Times New Roman" w:hAnsi="Times New Roman" w:cs="Times New Roman"/>
          <w:i/>
        </w:rPr>
        <w:lastRenderedPageBreak/>
        <w:t>Reconsideration Decision</w:t>
      </w:r>
      <w:r w:rsidR="009C2360" w:rsidRPr="00F205BE">
        <w:rPr>
          <w:rFonts w:ascii="Times New Roman" w:hAnsi="Times New Roman" w:cs="Times New Roman"/>
        </w:rPr>
        <w:t xml:space="preserve"> </w:t>
      </w:r>
      <w:r w:rsidR="00AB3D05" w:rsidRPr="00F205BE">
        <w:rPr>
          <w:rFonts w:ascii="Times New Roman" w:hAnsi="Times New Roman" w:cs="Times New Roman"/>
        </w:rPr>
        <w:t xml:space="preserve">and the </w:t>
      </w:r>
      <w:r w:rsidR="00AB3D05" w:rsidRPr="00F205BE">
        <w:rPr>
          <w:rFonts w:ascii="Times New Roman" w:hAnsi="Times New Roman" w:cs="Times New Roman"/>
          <w:i/>
        </w:rPr>
        <w:t xml:space="preserve">Magnolia R&amp;O </w:t>
      </w:r>
      <w:r w:rsidR="005D4F1E" w:rsidRPr="00F205BE">
        <w:rPr>
          <w:rFonts w:ascii="Times New Roman" w:hAnsi="Times New Roman" w:cs="Times New Roman"/>
        </w:rPr>
        <w:t>sufficiently addressed</w:t>
      </w:r>
      <w:r w:rsidR="009C2360" w:rsidRPr="00F205BE">
        <w:rPr>
          <w:rFonts w:ascii="Times New Roman" w:hAnsi="Times New Roman" w:cs="Times New Roman"/>
        </w:rPr>
        <w:t xml:space="preserve"> the issues raised, and we uphold</w:t>
      </w:r>
      <w:r w:rsidR="00AB3D05" w:rsidRPr="00F205BE">
        <w:rPr>
          <w:rFonts w:ascii="Times New Roman" w:hAnsi="Times New Roman" w:cs="Times New Roman"/>
        </w:rPr>
        <w:t xml:space="preserve"> those </w:t>
      </w:r>
      <w:r w:rsidR="00701420" w:rsidRPr="00F205BE">
        <w:rPr>
          <w:rFonts w:ascii="Times New Roman" w:hAnsi="Times New Roman" w:cs="Times New Roman"/>
        </w:rPr>
        <w:t>decisions</w:t>
      </w:r>
      <w:r w:rsidR="00EA0A24" w:rsidRPr="00F205BE">
        <w:rPr>
          <w:rFonts w:ascii="Times New Roman" w:hAnsi="Times New Roman" w:cs="Times New Roman"/>
        </w:rPr>
        <w:t xml:space="preserve"> </w:t>
      </w:r>
      <w:r w:rsidR="009C2360" w:rsidRPr="00F205BE">
        <w:rPr>
          <w:rFonts w:ascii="Times New Roman" w:hAnsi="Times New Roman" w:cs="Times New Roman"/>
        </w:rPr>
        <w:t>for the reasons stated therein.</w:t>
      </w:r>
      <w:r w:rsidR="00701420" w:rsidRPr="00F205BE">
        <w:rPr>
          <w:rStyle w:val="FootnoteReference"/>
          <w:rFonts w:cs="Times New Roman"/>
        </w:rPr>
        <w:footnoteReference w:id="15"/>
      </w:r>
    </w:p>
    <w:p w:rsidR="000A18F6" w:rsidRPr="00F205BE" w:rsidRDefault="0070215B" w:rsidP="00E8622E">
      <w:pPr>
        <w:pStyle w:val="ParaNum"/>
        <w:spacing w:line="240" w:lineRule="auto"/>
        <w:rPr>
          <w:rFonts w:ascii="Times New Roman" w:hAnsi="Times New Roman" w:cs="Times New Roman"/>
        </w:rPr>
      </w:pPr>
      <w:r w:rsidRPr="00F205BE">
        <w:rPr>
          <w:rFonts w:ascii="Times New Roman" w:hAnsi="Times New Roman" w:cs="Times New Roman"/>
        </w:rPr>
        <w:t xml:space="preserve">We believe, however, that some additional discussion is warranted regarding </w:t>
      </w:r>
      <w:r w:rsidR="00DA1EEE" w:rsidRPr="00F205BE">
        <w:rPr>
          <w:rFonts w:ascii="Times New Roman" w:hAnsi="Times New Roman" w:cs="Times New Roman"/>
        </w:rPr>
        <w:t>the remaining</w:t>
      </w:r>
      <w:r w:rsidR="00F40128" w:rsidRPr="00F205BE">
        <w:rPr>
          <w:rFonts w:ascii="Times New Roman" w:hAnsi="Times New Roman" w:cs="Times New Roman"/>
        </w:rPr>
        <w:t xml:space="preserve"> issues</w:t>
      </w:r>
      <w:r w:rsidR="00C1131B" w:rsidRPr="00F205BE">
        <w:rPr>
          <w:rFonts w:ascii="Times New Roman" w:hAnsi="Times New Roman" w:cs="Times New Roman"/>
        </w:rPr>
        <w:t xml:space="preserve"> raised by Access.1 in its AFR</w:t>
      </w:r>
      <w:r w:rsidR="00F40128" w:rsidRPr="00F205BE">
        <w:rPr>
          <w:rFonts w:ascii="Times New Roman" w:hAnsi="Times New Roman" w:cs="Times New Roman"/>
        </w:rPr>
        <w:t>.</w:t>
      </w:r>
      <w:r w:rsidR="000A18F6" w:rsidRPr="00F205BE">
        <w:rPr>
          <w:rFonts w:ascii="Times New Roman" w:hAnsi="Times New Roman" w:cs="Times New Roman"/>
        </w:rPr>
        <w:t xml:space="preserve">  First, Access.1 claims that the Bureau failed to </w:t>
      </w:r>
      <w:r w:rsidR="00BD570C" w:rsidRPr="00F205BE">
        <w:rPr>
          <w:rFonts w:ascii="Times New Roman" w:hAnsi="Times New Roman" w:cs="Times New Roman"/>
        </w:rPr>
        <w:t xml:space="preserve">prevent the migration of Station KQHN(FM) from a rural community to </w:t>
      </w:r>
      <w:r w:rsidR="004D1382" w:rsidRPr="00F205BE">
        <w:rPr>
          <w:rFonts w:ascii="Times New Roman" w:hAnsi="Times New Roman" w:cs="Times New Roman"/>
        </w:rPr>
        <w:t>an urban area</w:t>
      </w:r>
      <w:r w:rsidR="00BD570C" w:rsidRPr="00F205BE">
        <w:rPr>
          <w:rFonts w:ascii="Times New Roman" w:hAnsi="Times New Roman" w:cs="Times New Roman"/>
        </w:rPr>
        <w:t xml:space="preserve"> as it </w:t>
      </w:r>
      <w:r w:rsidR="00C1131B" w:rsidRPr="00F205BE">
        <w:rPr>
          <w:rFonts w:ascii="Times New Roman" w:hAnsi="Times New Roman" w:cs="Times New Roman"/>
        </w:rPr>
        <w:t xml:space="preserve">maintains </w:t>
      </w:r>
      <w:r w:rsidR="00BD570C" w:rsidRPr="00F205BE">
        <w:rPr>
          <w:rFonts w:ascii="Times New Roman" w:hAnsi="Times New Roman" w:cs="Times New Roman"/>
        </w:rPr>
        <w:t xml:space="preserve">is required by the </w:t>
      </w:r>
      <w:r w:rsidR="00C1131B" w:rsidRPr="00F205BE">
        <w:rPr>
          <w:rFonts w:ascii="Times New Roman" w:hAnsi="Times New Roman" w:cs="Times New Roman"/>
        </w:rPr>
        <w:t xml:space="preserve">analysis announced in the Commission’s </w:t>
      </w:r>
      <w:r w:rsidR="006B0F2E" w:rsidRPr="00F205BE">
        <w:rPr>
          <w:rFonts w:ascii="Times New Roman" w:hAnsi="Times New Roman" w:cs="Times New Roman"/>
          <w:i/>
        </w:rPr>
        <w:t xml:space="preserve">Community of License </w:t>
      </w:r>
      <w:r w:rsidR="006B0F2E" w:rsidRPr="00F205BE">
        <w:rPr>
          <w:rFonts w:ascii="Times New Roman" w:hAnsi="Times New Roman" w:cs="Times New Roman"/>
        </w:rPr>
        <w:t>proceeding.</w:t>
      </w:r>
      <w:r w:rsidR="003F1F66" w:rsidRPr="00F205BE">
        <w:rPr>
          <w:rStyle w:val="FootnoteReference"/>
          <w:rFonts w:cs="Times New Roman"/>
        </w:rPr>
        <w:footnoteReference w:id="16"/>
      </w:r>
      <w:r w:rsidR="000A18F6" w:rsidRPr="00F205BE">
        <w:rPr>
          <w:rFonts w:ascii="Times New Roman" w:hAnsi="Times New Roman" w:cs="Times New Roman"/>
        </w:rPr>
        <w:t xml:space="preserve"> We disagree and find that the Bureau appropriately applied the </w:t>
      </w:r>
      <w:r w:rsidR="00E921C3" w:rsidRPr="00F205BE">
        <w:rPr>
          <w:rFonts w:ascii="Times New Roman" w:hAnsi="Times New Roman" w:cs="Times New Roman"/>
        </w:rPr>
        <w:t xml:space="preserve">then-applicable </w:t>
      </w:r>
      <w:r w:rsidR="000A18F6" w:rsidRPr="00F205BE">
        <w:rPr>
          <w:rFonts w:ascii="Times New Roman" w:hAnsi="Times New Roman" w:cs="Times New Roman"/>
          <w:i/>
        </w:rPr>
        <w:t>Community of License</w:t>
      </w:r>
      <w:r w:rsidR="000A18F6" w:rsidRPr="00F205BE">
        <w:rPr>
          <w:rFonts w:ascii="Times New Roman" w:hAnsi="Times New Roman" w:cs="Times New Roman"/>
        </w:rPr>
        <w:t xml:space="preserve"> </w:t>
      </w:r>
      <w:r w:rsidR="006B0F2E" w:rsidRPr="00F205BE">
        <w:rPr>
          <w:rFonts w:ascii="Times New Roman" w:hAnsi="Times New Roman" w:cs="Times New Roman"/>
        </w:rPr>
        <w:t>procedures</w:t>
      </w:r>
      <w:r w:rsidR="009149B2" w:rsidRPr="00F205BE">
        <w:rPr>
          <w:rFonts w:ascii="Times New Roman" w:hAnsi="Times New Roman" w:cs="Times New Roman"/>
        </w:rPr>
        <w:t xml:space="preserve"> in finding that that Oil City is an independent community from the Shreveport Urbanized Area</w:t>
      </w:r>
      <w:r w:rsidR="003F1F66" w:rsidRPr="00F205BE">
        <w:rPr>
          <w:rFonts w:ascii="Times New Roman" w:hAnsi="Times New Roman" w:cs="Times New Roman"/>
          <w:i/>
        </w:rPr>
        <w:t>.</w:t>
      </w:r>
      <w:r w:rsidR="000A18F6" w:rsidRPr="00F205BE">
        <w:rPr>
          <w:rFonts w:ascii="Times New Roman" w:hAnsi="Times New Roman" w:cs="Times New Roman"/>
        </w:rPr>
        <w:t xml:space="preserve">  Contrary to Access.1’s allegations, the overall purpose of </w:t>
      </w:r>
      <w:r w:rsidR="006B0F2E" w:rsidRPr="00F205BE">
        <w:rPr>
          <w:rFonts w:ascii="Times New Roman" w:hAnsi="Times New Roman" w:cs="Times New Roman"/>
        </w:rPr>
        <w:t xml:space="preserve">the </w:t>
      </w:r>
      <w:r w:rsidR="004D1066" w:rsidRPr="00F205BE">
        <w:rPr>
          <w:rFonts w:ascii="Times New Roman" w:hAnsi="Times New Roman" w:cs="Times New Roman"/>
        </w:rPr>
        <w:t xml:space="preserve">analysis established in the </w:t>
      </w:r>
      <w:r w:rsidR="000A18F6" w:rsidRPr="00F205BE">
        <w:rPr>
          <w:rFonts w:ascii="Times New Roman" w:hAnsi="Times New Roman" w:cs="Times New Roman"/>
          <w:i/>
        </w:rPr>
        <w:t>Community of License</w:t>
      </w:r>
      <w:r w:rsidR="006B0F2E" w:rsidRPr="00F205BE">
        <w:rPr>
          <w:rFonts w:ascii="Times New Roman" w:hAnsi="Times New Roman" w:cs="Times New Roman"/>
          <w:i/>
        </w:rPr>
        <w:t xml:space="preserve"> </w:t>
      </w:r>
      <w:r w:rsidR="006B0F2E" w:rsidRPr="00F205BE">
        <w:rPr>
          <w:rFonts w:ascii="Times New Roman" w:hAnsi="Times New Roman" w:cs="Times New Roman"/>
        </w:rPr>
        <w:t>proceeding</w:t>
      </w:r>
      <w:r w:rsidR="000A18F6" w:rsidRPr="00F205BE">
        <w:rPr>
          <w:rFonts w:ascii="Times New Roman" w:hAnsi="Times New Roman" w:cs="Times New Roman"/>
        </w:rPr>
        <w:t xml:space="preserve"> was </w:t>
      </w:r>
      <w:r w:rsidR="00C1131B" w:rsidRPr="00F205BE">
        <w:rPr>
          <w:rFonts w:ascii="Times New Roman" w:hAnsi="Times New Roman" w:cs="Times New Roman"/>
        </w:rPr>
        <w:t>not to prevent the migration of rural stations to urban communities, as it maintains,</w:t>
      </w:r>
      <w:r w:rsidR="00C1131B" w:rsidRPr="00F205BE">
        <w:rPr>
          <w:rStyle w:val="FootnoteReference"/>
          <w:rFonts w:cs="Times New Roman"/>
        </w:rPr>
        <w:footnoteReference w:id="17"/>
      </w:r>
      <w:r w:rsidR="00C1131B" w:rsidRPr="00F205BE">
        <w:rPr>
          <w:rFonts w:ascii="Times New Roman" w:hAnsi="Times New Roman" w:cs="Times New Roman"/>
        </w:rPr>
        <w:t xml:space="preserve"> but </w:t>
      </w:r>
      <w:r w:rsidR="000A18F6" w:rsidRPr="00F205BE">
        <w:rPr>
          <w:rFonts w:ascii="Times New Roman" w:hAnsi="Times New Roman" w:cs="Times New Roman"/>
        </w:rPr>
        <w:t>to encourage “changes to the tables of allotments that would result in a better overall arrangement of allotments.”</w:t>
      </w:r>
      <w:r w:rsidR="0067274A" w:rsidRPr="00F205BE">
        <w:rPr>
          <w:rStyle w:val="FootnoteReference"/>
          <w:rFonts w:cs="Times New Roman"/>
        </w:rPr>
        <w:footnoteReference w:id="18"/>
      </w:r>
      <w:r w:rsidR="000A18F6" w:rsidRPr="00F205BE">
        <w:rPr>
          <w:rFonts w:ascii="Times New Roman" w:hAnsi="Times New Roman" w:cs="Times New Roman"/>
        </w:rPr>
        <w:t xml:space="preserve">  In so</w:t>
      </w:r>
      <w:r w:rsidR="00C1131B" w:rsidRPr="00F205BE">
        <w:rPr>
          <w:rFonts w:ascii="Times New Roman" w:hAnsi="Times New Roman" w:cs="Times New Roman"/>
        </w:rPr>
        <w:t xml:space="preserve"> stating</w:t>
      </w:r>
      <w:r w:rsidR="000A18F6" w:rsidRPr="00F205BE">
        <w:rPr>
          <w:rFonts w:ascii="Times New Roman" w:hAnsi="Times New Roman" w:cs="Times New Roman"/>
        </w:rPr>
        <w:t>, the Commission recognized that “an artificial or purely technical manipulation</w:t>
      </w:r>
      <w:r w:rsidR="00C702BA" w:rsidRPr="00F205BE">
        <w:rPr>
          <w:rFonts w:ascii="Times New Roman" w:hAnsi="Times New Roman" w:cs="Times New Roman"/>
        </w:rPr>
        <w:t xml:space="preserve">” </w:t>
      </w:r>
      <w:r w:rsidR="000A18F6" w:rsidRPr="00F205BE">
        <w:rPr>
          <w:rFonts w:ascii="Times New Roman" w:hAnsi="Times New Roman" w:cs="Times New Roman"/>
        </w:rPr>
        <w:t>of its policies could result in a migration of stations from rural to urban areas.</w:t>
      </w:r>
      <w:r w:rsidR="0067274A" w:rsidRPr="00F205BE">
        <w:rPr>
          <w:rStyle w:val="FootnoteReference"/>
          <w:rFonts w:cs="Times New Roman"/>
        </w:rPr>
        <w:footnoteReference w:id="19"/>
      </w:r>
      <w:r w:rsidR="000A18F6" w:rsidRPr="00F205BE">
        <w:rPr>
          <w:rFonts w:ascii="Times New Roman" w:hAnsi="Times New Roman" w:cs="Times New Roman"/>
        </w:rPr>
        <w:t xml:space="preserve">  To prevent such manipulation, the Commission directed the staff to apply the </w:t>
      </w:r>
      <w:r w:rsidR="000A18F6" w:rsidRPr="00F205BE">
        <w:rPr>
          <w:rFonts w:ascii="Times New Roman" w:hAnsi="Times New Roman" w:cs="Times New Roman"/>
          <w:i/>
        </w:rPr>
        <w:t>Tuck</w:t>
      </w:r>
      <w:r w:rsidR="000A18F6" w:rsidRPr="00F205BE">
        <w:rPr>
          <w:rFonts w:ascii="Times New Roman" w:hAnsi="Times New Roman" w:cs="Times New Roman"/>
        </w:rPr>
        <w:t xml:space="preserve"> test to safeguard against such manipulation.  That is </w:t>
      </w:r>
      <w:r w:rsidR="002765A1" w:rsidRPr="00F205BE">
        <w:rPr>
          <w:rFonts w:ascii="Times New Roman" w:hAnsi="Times New Roman" w:cs="Times New Roman"/>
        </w:rPr>
        <w:t>exactly</w:t>
      </w:r>
      <w:r w:rsidR="000A18F6" w:rsidRPr="00F205BE">
        <w:rPr>
          <w:rFonts w:ascii="Times New Roman" w:hAnsi="Times New Roman" w:cs="Times New Roman"/>
        </w:rPr>
        <w:t xml:space="preserve"> what occurred in this case.  </w:t>
      </w:r>
      <w:r w:rsidR="000B2175" w:rsidRPr="00F205BE">
        <w:rPr>
          <w:rFonts w:ascii="Times New Roman" w:hAnsi="Times New Roman" w:cs="Times New Roman"/>
        </w:rPr>
        <w:t xml:space="preserve">Cumulus submitted a </w:t>
      </w:r>
      <w:r w:rsidR="000B2175" w:rsidRPr="00F205BE">
        <w:rPr>
          <w:rFonts w:ascii="Times New Roman" w:hAnsi="Times New Roman" w:cs="Times New Roman"/>
          <w:i/>
        </w:rPr>
        <w:t xml:space="preserve">Tuck </w:t>
      </w:r>
      <w:r w:rsidR="000B2175" w:rsidRPr="00F205BE">
        <w:rPr>
          <w:rFonts w:ascii="Times New Roman" w:hAnsi="Times New Roman" w:cs="Times New Roman"/>
        </w:rPr>
        <w:t xml:space="preserve">showing, which was </w:t>
      </w:r>
      <w:r w:rsidR="00C1131B" w:rsidRPr="00F205BE">
        <w:rPr>
          <w:rFonts w:ascii="Times New Roman" w:hAnsi="Times New Roman" w:cs="Times New Roman"/>
        </w:rPr>
        <w:t>reviewed by the staff and</w:t>
      </w:r>
      <w:r w:rsidR="001C4919" w:rsidRPr="00F205BE">
        <w:rPr>
          <w:rFonts w:ascii="Times New Roman" w:hAnsi="Times New Roman" w:cs="Times New Roman"/>
        </w:rPr>
        <w:t xml:space="preserve">, based in part on that review, </w:t>
      </w:r>
      <w:r w:rsidR="00C1131B" w:rsidRPr="00F205BE">
        <w:rPr>
          <w:rFonts w:ascii="Times New Roman" w:hAnsi="Times New Roman" w:cs="Times New Roman"/>
        </w:rPr>
        <w:t xml:space="preserve"> </w:t>
      </w:r>
      <w:r w:rsidR="00E921C3" w:rsidRPr="00F205BE">
        <w:rPr>
          <w:rFonts w:ascii="Times New Roman" w:hAnsi="Times New Roman" w:cs="Times New Roman"/>
        </w:rPr>
        <w:t xml:space="preserve">the </w:t>
      </w:r>
      <w:r w:rsidR="00231900" w:rsidRPr="00F205BE">
        <w:rPr>
          <w:rFonts w:ascii="Times New Roman" w:hAnsi="Times New Roman" w:cs="Times New Roman"/>
        </w:rPr>
        <w:t xml:space="preserve">Bureau </w:t>
      </w:r>
      <w:r w:rsidR="000B2175" w:rsidRPr="00F205BE">
        <w:rPr>
          <w:rFonts w:ascii="Times New Roman" w:hAnsi="Times New Roman" w:cs="Times New Roman"/>
        </w:rPr>
        <w:t xml:space="preserve">approved </w:t>
      </w:r>
      <w:r w:rsidR="00231900" w:rsidRPr="00F205BE">
        <w:rPr>
          <w:rFonts w:ascii="Times New Roman" w:hAnsi="Times New Roman" w:cs="Times New Roman"/>
        </w:rPr>
        <w:t xml:space="preserve">the proposal </w:t>
      </w:r>
      <w:r w:rsidR="000B2175" w:rsidRPr="00F205BE">
        <w:rPr>
          <w:rFonts w:ascii="Times New Roman" w:hAnsi="Times New Roman" w:cs="Times New Roman"/>
        </w:rPr>
        <w:t xml:space="preserve">in the </w:t>
      </w:r>
      <w:r w:rsidR="000B2175" w:rsidRPr="00F205BE">
        <w:rPr>
          <w:rFonts w:ascii="Times New Roman" w:hAnsi="Times New Roman" w:cs="Times New Roman"/>
          <w:i/>
        </w:rPr>
        <w:t>Magnolia Reconsideration Decision</w:t>
      </w:r>
      <w:r w:rsidR="000B2175" w:rsidRPr="00F205BE">
        <w:rPr>
          <w:rFonts w:ascii="Times New Roman" w:hAnsi="Times New Roman" w:cs="Times New Roman"/>
        </w:rPr>
        <w:t xml:space="preserve">.  </w:t>
      </w:r>
      <w:r w:rsidR="00C1131B" w:rsidRPr="00F205BE">
        <w:rPr>
          <w:rFonts w:ascii="Times New Roman" w:hAnsi="Times New Roman" w:cs="Times New Roman"/>
        </w:rPr>
        <w:t>Accordingly, w</w:t>
      </w:r>
      <w:r w:rsidR="002765A1" w:rsidRPr="00F205BE">
        <w:rPr>
          <w:rFonts w:ascii="Times New Roman" w:hAnsi="Times New Roman" w:cs="Times New Roman"/>
        </w:rPr>
        <w:t>e</w:t>
      </w:r>
      <w:r w:rsidR="00361479" w:rsidRPr="00F205BE">
        <w:rPr>
          <w:rFonts w:ascii="Times New Roman" w:hAnsi="Times New Roman" w:cs="Times New Roman"/>
        </w:rPr>
        <w:t xml:space="preserve"> find </w:t>
      </w:r>
      <w:r w:rsidR="002765A1" w:rsidRPr="00F205BE">
        <w:rPr>
          <w:rFonts w:ascii="Times New Roman" w:hAnsi="Times New Roman" w:cs="Times New Roman"/>
        </w:rPr>
        <w:t>that the</w:t>
      </w:r>
      <w:r w:rsidR="000B2175" w:rsidRPr="00F205BE">
        <w:rPr>
          <w:rFonts w:ascii="Times New Roman" w:hAnsi="Times New Roman" w:cs="Times New Roman"/>
        </w:rPr>
        <w:t xml:space="preserve"> Bureau</w:t>
      </w:r>
      <w:r w:rsidR="002300F7" w:rsidRPr="00F205BE">
        <w:rPr>
          <w:rFonts w:ascii="Times New Roman" w:hAnsi="Times New Roman" w:cs="Times New Roman"/>
        </w:rPr>
        <w:t>’s disposition of the Petition for Rule</w:t>
      </w:r>
      <w:r w:rsidR="008106E9" w:rsidRPr="00F205BE">
        <w:rPr>
          <w:rFonts w:ascii="Times New Roman" w:hAnsi="Times New Roman" w:cs="Times New Roman"/>
        </w:rPr>
        <w:t xml:space="preserve"> M</w:t>
      </w:r>
      <w:r w:rsidR="002300F7" w:rsidRPr="00F205BE">
        <w:rPr>
          <w:rFonts w:ascii="Times New Roman" w:hAnsi="Times New Roman" w:cs="Times New Roman"/>
        </w:rPr>
        <w:t>aking was fully consistent with</w:t>
      </w:r>
      <w:r w:rsidR="00C1131B" w:rsidRPr="00F205BE">
        <w:rPr>
          <w:rFonts w:ascii="Times New Roman" w:hAnsi="Times New Roman" w:cs="Times New Roman"/>
        </w:rPr>
        <w:t xml:space="preserve"> the analysis</w:t>
      </w:r>
      <w:r w:rsidR="006105A8" w:rsidRPr="00F205BE">
        <w:rPr>
          <w:rFonts w:ascii="Times New Roman" w:hAnsi="Times New Roman" w:cs="Times New Roman"/>
        </w:rPr>
        <w:t xml:space="preserve"> set forth in </w:t>
      </w:r>
      <w:r w:rsidR="000B2175" w:rsidRPr="00F205BE">
        <w:rPr>
          <w:rFonts w:ascii="Times New Roman" w:hAnsi="Times New Roman" w:cs="Times New Roman"/>
          <w:i/>
        </w:rPr>
        <w:t>Community of License</w:t>
      </w:r>
      <w:r w:rsidR="00C702BA" w:rsidRPr="00F205BE">
        <w:rPr>
          <w:rFonts w:ascii="Times New Roman" w:hAnsi="Times New Roman" w:cs="Times New Roman"/>
          <w:i/>
        </w:rPr>
        <w:t xml:space="preserve"> </w:t>
      </w:r>
      <w:r w:rsidR="00C702BA" w:rsidRPr="00F205BE">
        <w:rPr>
          <w:rFonts w:ascii="Times New Roman" w:hAnsi="Times New Roman" w:cs="Times New Roman"/>
        </w:rPr>
        <w:t>proceeding.</w:t>
      </w:r>
      <w:r w:rsidR="000B2175" w:rsidRPr="00F205BE">
        <w:rPr>
          <w:rFonts w:ascii="Times New Roman" w:hAnsi="Times New Roman" w:cs="Times New Roman"/>
        </w:rPr>
        <w:t xml:space="preserve"> </w:t>
      </w:r>
    </w:p>
    <w:p w:rsidR="00763398" w:rsidRPr="00F205BE" w:rsidRDefault="009149B2" w:rsidP="00E8622E">
      <w:pPr>
        <w:pStyle w:val="ParaNum"/>
        <w:spacing w:line="240" w:lineRule="auto"/>
        <w:rPr>
          <w:rFonts w:ascii="Times New Roman" w:hAnsi="Times New Roman" w:cs="Times New Roman"/>
        </w:rPr>
      </w:pPr>
      <w:r w:rsidRPr="00F205BE">
        <w:rPr>
          <w:rFonts w:ascii="Times New Roman" w:hAnsi="Times New Roman" w:cs="Times New Roman"/>
        </w:rPr>
        <w:t>Further</w:t>
      </w:r>
      <w:r w:rsidR="00E76986" w:rsidRPr="00F205BE">
        <w:rPr>
          <w:rFonts w:ascii="Times New Roman" w:hAnsi="Times New Roman" w:cs="Times New Roman"/>
        </w:rPr>
        <w:t xml:space="preserve">, </w:t>
      </w:r>
      <w:r w:rsidR="00E2045A" w:rsidRPr="00F205BE">
        <w:rPr>
          <w:rFonts w:ascii="Times New Roman" w:hAnsi="Times New Roman" w:cs="Times New Roman"/>
        </w:rPr>
        <w:t>Access.1</w:t>
      </w:r>
      <w:r w:rsidR="0007381F" w:rsidRPr="00F205BE">
        <w:rPr>
          <w:rFonts w:ascii="Times New Roman" w:hAnsi="Times New Roman" w:cs="Times New Roman"/>
        </w:rPr>
        <w:t xml:space="preserve"> argues that </w:t>
      </w:r>
      <w:r w:rsidR="00E33C5B" w:rsidRPr="00F205BE">
        <w:rPr>
          <w:rFonts w:ascii="Times New Roman" w:hAnsi="Times New Roman" w:cs="Times New Roman"/>
        </w:rPr>
        <w:t>Cumulus</w:t>
      </w:r>
      <w:r w:rsidR="0007381F" w:rsidRPr="00F205BE">
        <w:rPr>
          <w:rFonts w:ascii="Times New Roman" w:hAnsi="Times New Roman" w:cs="Times New Roman"/>
        </w:rPr>
        <w:t xml:space="preserve"> </w:t>
      </w:r>
      <w:r w:rsidR="009617C1" w:rsidRPr="00F205BE">
        <w:rPr>
          <w:rFonts w:ascii="Times New Roman" w:hAnsi="Times New Roman" w:cs="Times New Roman"/>
        </w:rPr>
        <w:t xml:space="preserve">engaged in misrepresentation and/or has shown a lack of candor </w:t>
      </w:r>
      <w:r w:rsidR="00615046" w:rsidRPr="00F205BE">
        <w:rPr>
          <w:rFonts w:ascii="Times New Roman" w:hAnsi="Times New Roman" w:cs="Times New Roman"/>
        </w:rPr>
        <w:t>as to whether</w:t>
      </w:r>
      <w:r w:rsidR="009A36E0" w:rsidRPr="00F205BE">
        <w:rPr>
          <w:rFonts w:ascii="Times New Roman" w:hAnsi="Times New Roman" w:cs="Times New Roman"/>
        </w:rPr>
        <w:t xml:space="preserve"> </w:t>
      </w:r>
      <w:r w:rsidR="00A97E54" w:rsidRPr="00F205BE">
        <w:rPr>
          <w:rFonts w:ascii="Times New Roman" w:hAnsi="Times New Roman" w:cs="Times New Roman"/>
        </w:rPr>
        <w:t>the</w:t>
      </w:r>
      <w:r w:rsidR="009A36E0" w:rsidRPr="00F205BE">
        <w:rPr>
          <w:rFonts w:ascii="Times New Roman" w:hAnsi="Times New Roman" w:cs="Times New Roman"/>
        </w:rPr>
        <w:t xml:space="preserve"> proposal </w:t>
      </w:r>
      <w:r w:rsidR="00956EAB" w:rsidRPr="00F205BE">
        <w:rPr>
          <w:rFonts w:ascii="Times New Roman" w:hAnsi="Times New Roman" w:cs="Times New Roman"/>
        </w:rPr>
        <w:t>would be</w:t>
      </w:r>
      <w:r w:rsidR="009A36E0" w:rsidRPr="00F205BE">
        <w:rPr>
          <w:rFonts w:ascii="Times New Roman" w:hAnsi="Times New Roman" w:cs="Times New Roman"/>
        </w:rPr>
        <w:t xml:space="preserve"> a “move-in” to the Shreveport Urbanized Area</w:t>
      </w:r>
      <w:r w:rsidR="00A728CE" w:rsidRPr="00F205BE">
        <w:rPr>
          <w:rFonts w:ascii="Times New Roman" w:hAnsi="Times New Roman" w:cs="Times New Roman"/>
        </w:rPr>
        <w:t xml:space="preserve"> and that the Bureau erred in dismissing th</w:t>
      </w:r>
      <w:r w:rsidR="00FB6D7D" w:rsidRPr="00F205BE">
        <w:rPr>
          <w:rFonts w:ascii="Times New Roman" w:hAnsi="Times New Roman" w:cs="Times New Roman"/>
        </w:rPr>
        <w:t>is</w:t>
      </w:r>
      <w:r w:rsidR="00A728CE" w:rsidRPr="00F205BE">
        <w:rPr>
          <w:rFonts w:ascii="Times New Roman" w:hAnsi="Times New Roman" w:cs="Times New Roman"/>
        </w:rPr>
        <w:t xml:space="preserve"> argument as </w:t>
      </w:r>
      <w:r w:rsidR="002300F7" w:rsidRPr="00F205BE">
        <w:rPr>
          <w:rFonts w:ascii="Times New Roman" w:hAnsi="Times New Roman" w:cs="Times New Roman"/>
        </w:rPr>
        <w:t>“</w:t>
      </w:r>
      <w:r w:rsidR="00A728CE" w:rsidRPr="00F205BE">
        <w:rPr>
          <w:rFonts w:ascii="Times New Roman" w:hAnsi="Times New Roman" w:cs="Times New Roman"/>
        </w:rPr>
        <w:t>frivolous</w:t>
      </w:r>
      <w:r w:rsidR="00615046" w:rsidRPr="00F205BE">
        <w:rPr>
          <w:rFonts w:ascii="Times New Roman" w:hAnsi="Times New Roman" w:cs="Times New Roman"/>
        </w:rPr>
        <w:t>.</w:t>
      </w:r>
      <w:r w:rsidR="002300F7" w:rsidRPr="00F205BE">
        <w:rPr>
          <w:rFonts w:ascii="Times New Roman" w:hAnsi="Times New Roman" w:cs="Times New Roman"/>
        </w:rPr>
        <w:t>”</w:t>
      </w:r>
      <w:r w:rsidR="00CC5FC8" w:rsidRPr="00F205BE">
        <w:rPr>
          <w:rStyle w:val="FootnoteReference"/>
          <w:rFonts w:cs="Times New Roman"/>
        </w:rPr>
        <w:footnoteReference w:id="20"/>
      </w:r>
      <w:r w:rsidR="009A36E0" w:rsidRPr="00F205BE">
        <w:rPr>
          <w:rFonts w:ascii="Times New Roman" w:hAnsi="Times New Roman" w:cs="Times New Roman"/>
        </w:rPr>
        <w:t xml:space="preserve"> </w:t>
      </w:r>
      <w:r w:rsidR="00891DED" w:rsidRPr="00F205BE">
        <w:rPr>
          <w:rFonts w:ascii="Times New Roman" w:hAnsi="Times New Roman" w:cs="Times New Roman"/>
        </w:rPr>
        <w:t xml:space="preserve"> </w:t>
      </w:r>
      <w:r w:rsidR="0007381F" w:rsidRPr="00F205BE">
        <w:rPr>
          <w:rFonts w:ascii="Times New Roman" w:hAnsi="Times New Roman" w:cs="Times New Roman"/>
        </w:rPr>
        <w:t xml:space="preserve">Misrepresentation involves false statements made </w:t>
      </w:r>
      <w:r w:rsidR="00FB6D7D" w:rsidRPr="00F205BE">
        <w:rPr>
          <w:rFonts w:ascii="Times New Roman" w:hAnsi="Times New Roman" w:cs="Times New Roman"/>
        </w:rPr>
        <w:t xml:space="preserve">to the Commission </w:t>
      </w:r>
      <w:r w:rsidR="0007381F" w:rsidRPr="00F205BE">
        <w:rPr>
          <w:rFonts w:ascii="Times New Roman" w:hAnsi="Times New Roman" w:cs="Times New Roman"/>
        </w:rPr>
        <w:t>with</w:t>
      </w:r>
      <w:r w:rsidR="001B49FB" w:rsidRPr="00F205BE">
        <w:rPr>
          <w:rFonts w:ascii="Times New Roman" w:hAnsi="Times New Roman" w:cs="Times New Roman"/>
        </w:rPr>
        <w:t xml:space="preserve"> </w:t>
      </w:r>
      <w:r w:rsidR="00AD599E" w:rsidRPr="00F205BE">
        <w:rPr>
          <w:rFonts w:ascii="Times New Roman" w:hAnsi="Times New Roman" w:cs="Times New Roman"/>
        </w:rPr>
        <w:t>intent</w:t>
      </w:r>
      <w:r w:rsidR="0007381F" w:rsidRPr="00F205BE">
        <w:rPr>
          <w:rFonts w:ascii="Times New Roman" w:hAnsi="Times New Roman" w:cs="Times New Roman"/>
        </w:rPr>
        <w:t xml:space="preserve"> to dec</w:t>
      </w:r>
      <w:r w:rsidR="00D07313" w:rsidRPr="00F205BE">
        <w:rPr>
          <w:rFonts w:ascii="Times New Roman" w:hAnsi="Times New Roman" w:cs="Times New Roman"/>
        </w:rPr>
        <w:t>eive</w:t>
      </w:r>
      <w:r w:rsidR="0007381F" w:rsidRPr="00F205BE">
        <w:rPr>
          <w:rFonts w:ascii="Times New Roman" w:hAnsi="Times New Roman" w:cs="Times New Roman"/>
        </w:rPr>
        <w:t>.</w:t>
      </w:r>
      <w:r w:rsidR="0007381F" w:rsidRPr="00F205BE">
        <w:rPr>
          <w:rStyle w:val="FootnoteReference"/>
          <w:rFonts w:cs="Times New Roman"/>
        </w:rPr>
        <w:footnoteReference w:id="21"/>
      </w:r>
      <w:r w:rsidR="009A36E0" w:rsidRPr="00F205BE">
        <w:rPr>
          <w:rFonts w:ascii="Times New Roman" w:hAnsi="Times New Roman" w:cs="Times New Roman"/>
        </w:rPr>
        <w:t xml:space="preserve">  </w:t>
      </w:r>
      <w:r w:rsidR="00E52FCA" w:rsidRPr="00F205BE">
        <w:rPr>
          <w:rFonts w:ascii="Times New Roman" w:hAnsi="Times New Roman" w:cs="Times New Roman"/>
        </w:rPr>
        <w:t xml:space="preserve">In this case, </w:t>
      </w:r>
      <w:r w:rsidR="0007381F" w:rsidRPr="00F205BE">
        <w:rPr>
          <w:rFonts w:ascii="Times New Roman" w:hAnsi="Times New Roman" w:cs="Times New Roman"/>
        </w:rPr>
        <w:t>Access.1</w:t>
      </w:r>
      <w:r w:rsidR="00D01122" w:rsidRPr="00F205BE">
        <w:rPr>
          <w:rFonts w:ascii="Times New Roman" w:hAnsi="Times New Roman" w:cs="Times New Roman"/>
        </w:rPr>
        <w:t xml:space="preserve"> has not alleged any specific “false statements”</w:t>
      </w:r>
      <w:r w:rsidR="002300F7" w:rsidRPr="00F205BE">
        <w:rPr>
          <w:rFonts w:ascii="Times New Roman" w:hAnsi="Times New Roman" w:cs="Times New Roman"/>
        </w:rPr>
        <w:t xml:space="preserve"> </w:t>
      </w:r>
      <w:r w:rsidR="00FB6D7D" w:rsidRPr="00F205BE">
        <w:rPr>
          <w:rFonts w:ascii="Times New Roman" w:hAnsi="Times New Roman" w:cs="Times New Roman"/>
        </w:rPr>
        <w:t>by Cumulus.</w:t>
      </w:r>
      <w:r w:rsidR="00D01122" w:rsidRPr="00F205BE">
        <w:rPr>
          <w:rFonts w:ascii="Times New Roman" w:hAnsi="Times New Roman" w:cs="Times New Roman"/>
        </w:rPr>
        <w:t xml:space="preserve">  On the contrary, the Petition for Rule Making specified allotment reference coordinates</w:t>
      </w:r>
      <w:r w:rsidR="00B16180" w:rsidRPr="00F205BE">
        <w:rPr>
          <w:rFonts w:ascii="Times New Roman" w:hAnsi="Times New Roman" w:cs="Times New Roman"/>
        </w:rPr>
        <w:t xml:space="preserve"> </w:t>
      </w:r>
      <w:r w:rsidR="00FB6D7D" w:rsidRPr="00F205BE">
        <w:rPr>
          <w:rFonts w:ascii="Times New Roman" w:hAnsi="Times New Roman" w:cs="Times New Roman"/>
        </w:rPr>
        <w:t xml:space="preserve">of </w:t>
      </w:r>
      <w:r w:rsidR="00D01122" w:rsidRPr="00F205BE">
        <w:rPr>
          <w:rFonts w:ascii="Times New Roman" w:hAnsi="Times New Roman" w:cs="Times New Roman"/>
        </w:rPr>
        <w:t xml:space="preserve">a theoretical </w:t>
      </w:r>
      <w:r w:rsidR="009617C1" w:rsidRPr="00F205BE">
        <w:rPr>
          <w:rFonts w:ascii="Times New Roman" w:hAnsi="Times New Roman" w:cs="Times New Roman"/>
        </w:rPr>
        <w:t>fully spaced</w:t>
      </w:r>
      <w:r w:rsidR="009617C1" w:rsidRPr="00F205BE">
        <w:rPr>
          <w:rStyle w:val="FootnoteReference"/>
          <w:rFonts w:cs="Times New Roman"/>
        </w:rPr>
        <w:footnoteReference w:id="22"/>
      </w:r>
      <w:r w:rsidR="009617C1" w:rsidRPr="00F205BE">
        <w:rPr>
          <w:rFonts w:ascii="Times New Roman" w:hAnsi="Times New Roman" w:cs="Times New Roman"/>
        </w:rPr>
        <w:t xml:space="preserve"> site from which the </w:t>
      </w:r>
      <w:r w:rsidR="00FB6D7D" w:rsidRPr="00F205BE">
        <w:rPr>
          <w:rFonts w:ascii="Times New Roman" w:hAnsi="Times New Roman" w:cs="Times New Roman"/>
        </w:rPr>
        <w:t xml:space="preserve">proposed new </w:t>
      </w:r>
      <w:r w:rsidR="009617C1" w:rsidRPr="00F205BE">
        <w:rPr>
          <w:rFonts w:ascii="Times New Roman" w:hAnsi="Times New Roman" w:cs="Times New Roman"/>
        </w:rPr>
        <w:t xml:space="preserve">community </w:t>
      </w:r>
      <w:r w:rsidR="00FB6D7D" w:rsidRPr="00F205BE">
        <w:rPr>
          <w:rFonts w:ascii="Times New Roman" w:hAnsi="Times New Roman" w:cs="Times New Roman"/>
        </w:rPr>
        <w:t xml:space="preserve">of license </w:t>
      </w:r>
      <w:r w:rsidR="009617C1" w:rsidRPr="00F205BE">
        <w:rPr>
          <w:rFonts w:ascii="Times New Roman" w:hAnsi="Times New Roman" w:cs="Times New Roman"/>
        </w:rPr>
        <w:t>could receive adequate service</w:t>
      </w:r>
      <w:r w:rsidR="00FB6D7D" w:rsidRPr="00F205BE">
        <w:rPr>
          <w:rFonts w:ascii="Times New Roman" w:hAnsi="Times New Roman" w:cs="Times New Roman"/>
        </w:rPr>
        <w:t xml:space="preserve"> from the Station</w:t>
      </w:r>
      <w:r w:rsidR="009617C1" w:rsidRPr="00F205BE">
        <w:rPr>
          <w:rFonts w:ascii="Times New Roman" w:hAnsi="Times New Roman" w:cs="Times New Roman"/>
        </w:rPr>
        <w:t>.</w:t>
      </w:r>
      <w:r w:rsidR="009617C1" w:rsidRPr="00F205BE">
        <w:rPr>
          <w:rStyle w:val="FootnoteReference"/>
          <w:rFonts w:cs="Times New Roman"/>
        </w:rPr>
        <w:footnoteReference w:id="23"/>
      </w:r>
      <w:r w:rsidR="009617C1" w:rsidRPr="00F205BE">
        <w:rPr>
          <w:rFonts w:ascii="Times New Roman" w:hAnsi="Times New Roman" w:cs="Times New Roman"/>
        </w:rPr>
        <w:t xml:space="preserve">  Th</w:t>
      </w:r>
      <w:r w:rsidR="008A360E" w:rsidRPr="00F205BE">
        <w:rPr>
          <w:rFonts w:ascii="Times New Roman" w:hAnsi="Times New Roman" w:cs="Times New Roman"/>
        </w:rPr>
        <w:t>e</w:t>
      </w:r>
      <w:r w:rsidR="009617C1" w:rsidRPr="00F205BE">
        <w:rPr>
          <w:rFonts w:ascii="Times New Roman" w:hAnsi="Times New Roman" w:cs="Times New Roman"/>
        </w:rPr>
        <w:t xml:space="preserve"> specification</w:t>
      </w:r>
      <w:r w:rsidR="0010660A" w:rsidRPr="00F205BE">
        <w:rPr>
          <w:rFonts w:ascii="Times New Roman" w:hAnsi="Times New Roman" w:cs="Times New Roman"/>
        </w:rPr>
        <w:t xml:space="preserve"> </w:t>
      </w:r>
      <w:r w:rsidR="008A360E" w:rsidRPr="00F205BE">
        <w:rPr>
          <w:rFonts w:ascii="Times New Roman" w:hAnsi="Times New Roman" w:cs="Times New Roman"/>
        </w:rPr>
        <w:t>of reference coord</w:t>
      </w:r>
      <w:r w:rsidR="00CA38E5" w:rsidRPr="00F205BE">
        <w:rPr>
          <w:rFonts w:ascii="Times New Roman" w:hAnsi="Times New Roman" w:cs="Times New Roman"/>
        </w:rPr>
        <w:t>i</w:t>
      </w:r>
      <w:r w:rsidR="008A360E" w:rsidRPr="00F205BE">
        <w:rPr>
          <w:rFonts w:ascii="Times New Roman" w:hAnsi="Times New Roman" w:cs="Times New Roman"/>
        </w:rPr>
        <w:t xml:space="preserve">nates in an FM allotment petition for rule making is </w:t>
      </w:r>
      <w:r w:rsidR="0010660A" w:rsidRPr="00F205BE">
        <w:rPr>
          <w:rFonts w:ascii="Times New Roman" w:hAnsi="Times New Roman" w:cs="Times New Roman"/>
        </w:rPr>
        <w:t>not an implicit</w:t>
      </w:r>
      <w:r w:rsidR="002249A5" w:rsidRPr="00F205BE">
        <w:rPr>
          <w:rFonts w:ascii="Times New Roman" w:hAnsi="Times New Roman" w:cs="Times New Roman"/>
        </w:rPr>
        <w:t xml:space="preserve"> </w:t>
      </w:r>
      <w:r w:rsidR="0010660A" w:rsidRPr="00F205BE">
        <w:rPr>
          <w:rFonts w:ascii="Times New Roman" w:hAnsi="Times New Roman" w:cs="Times New Roman"/>
        </w:rPr>
        <w:t xml:space="preserve">pledge </w:t>
      </w:r>
      <w:r w:rsidR="00FB6D7D" w:rsidRPr="00F205BE">
        <w:rPr>
          <w:rFonts w:ascii="Times New Roman" w:hAnsi="Times New Roman" w:cs="Times New Roman"/>
        </w:rPr>
        <w:t xml:space="preserve">by the petitioner </w:t>
      </w:r>
      <w:r w:rsidR="0010660A" w:rsidRPr="00F205BE">
        <w:rPr>
          <w:rFonts w:ascii="Times New Roman" w:hAnsi="Times New Roman" w:cs="Times New Roman"/>
        </w:rPr>
        <w:t xml:space="preserve">to build at that site.  Indeed, under our then-existing procedures, a rule making petitioner </w:t>
      </w:r>
      <w:r w:rsidR="002300F7" w:rsidRPr="00F205BE">
        <w:rPr>
          <w:rFonts w:ascii="Times New Roman" w:hAnsi="Times New Roman" w:cs="Times New Roman"/>
        </w:rPr>
        <w:t xml:space="preserve">was </w:t>
      </w:r>
      <w:r w:rsidR="0010660A" w:rsidRPr="00F205BE">
        <w:rPr>
          <w:rFonts w:ascii="Times New Roman" w:hAnsi="Times New Roman" w:cs="Times New Roman"/>
        </w:rPr>
        <w:t>allowed to specify a different transmitter site at the application stage.</w:t>
      </w:r>
      <w:r w:rsidR="005229F7" w:rsidRPr="00F205BE">
        <w:rPr>
          <w:rStyle w:val="FootnoteReference"/>
          <w:rFonts w:cs="Times New Roman"/>
        </w:rPr>
        <w:footnoteReference w:id="24"/>
      </w:r>
      <w:r w:rsidR="0010660A" w:rsidRPr="00F205BE">
        <w:rPr>
          <w:rFonts w:ascii="Times New Roman" w:hAnsi="Times New Roman" w:cs="Times New Roman"/>
        </w:rPr>
        <w:t xml:space="preserve">  Frequently, different sites </w:t>
      </w:r>
      <w:r w:rsidR="000A2440" w:rsidRPr="00F205BE">
        <w:rPr>
          <w:rFonts w:ascii="Times New Roman" w:hAnsi="Times New Roman" w:cs="Times New Roman"/>
        </w:rPr>
        <w:t>are</w:t>
      </w:r>
      <w:r w:rsidR="0010660A" w:rsidRPr="00F205BE">
        <w:rPr>
          <w:rFonts w:ascii="Times New Roman" w:hAnsi="Times New Roman" w:cs="Times New Roman"/>
        </w:rPr>
        <w:t xml:space="preserve"> specified in the implementing application because a petitioner may not know the ultimate application site at t</w:t>
      </w:r>
      <w:r w:rsidR="001C4919" w:rsidRPr="00F205BE">
        <w:rPr>
          <w:rFonts w:ascii="Times New Roman" w:hAnsi="Times New Roman" w:cs="Times New Roman"/>
        </w:rPr>
        <w:t>he rule making stage or because</w:t>
      </w:r>
      <w:r w:rsidR="00FB6D7D" w:rsidRPr="00F205BE">
        <w:rPr>
          <w:rFonts w:ascii="Times New Roman" w:hAnsi="Times New Roman" w:cs="Times New Roman"/>
        </w:rPr>
        <w:t xml:space="preserve"> it </w:t>
      </w:r>
      <w:r w:rsidR="0010660A" w:rsidRPr="00F205BE">
        <w:rPr>
          <w:rFonts w:ascii="Times New Roman" w:hAnsi="Times New Roman" w:cs="Times New Roman"/>
        </w:rPr>
        <w:t>may desire to specify a short-spaced site under Section 73.215, which is not allowed at the rule making stage.</w:t>
      </w:r>
      <w:r w:rsidR="000A2440" w:rsidRPr="00F205BE">
        <w:rPr>
          <w:rFonts w:ascii="Times New Roman" w:hAnsi="Times New Roman" w:cs="Times New Roman"/>
        </w:rPr>
        <w:t xml:space="preserve">  </w:t>
      </w:r>
      <w:r w:rsidR="007B5406" w:rsidRPr="00F205BE">
        <w:rPr>
          <w:rFonts w:ascii="Times New Roman" w:hAnsi="Times New Roman" w:cs="Times New Roman"/>
        </w:rPr>
        <w:t>Consistent with this approach, Cumulus</w:t>
      </w:r>
      <w:r w:rsidR="000A2440" w:rsidRPr="00F205BE">
        <w:rPr>
          <w:rFonts w:ascii="Times New Roman" w:hAnsi="Times New Roman" w:cs="Times New Roman"/>
        </w:rPr>
        <w:t xml:space="preserve"> specified a different transmitter site in its implementing</w:t>
      </w:r>
      <w:r w:rsidR="00E02F8D" w:rsidRPr="00F205BE">
        <w:rPr>
          <w:rFonts w:ascii="Times New Roman" w:hAnsi="Times New Roman" w:cs="Times New Roman"/>
        </w:rPr>
        <w:t xml:space="preserve"> </w:t>
      </w:r>
      <w:r w:rsidR="000A2440" w:rsidRPr="00F205BE">
        <w:rPr>
          <w:rFonts w:ascii="Times New Roman" w:hAnsi="Times New Roman" w:cs="Times New Roman"/>
        </w:rPr>
        <w:t>application.</w:t>
      </w:r>
      <w:r w:rsidR="00E02F8D" w:rsidRPr="00F205BE">
        <w:rPr>
          <w:rFonts w:ascii="Times New Roman" w:hAnsi="Times New Roman" w:cs="Times New Roman"/>
        </w:rPr>
        <w:t xml:space="preserve"> </w:t>
      </w:r>
      <w:r w:rsidR="007A501D" w:rsidRPr="00F205BE">
        <w:rPr>
          <w:rFonts w:ascii="Times New Roman" w:hAnsi="Times New Roman" w:cs="Times New Roman"/>
        </w:rPr>
        <w:t xml:space="preserve"> </w:t>
      </w:r>
      <w:r w:rsidR="0010660A" w:rsidRPr="00F205BE">
        <w:rPr>
          <w:rFonts w:ascii="Times New Roman" w:hAnsi="Times New Roman" w:cs="Times New Roman"/>
        </w:rPr>
        <w:t xml:space="preserve">Thus, absent any </w:t>
      </w:r>
      <w:r w:rsidR="009E6846" w:rsidRPr="00F205BE">
        <w:rPr>
          <w:rFonts w:ascii="Times New Roman" w:hAnsi="Times New Roman" w:cs="Times New Roman"/>
        </w:rPr>
        <w:t>extrinsic evidence to the contrary</w:t>
      </w:r>
      <w:r w:rsidR="0010660A" w:rsidRPr="00F205BE">
        <w:rPr>
          <w:rFonts w:ascii="Times New Roman" w:hAnsi="Times New Roman" w:cs="Times New Roman"/>
        </w:rPr>
        <w:t xml:space="preserve">, </w:t>
      </w:r>
      <w:r w:rsidR="00FB6D7D" w:rsidRPr="00F205BE">
        <w:rPr>
          <w:rFonts w:ascii="Times New Roman" w:hAnsi="Times New Roman" w:cs="Times New Roman"/>
        </w:rPr>
        <w:t xml:space="preserve">which Access.1 has failed to produce, </w:t>
      </w:r>
      <w:r w:rsidR="0010660A" w:rsidRPr="00F205BE">
        <w:rPr>
          <w:rFonts w:ascii="Times New Roman" w:hAnsi="Times New Roman" w:cs="Times New Roman"/>
        </w:rPr>
        <w:t>a</w:t>
      </w:r>
      <w:r w:rsidR="009E6846" w:rsidRPr="00F205BE">
        <w:rPr>
          <w:rFonts w:ascii="Times New Roman" w:hAnsi="Times New Roman" w:cs="Times New Roman"/>
        </w:rPr>
        <w:t xml:space="preserve"> misrepresentation allegation based on the specification of a different application site is speculative.</w:t>
      </w:r>
      <w:r w:rsidR="006E7FFC" w:rsidRPr="00F205BE">
        <w:rPr>
          <w:rFonts w:ascii="Times New Roman" w:hAnsi="Times New Roman" w:cs="Times New Roman"/>
        </w:rPr>
        <w:t xml:space="preserve">  </w:t>
      </w:r>
    </w:p>
    <w:p w:rsidR="00C315F5" w:rsidRPr="00F205BE" w:rsidRDefault="00B16180" w:rsidP="00E8622E">
      <w:pPr>
        <w:pStyle w:val="ParaNum"/>
        <w:spacing w:line="240" w:lineRule="auto"/>
        <w:rPr>
          <w:rFonts w:ascii="Times New Roman" w:hAnsi="Times New Roman" w:cs="Times New Roman"/>
        </w:rPr>
      </w:pPr>
      <w:r w:rsidRPr="00F205BE">
        <w:rPr>
          <w:rFonts w:ascii="Times New Roman" w:hAnsi="Times New Roman" w:cs="Times New Roman"/>
        </w:rPr>
        <w:t>Access.1’s lack of candor argument</w:t>
      </w:r>
      <w:r w:rsidR="00555CF2" w:rsidRPr="00F205BE">
        <w:rPr>
          <w:rFonts w:ascii="Times New Roman" w:hAnsi="Times New Roman" w:cs="Times New Roman"/>
        </w:rPr>
        <w:t>,</w:t>
      </w:r>
      <w:r w:rsidRPr="00F205BE">
        <w:rPr>
          <w:rFonts w:ascii="Times New Roman" w:hAnsi="Times New Roman" w:cs="Times New Roman"/>
        </w:rPr>
        <w:t xml:space="preserve"> </w:t>
      </w:r>
      <w:r w:rsidR="001A2458" w:rsidRPr="00F205BE">
        <w:rPr>
          <w:rFonts w:ascii="Times New Roman" w:hAnsi="Times New Roman" w:cs="Times New Roman"/>
        </w:rPr>
        <w:t xml:space="preserve">based on </w:t>
      </w:r>
      <w:r w:rsidR="00555CF2" w:rsidRPr="00F205BE">
        <w:rPr>
          <w:rFonts w:ascii="Times New Roman" w:hAnsi="Times New Roman" w:cs="Times New Roman"/>
        </w:rPr>
        <w:t>Cumulus’</w:t>
      </w:r>
      <w:r w:rsidR="00A20971" w:rsidRPr="00F205BE">
        <w:rPr>
          <w:rFonts w:ascii="Times New Roman" w:hAnsi="Times New Roman" w:cs="Times New Roman"/>
        </w:rPr>
        <w:t>s</w:t>
      </w:r>
      <w:r w:rsidR="001A2458" w:rsidRPr="00F205BE">
        <w:rPr>
          <w:rFonts w:ascii="Times New Roman" w:hAnsi="Times New Roman" w:cs="Times New Roman"/>
        </w:rPr>
        <w:t xml:space="preserve"> decision not to specify the reference coordinates in the construction permit application</w:t>
      </w:r>
      <w:r w:rsidR="00F0006D" w:rsidRPr="00F205BE">
        <w:rPr>
          <w:rFonts w:ascii="Times New Roman" w:hAnsi="Times New Roman" w:cs="Times New Roman"/>
        </w:rPr>
        <w:t>,</w:t>
      </w:r>
      <w:r w:rsidR="001A2458" w:rsidRPr="00F205BE">
        <w:rPr>
          <w:rFonts w:ascii="Times New Roman" w:hAnsi="Times New Roman" w:cs="Times New Roman"/>
        </w:rPr>
        <w:t xml:space="preserve"> </w:t>
      </w:r>
      <w:r w:rsidRPr="00F205BE">
        <w:rPr>
          <w:rFonts w:ascii="Times New Roman" w:hAnsi="Times New Roman" w:cs="Times New Roman"/>
        </w:rPr>
        <w:t>fail</w:t>
      </w:r>
      <w:r w:rsidR="001A2458" w:rsidRPr="00F205BE">
        <w:rPr>
          <w:rFonts w:ascii="Times New Roman" w:hAnsi="Times New Roman" w:cs="Times New Roman"/>
        </w:rPr>
        <w:t>s</w:t>
      </w:r>
      <w:r w:rsidRPr="00F205BE">
        <w:rPr>
          <w:rFonts w:ascii="Times New Roman" w:hAnsi="Times New Roman" w:cs="Times New Roman"/>
        </w:rPr>
        <w:t xml:space="preserve"> for similar reasons. As noted above,</w:t>
      </w:r>
      <w:r w:rsidRPr="00F205BE">
        <w:rPr>
          <w:rStyle w:val="FootnoteReference"/>
          <w:rFonts w:cs="Times New Roman"/>
        </w:rPr>
        <w:footnoteReference w:id="25"/>
      </w:r>
      <w:r w:rsidRPr="00F205BE">
        <w:rPr>
          <w:rFonts w:ascii="Times New Roman" w:hAnsi="Times New Roman" w:cs="Times New Roman"/>
        </w:rPr>
        <w:t xml:space="preserve"> reference coordinates are used solely for technical purposes.  </w:t>
      </w:r>
      <w:r w:rsidR="00C315F5" w:rsidRPr="00F205BE">
        <w:rPr>
          <w:rFonts w:ascii="Times New Roman" w:hAnsi="Times New Roman" w:cs="Times New Roman"/>
        </w:rPr>
        <w:t>Thus, t</w:t>
      </w:r>
      <w:r w:rsidRPr="00F205BE">
        <w:rPr>
          <w:rFonts w:ascii="Times New Roman" w:hAnsi="Times New Roman" w:cs="Times New Roman"/>
        </w:rPr>
        <w:t xml:space="preserve">he plan to propose a different transmitter site, including one that would permit service to the entire Shreveport </w:t>
      </w:r>
      <w:r w:rsidR="00555CF2" w:rsidRPr="00F205BE">
        <w:rPr>
          <w:rFonts w:ascii="Times New Roman" w:hAnsi="Times New Roman" w:cs="Times New Roman"/>
        </w:rPr>
        <w:t>Urbanized Area</w:t>
      </w:r>
      <w:r w:rsidRPr="00F205BE">
        <w:rPr>
          <w:rFonts w:ascii="Times New Roman" w:hAnsi="Times New Roman" w:cs="Times New Roman"/>
        </w:rPr>
        <w:t xml:space="preserve">, is fully consistent with the </w:t>
      </w:r>
      <w:r w:rsidR="00C315F5" w:rsidRPr="00F205BE">
        <w:rPr>
          <w:rFonts w:ascii="Times New Roman" w:hAnsi="Times New Roman" w:cs="Times New Roman"/>
        </w:rPr>
        <w:t>proffered reference coordinates</w:t>
      </w:r>
      <w:r w:rsidRPr="00F205BE">
        <w:rPr>
          <w:rFonts w:ascii="Times New Roman" w:hAnsi="Times New Roman" w:cs="Times New Roman"/>
        </w:rPr>
        <w:t xml:space="preserve">, even if that plan was in place at the time of the filing of the initial Oil City </w:t>
      </w:r>
      <w:r w:rsidR="009D3CB5" w:rsidRPr="00F205BE">
        <w:rPr>
          <w:rFonts w:ascii="Times New Roman" w:hAnsi="Times New Roman" w:cs="Times New Roman"/>
        </w:rPr>
        <w:t>P</w:t>
      </w:r>
      <w:r w:rsidRPr="00F205BE">
        <w:rPr>
          <w:rFonts w:ascii="Times New Roman" w:hAnsi="Times New Roman" w:cs="Times New Roman"/>
        </w:rPr>
        <w:t xml:space="preserve">etition for </w:t>
      </w:r>
      <w:r w:rsidR="009D3CB5" w:rsidRPr="00F205BE">
        <w:rPr>
          <w:rFonts w:ascii="Times New Roman" w:hAnsi="Times New Roman" w:cs="Times New Roman"/>
        </w:rPr>
        <w:t>R</w:t>
      </w:r>
      <w:r w:rsidRPr="00F205BE">
        <w:rPr>
          <w:rFonts w:ascii="Times New Roman" w:hAnsi="Times New Roman" w:cs="Times New Roman"/>
        </w:rPr>
        <w:t>ule</w:t>
      </w:r>
      <w:r w:rsidR="0017228A" w:rsidRPr="00F205BE">
        <w:rPr>
          <w:rFonts w:ascii="Times New Roman" w:hAnsi="Times New Roman" w:cs="Times New Roman"/>
        </w:rPr>
        <w:t xml:space="preserve"> M</w:t>
      </w:r>
      <w:r w:rsidRPr="00F205BE">
        <w:rPr>
          <w:rFonts w:ascii="Times New Roman" w:hAnsi="Times New Roman" w:cs="Times New Roman"/>
        </w:rPr>
        <w:t xml:space="preserve">aking.  Nor does the existence of such a plan put at issue Cumulus’s pledge to serve Oil City.  The Commission has consistently held that </w:t>
      </w:r>
      <w:r w:rsidR="008A73D6" w:rsidRPr="00F205BE">
        <w:rPr>
          <w:rFonts w:ascii="Times New Roman" w:hAnsi="Times New Roman" w:cs="Times New Roman"/>
        </w:rPr>
        <w:t xml:space="preserve">it will presume that </w:t>
      </w:r>
      <w:r w:rsidR="00190893" w:rsidRPr="00F205BE">
        <w:rPr>
          <w:rFonts w:ascii="Times New Roman" w:hAnsi="Times New Roman" w:cs="Times New Roman"/>
        </w:rPr>
        <w:t xml:space="preserve">an </w:t>
      </w:r>
      <w:r w:rsidR="008A73D6" w:rsidRPr="00F205BE">
        <w:rPr>
          <w:rFonts w:ascii="Times New Roman" w:hAnsi="Times New Roman" w:cs="Times New Roman"/>
        </w:rPr>
        <w:t>applicant will meet its local programming obligations and that the alleged failure to do so is more appropriately addressed i</w:t>
      </w:r>
      <w:r w:rsidRPr="00F205BE">
        <w:rPr>
          <w:rFonts w:ascii="Times New Roman" w:hAnsi="Times New Roman" w:cs="Times New Roman"/>
        </w:rPr>
        <w:t>n the context of a station’s license renewal application.</w:t>
      </w:r>
      <w:r w:rsidR="00190893" w:rsidRPr="00F205BE">
        <w:rPr>
          <w:rStyle w:val="FootnoteReference"/>
          <w:rFonts w:cs="Times New Roman"/>
        </w:rPr>
        <w:footnoteReference w:id="26"/>
      </w:r>
      <w:r w:rsidRPr="00F205BE">
        <w:rPr>
          <w:rFonts w:ascii="Times New Roman" w:hAnsi="Times New Roman" w:cs="Times New Roman"/>
        </w:rPr>
        <w:t xml:space="preserve">  On these facts, we find no “concealment, evasion [</w:t>
      </w:r>
      <w:r w:rsidR="00C315F5" w:rsidRPr="00F205BE">
        <w:rPr>
          <w:rFonts w:ascii="Times New Roman" w:hAnsi="Times New Roman" w:cs="Times New Roman"/>
        </w:rPr>
        <w:t>o</w:t>
      </w:r>
      <w:r w:rsidRPr="00F205BE">
        <w:rPr>
          <w:rFonts w:ascii="Times New Roman" w:hAnsi="Times New Roman" w:cs="Times New Roman"/>
        </w:rPr>
        <w:t xml:space="preserve">r] </w:t>
      </w:r>
      <w:r w:rsidR="00C315F5" w:rsidRPr="00F205BE">
        <w:rPr>
          <w:rFonts w:ascii="Times New Roman" w:hAnsi="Times New Roman" w:cs="Times New Roman"/>
        </w:rPr>
        <w:t>other failures to be fully informative”</w:t>
      </w:r>
      <w:r w:rsidR="007653EC" w:rsidRPr="00F205BE">
        <w:rPr>
          <w:rStyle w:val="FootnoteReference"/>
          <w:rFonts w:cs="Times New Roman"/>
        </w:rPr>
        <w:footnoteReference w:id="27"/>
      </w:r>
      <w:r w:rsidR="00C315F5" w:rsidRPr="00F205BE">
        <w:rPr>
          <w:rFonts w:ascii="Times New Roman" w:hAnsi="Times New Roman" w:cs="Times New Roman"/>
        </w:rPr>
        <w:t xml:space="preserve"> by Cumulus </w:t>
      </w:r>
      <w:r w:rsidR="000439A7" w:rsidRPr="00F205BE">
        <w:rPr>
          <w:rFonts w:ascii="Times New Roman" w:hAnsi="Times New Roman" w:cs="Times New Roman"/>
        </w:rPr>
        <w:t xml:space="preserve">and no basis on which to infer a Cumulus </w:t>
      </w:r>
      <w:r w:rsidR="00C315F5" w:rsidRPr="00F205BE">
        <w:rPr>
          <w:rFonts w:ascii="Times New Roman" w:hAnsi="Times New Roman" w:cs="Times New Roman"/>
        </w:rPr>
        <w:t xml:space="preserve">motive to </w:t>
      </w:r>
      <w:r w:rsidR="007653EC" w:rsidRPr="00F205BE">
        <w:rPr>
          <w:rFonts w:ascii="Times New Roman" w:hAnsi="Times New Roman" w:cs="Times New Roman"/>
        </w:rPr>
        <w:t>engage in such conduct</w:t>
      </w:r>
      <w:r w:rsidR="00C315F5" w:rsidRPr="00F205BE">
        <w:rPr>
          <w:rFonts w:ascii="Times New Roman" w:hAnsi="Times New Roman" w:cs="Times New Roman"/>
        </w:rPr>
        <w:t>.  Accordingly, we conclude that A</w:t>
      </w:r>
      <w:r w:rsidR="009D3CB5" w:rsidRPr="00F205BE">
        <w:rPr>
          <w:rFonts w:ascii="Times New Roman" w:hAnsi="Times New Roman" w:cs="Times New Roman"/>
        </w:rPr>
        <w:t>c</w:t>
      </w:r>
      <w:r w:rsidR="00C315F5" w:rsidRPr="00F205BE">
        <w:rPr>
          <w:rFonts w:ascii="Times New Roman" w:hAnsi="Times New Roman" w:cs="Times New Roman"/>
        </w:rPr>
        <w:t>cess.1’s lack of candor allegation is without merit.</w:t>
      </w:r>
      <w:r w:rsidR="001A2458" w:rsidRPr="00F205BE">
        <w:rPr>
          <w:rFonts w:ascii="Times New Roman" w:hAnsi="Times New Roman" w:cs="Times New Roman"/>
        </w:rPr>
        <w:t xml:space="preserve">  </w:t>
      </w:r>
    </w:p>
    <w:p w:rsidR="001A3373" w:rsidRPr="00F205BE" w:rsidRDefault="00F03E62" w:rsidP="00E8622E">
      <w:pPr>
        <w:pStyle w:val="ParaNum"/>
        <w:spacing w:line="240" w:lineRule="auto"/>
        <w:rPr>
          <w:rFonts w:ascii="Times New Roman" w:hAnsi="Times New Roman" w:cs="Times New Roman"/>
        </w:rPr>
      </w:pPr>
      <w:r w:rsidRPr="00F205BE">
        <w:rPr>
          <w:rFonts w:ascii="Times New Roman" w:hAnsi="Times New Roman" w:cs="Times New Roman"/>
        </w:rPr>
        <w:t>To further support its lack of candor allegation</w:t>
      </w:r>
      <w:r w:rsidR="009D3CB5" w:rsidRPr="00F205BE">
        <w:rPr>
          <w:rFonts w:ascii="Times New Roman" w:hAnsi="Times New Roman" w:cs="Times New Roman"/>
        </w:rPr>
        <w:t>,</w:t>
      </w:r>
      <w:r w:rsidRPr="00F205BE">
        <w:rPr>
          <w:rFonts w:ascii="Times New Roman" w:hAnsi="Times New Roman" w:cs="Times New Roman"/>
        </w:rPr>
        <w:t xml:space="preserve"> </w:t>
      </w:r>
      <w:r w:rsidR="001A2458" w:rsidRPr="00F205BE">
        <w:rPr>
          <w:rFonts w:ascii="Times New Roman" w:hAnsi="Times New Roman" w:cs="Times New Roman"/>
        </w:rPr>
        <w:t xml:space="preserve">Access.1 claims that </w:t>
      </w:r>
      <w:r w:rsidR="00555CF2" w:rsidRPr="00F205BE">
        <w:rPr>
          <w:rFonts w:ascii="Times New Roman" w:hAnsi="Times New Roman" w:cs="Times New Roman"/>
        </w:rPr>
        <w:t>Cumulus</w:t>
      </w:r>
      <w:r w:rsidR="001C4919" w:rsidRPr="00F205BE">
        <w:rPr>
          <w:rFonts w:ascii="Times New Roman" w:hAnsi="Times New Roman" w:cs="Times New Roman"/>
        </w:rPr>
        <w:t>’s need to</w:t>
      </w:r>
      <w:r w:rsidR="00555CF2" w:rsidRPr="00F205BE">
        <w:rPr>
          <w:rFonts w:ascii="Times New Roman" w:hAnsi="Times New Roman" w:cs="Times New Roman"/>
        </w:rPr>
        <w:t xml:space="preserve"> </w:t>
      </w:r>
      <w:r w:rsidR="00A20971" w:rsidRPr="00F205BE">
        <w:rPr>
          <w:rFonts w:ascii="Times New Roman" w:hAnsi="Times New Roman" w:cs="Times New Roman"/>
        </w:rPr>
        <w:t xml:space="preserve">file its </w:t>
      </w:r>
      <w:r w:rsidR="001C4919" w:rsidRPr="00F205BE">
        <w:rPr>
          <w:rFonts w:ascii="Times New Roman" w:hAnsi="Times New Roman" w:cs="Times New Roman"/>
        </w:rPr>
        <w:t>STA R</w:t>
      </w:r>
      <w:r w:rsidR="00763398" w:rsidRPr="00F205BE">
        <w:rPr>
          <w:rFonts w:ascii="Times New Roman" w:hAnsi="Times New Roman" w:cs="Times New Roman"/>
        </w:rPr>
        <w:t xml:space="preserve">equest </w:t>
      </w:r>
      <w:r w:rsidR="00A22F36" w:rsidRPr="00F205BE">
        <w:rPr>
          <w:rFonts w:ascii="Times New Roman" w:hAnsi="Times New Roman" w:cs="Times New Roman"/>
        </w:rPr>
        <w:t>w</w:t>
      </w:r>
      <w:r w:rsidR="001A2458" w:rsidRPr="00F205BE">
        <w:rPr>
          <w:rFonts w:ascii="Times New Roman" w:hAnsi="Times New Roman" w:cs="Times New Roman"/>
        </w:rPr>
        <w:t>as for</w:t>
      </w:r>
      <w:r w:rsidRPr="00F205BE">
        <w:rPr>
          <w:rFonts w:ascii="Times New Roman" w:hAnsi="Times New Roman" w:cs="Times New Roman"/>
        </w:rPr>
        <w:t>e</w:t>
      </w:r>
      <w:r w:rsidR="001A2458" w:rsidRPr="00F205BE">
        <w:rPr>
          <w:rFonts w:ascii="Times New Roman" w:hAnsi="Times New Roman" w:cs="Times New Roman"/>
        </w:rPr>
        <w:t>se</w:t>
      </w:r>
      <w:r w:rsidRPr="00F205BE">
        <w:rPr>
          <w:rFonts w:ascii="Times New Roman" w:hAnsi="Times New Roman" w:cs="Times New Roman"/>
        </w:rPr>
        <w:t>e</w:t>
      </w:r>
      <w:r w:rsidR="001A2458" w:rsidRPr="00F205BE">
        <w:rPr>
          <w:rFonts w:ascii="Times New Roman" w:hAnsi="Times New Roman" w:cs="Times New Roman"/>
        </w:rPr>
        <w:t>able</w:t>
      </w:r>
      <w:r w:rsidR="001A3373" w:rsidRPr="00F205BE">
        <w:rPr>
          <w:rFonts w:ascii="Times New Roman" w:hAnsi="Times New Roman" w:cs="Times New Roman"/>
        </w:rPr>
        <w:t xml:space="preserve">, that Cumulus was aware that its proposed facility would provide deficient service to Oil City </w:t>
      </w:r>
      <w:r w:rsidR="001A2458" w:rsidRPr="00F205BE">
        <w:rPr>
          <w:rFonts w:ascii="Times New Roman" w:hAnsi="Times New Roman" w:cs="Times New Roman"/>
        </w:rPr>
        <w:t xml:space="preserve">and </w:t>
      </w:r>
      <w:r w:rsidR="001A3373" w:rsidRPr="00F205BE">
        <w:rPr>
          <w:rFonts w:ascii="Times New Roman" w:hAnsi="Times New Roman" w:cs="Times New Roman"/>
        </w:rPr>
        <w:t xml:space="preserve">was </w:t>
      </w:r>
      <w:r w:rsidR="001A2458" w:rsidRPr="00F205BE">
        <w:rPr>
          <w:rFonts w:ascii="Times New Roman" w:hAnsi="Times New Roman" w:cs="Times New Roman"/>
        </w:rPr>
        <w:t>part of a plan to reallot Station KQHN(FM) to the Shreveport market.</w:t>
      </w:r>
      <w:r w:rsidR="001A2458" w:rsidRPr="00F205BE">
        <w:rPr>
          <w:rStyle w:val="FootnoteReference"/>
          <w:rFonts w:cs="Times New Roman"/>
        </w:rPr>
        <w:footnoteReference w:id="28"/>
      </w:r>
      <w:r w:rsidR="001A2458" w:rsidRPr="00F205BE">
        <w:rPr>
          <w:rFonts w:ascii="Times New Roman" w:hAnsi="Times New Roman" w:cs="Times New Roman"/>
        </w:rPr>
        <w:t xml:space="preserve">   It cites language in a 1996 letter from the Federal Aviation Administration providing notice that any future </w:t>
      </w:r>
      <w:r w:rsidRPr="00F205BE">
        <w:rPr>
          <w:rFonts w:ascii="Times New Roman" w:hAnsi="Times New Roman" w:cs="Times New Roman"/>
        </w:rPr>
        <w:t>change in transmitter site would require FAA approval and notes that Cumulus did not request such FAA approval</w:t>
      </w:r>
      <w:r w:rsidR="00A20971" w:rsidRPr="00F205BE">
        <w:rPr>
          <w:rFonts w:ascii="Times New Roman" w:hAnsi="Times New Roman" w:cs="Times New Roman"/>
        </w:rPr>
        <w:t xml:space="preserve"> in connection with its application to implement the rule making change</w:t>
      </w:r>
      <w:r w:rsidRPr="00F205BE">
        <w:rPr>
          <w:rFonts w:ascii="Times New Roman" w:hAnsi="Times New Roman" w:cs="Times New Roman"/>
        </w:rPr>
        <w:t>.</w:t>
      </w:r>
      <w:r w:rsidR="00555CF2" w:rsidRPr="00F205BE">
        <w:rPr>
          <w:rFonts w:ascii="Times New Roman" w:hAnsi="Times New Roman" w:cs="Times New Roman"/>
        </w:rPr>
        <w:t xml:space="preserve"> </w:t>
      </w:r>
      <w:r w:rsidRPr="00F205BE">
        <w:rPr>
          <w:rFonts w:ascii="Times New Roman" w:hAnsi="Times New Roman" w:cs="Times New Roman"/>
        </w:rPr>
        <w:t xml:space="preserve"> In opposition, Cumulus submits </w:t>
      </w:r>
      <w:r w:rsidR="00A20971" w:rsidRPr="00F205BE">
        <w:rPr>
          <w:rFonts w:ascii="Times New Roman" w:hAnsi="Times New Roman" w:cs="Times New Roman"/>
        </w:rPr>
        <w:t xml:space="preserve">a </w:t>
      </w:r>
      <w:r w:rsidR="00D335B3" w:rsidRPr="00F205BE">
        <w:rPr>
          <w:rFonts w:ascii="Times New Roman" w:hAnsi="Times New Roman" w:cs="Times New Roman"/>
        </w:rPr>
        <w:t>declaration</w:t>
      </w:r>
      <w:r w:rsidRPr="00F205BE">
        <w:rPr>
          <w:rFonts w:ascii="Times New Roman" w:hAnsi="Times New Roman" w:cs="Times New Roman"/>
        </w:rPr>
        <w:t xml:space="preserve"> from its </w:t>
      </w:r>
      <w:r w:rsidR="00D335B3" w:rsidRPr="00F205BE">
        <w:rPr>
          <w:rFonts w:ascii="Times New Roman" w:hAnsi="Times New Roman" w:cs="Times New Roman"/>
        </w:rPr>
        <w:t>Director of Engineering</w:t>
      </w:r>
      <w:r w:rsidRPr="00F205BE">
        <w:rPr>
          <w:rFonts w:ascii="Times New Roman" w:hAnsi="Times New Roman" w:cs="Times New Roman"/>
        </w:rPr>
        <w:t>, explaining that the interference problem was completely unforeseeable</w:t>
      </w:r>
      <w:r w:rsidR="00A41147" w:rsidRPr="00F205BE">
        <w:rPr>
          <w:rFonts w:ascii="Times New Roman" w:hAnsi="Times New Roman" w:cs="Times New Roman"/>
        </w:rPr>
        <w:t xml:space="preserve">, a result of the radio receivers used in Air Force aircraft </w:t>
      </w:r>
      <w:r w:rsidR="00A20971" w:rsidRPr="00F205BE">
        <w:rPr>
          <w:rFonts w:ascii="Times New Roman" w:hAnsi="Times New Roman" w:cs="Times New Roman"/>
        </w:rPr>
        <w:t xml:space="preserve">that operated </w:t>
      </w:r>
      <w:r w:rsidR="00A41147" w:rsidRPr="00F205BE">
        <w:rPr>
          <w:rFonts w:ascii="Times New Roman" w:hAnsi="Times New Roman" w:cs="Times New Roman"/>
        </w:rPr>
        <w:t xml:space="preserve">out of </w:t>
      </w:r>
      <w:r w:rsidR="00274302" w:rsidRPr="00F205BE">
        <w:rPr>
          <w:rFonts w:ascii="Times New Roman" w:hAnsi="Times New Roman" w:cs="Times New Roman"/>
        </w:rPr>
        <w:t xml:space="preserve">the </w:t>
      </w:r>
      <w:r w:rsidR="00A41147" w:rsidRPr="00F205BE">
        <w:rPr>
          <w:rFonts w:ascii="Times New Roman" w:hAnsi="Times New Roman" w:cs="Times New Roman"/>
        </w:rPr>
        <w:t>Barksdale</w:t>
      </w:r>
      <w:r w:rsidR="001C4919" w:rsidRPr="00F205BE">
        <w:rPr>
          <w:rFonts w:ascii="Times New Roman" w:hAnsi="Times New Roman" w:cs="Times New Roman"/>
        </w:rPr>
        <w:t xml:space="preserve"> Air Force Base</w:t>
      </w:r>
      <w:r w:rsidRPr="00F205BE">
        <w:rPr>
          <w:rFonts w:ascii="Times New Roman" w:hAnsi="Times New Roman" w:cs="Times New Roman"/>
        </w:rPr>
        <w:t>.</w:t>
      </w:r>
      <w:r w:rsidR="00D335B3" w:rsidRPr="00F205BE">
        <w:rPr>
          <w:rStyle w:val="FootnoteReference"/>
          <w:rFonts w:cs="Times New Roman"/>
        </w:rPr>
        <w:footnoteReference w:id="29"/>
      </w:r>
      <w:r w:rsidRPr="00F205BE">
        <w:rPr>
          <w:rFonts w:ascii="Times New Roman" w:hAnsi="Times New Roman" w:cs="Times New Roman"/>
        </w:rPr>
        <w:t xml:space="preserve">  </w:t>
      </w:r>
      <w:r w:rsidR="00D335B3" w:rsidRPr="00F205BE">
        <w:rPr>
          <w:rFonts w:ascii="Times New Roman" w:hAnsi="Times New Roman" w:cs="Times New Roman"/>
        </w:rPr>
        <w:t>Cumulus</w:t>
      </w:r>
      <w:r w:rsidR="00274302" w:rsidRPr="00F205BE">
        <w:rPr>
          <w:rFonts w:ascii="Times New Roman" w:hAnsi="Times New Roman" w:cs="Times New Roman"/>
        </w:rPr>
        <w:t xml:space="preserve"> also contends that its STA R</w:t>
      </w:r>
      <w:r w:rsidRPr="00F205BE">
        <w:rPr>
          <w:rFonts w:ascii="Times New Roman" w:hAnsi="Times New Roman" w:cs="Times New Roman"/>
        </w:rPr>
        <w:t>equest was a perfectly reasonable effort to keep the station on the air</w:t>
      </w:r>
      <w:r w:rsidR="00274302" w:rsidRPr="00F205BE">
        <w:rPr>
          <w:rFonts w:ascii="Times New Roman" w:hAnsi="Times New Roman" w:cs="Times New Roman"/>
        </w:rPr>
        <w:t xml:space="preserve"> in light of its notification of the interference problem from the Commission</w:t>
      </w:r>
      <w:r w:rsidRPr="00F205BE">
        <w:rPr>
          <w:rFonts w:ascii="Times New Roman" w:hAnsi="Times New Roman" w:cs="Times New Roman"/>
        </w:rPr>
        <w:t>.  Finally, it argues that ensuing events are not probative of Cumulus’s intent.</w:t>
      </w:r>
      <w:r w:rsidRPr="00F205BE">
        <w:rPr>
          <w:rStyle w:val="FootnoteReference"/>
          <w:rFonts w:cs="Times New Roman"/>
        </w:rPr>
        <w:footnoteReference w:id="30"/>
      </w:r>
    </w:p>
    <w:p w:rsidR="001A2458" w:rsidRPr="00F205BE" w:rsidRDefault="001A3373" w:rsidP="00E8622E">
      <w:pPr>
        <w:pStyle w:val="ParaNum"/>
        <w:spacing w:line="240" w:lineRule="auto"/>
        <w:rPr>
          <w:rFonts w:ascii="Times New Roman" w:hAnsi="Times New Roman" w:cs="Times New Roman"/>
        </w:rPr>
      </w:pPr>
      <w:r w:rsidRPr="00F205BE">
        <w:rPr>
          <w:rFonts w:ascii="Times New Roman" w:hAnsi="Times New Roman" w:cs="Times New Roman"/>
        </w:rPr>
        <w:t xml:space="preserve">We find that Access.1 has not raised a substantial and material question of fact regarding Cumulus’s candor.  </w:t>
      </w:r>
      <w:r w:rsidR="00AC5AB5" w:rsidRPr="00F205BE">
        <w:rPr>
          <w:rFonts w:ascii="Times New Roman" w:hAnsi="Times New Roman" w:cs="Times New Roman"/>
        </w:rPr>
        <w:t xml:space="preserve">By proposing to side-mount on an existing, registered tower, </w:t>
      </w:r>
      <w:r w:rsidRPr="00F205BE">
        <w:rPr>
          <w:rFonts w:ascii="Times New Roman" w:hAnsi="Times New Roman" w:cs="Times New Roman"/>
        </w:rPr>
        <w:t>Cumulus was not required to request FAA approval merely because it specified a new channel.</w:t>
      </w:r>
      <w:r w:rsidRPr="00F205BE">
        <w:rPr>
          <w:rStyle w:val="FootnoteReference"/>
          <w:rFonts w:cs="Times New Roman"/>
        </w:rPr>
        <w:footnoteReference w:id="31"/>
      </w:r>
      <w:r w:rsidR="00F03E62" w:rsidRPr="00F205BE">
        <w:rPr>
          <w:rFonts w:ascii="Times New Roman" w:hAnsi="Times New Roman" w:cs="Times New Roman"/>
        </w:rPr>
        <w:t xml:space="preserve"> </w:t>
      </w:r>
      <w:r w:rsidRPr="00F205BE">
        <w:rPr>
          <w:rFonts w:ascii="Times New Roman" w:hAnsi="Times New Roman" w:cs="Times New Roman"/>
        </w:rPr>
        <w:t xml:space="preserve">  </w:t>
      </w:r>
      <w:r w:rsidR="00780DBC" w:rsidRPr="00F205BE">
        <w:rPr>
          <w:rFonts w:ascii="Times New Roman" w:hAnsi="Times New Roman" w:cs="Times New Roman"/>
        </w:rPr>
        <w:t>In these circumstances, Cumulus’s surprise at the FAA objection is reasonable.</w:t>
      </w:r>
      <w:r w:rsidR="00780DBC" w:rsidRPr="00F205BE">
        <w:rPr>
          <w:rStyle w:val="FootnoteReference"/>
          <w:rFonts w:cs="Times New Roman"/>
        </w:rPr>
        <w:footnoteReference w:id="32"/>
      </w:r>
      <w:r w:rsidR="001A2458" w:rsidRPr="00F205BE">
        <w:rPr>
          <w:rFonts w:ascii="Times New Roman" w:hAnsi="Times New Roman" w:cs="Times New Roman"/>
        </w:rPr>
        <w:t xml:space="preserve"> </w:t>
      </w:r>
      <w:r w:rsidR="00780DBC" w:rsidRPr="00F205BE">
        <w:rPr>
          <w:rFonts w:ascii="Times New Roman" w:hAnsi="Times New Roman" w:cs="Times New Roman"/>
        </w:rPr>
        <w:t xml:space="preserve"> We also find credible the unrebutted </w:t>
      </w:r>
      <w:r w:rsidR="00D335B3" w:rsidRPr="00F205BE">
        <w:rPr>
          <w:rFonts w:ascii="Times New Roman" w:hAnsi="Times New Roman" w:cs="Times New Roman"/>
        </w:rPr>
        <w:t xml:space="preserve">declaration </w:t>
      </w:r>
      <w:r w:rsidR="00780DBC" w:rsidRPr="00F205BE">
        <w:rPr>
          <w:rFonts w:ascii="Times New Roman" w:hAnsi="Times New Roman" w:cs="Times New Roman"/>
        </w:rPr>
        <w:t xml:space="preserve">of Cumulus’s </w:t>
      </w:r>
      <w:r w:rsidR="00D335B3" w:rsidRPr="00F205BE">
        <w:rPr>
          <w:rFonts w:ascii="Times New Roman" w:hAnsi="Times New Roman" w:cs="Times New Roman"/>
        </w:rPr>
        <w:t>Director of Engineering</w:t>
      </w:r>
      <w:r w:rsidR="00780DBC" w:rsidRPr="00F205BE">
        <w:rPr>
          <w:rFonts w:ascii="Times New Roman" w:hAnsi="Times New Roman" w:cs="Times New Roman"/>
        </w:rPr>
        <w:t xml:space="preserve">.  </w:t>
      </w:r>
      <w:r w:rsidR="00274302" w:rsidRPr="00F205BE">
        <w:rPr>
          <w:rFonts w:ascii="Times New Roman" w:hAnsi="Times New Roman" w:cs="Times New Roman"/>
        </w:rPr>
        <w:t>We agree with his statement that</w:t>
      </w:r>
      <w:r w:rsidR="00780DBC" w:rsidRPr="00F205BE">
        <w:rPr>
          <w:rFonts w:ascii="Times New Roman" w:hAnsi="Times New Roman" w:cs="Times New Roman"/>
        </w:rPr>
        <w:t xml:space="preserve"> this sort of FAA objection is an extremely rare event.</w:t>
      </w:r>
      <w:r w:rsidR="00780DBC" w:rsidRPr="00F205BE">
        <w:rPr>
          <w:rStyle w:val="FootnoteReference"/>
          <w:rFonts w:cs="Times New Roman"/>
        </w:rPr>
        <w:footnoteReference w:id="33"/>
      </w:r>
      <w:r w:rsidR="007B4336" w:rsidRPr="00F205BE">
        <w:rPr>
          <w:rFonts w:ascii="Times New Roman" w:hAnsi="Times New Roman" w:cs="Times New Roman"/>
        </w:rPr>
        <w:t xml:space="preserve">  Finally, we agree with Cumulus that the steps it took to keep </w:t>
      </w:r>
      <w:r w:rsidR="00274302" w:rsidRPr="00F205BE">
        <w:rPr>
          <w:rFonts w:ascii="Times New Roman" w:hAnsi="Times New Roman" w:cs="Times New Roman"/>
        </w:rPr>
        <w:t>the S</w:t>
      </w:r>
      <w:r w:rsidR="007B4336" w:rsidRPr="00F205BE">
        <w:rPr>
          <w:rFonts w:ascii="Times New Roman" w:hAnsi="Times New Roman" w:cs="Times New Roman"/>
        </w:rPr>
        <w:t xml:space="preserve">tation on the air by relocating </w:t>
      </w:r>
      <w:r w:rsidR="00274302" w:rsidRPr="00F205BE">
        <w:rPr>
          <w:rFonts w:ascii="Times New Roman" w:hAnsi="Times New Roman" w:cs="Times New Roman"/>
        </w:rPr>
        <w:t xml:space="preserve">it </w:t>
      </w:r>
      <w:r w:rsidR="007B4336" w:rsidRPr="00F205BE">
        <w:rPr>
          <w:rFonts w:ascii="Times New Roman" w:hAnsi="Times New Roman" w:cs="Times New Roman"/>
        </w:rPr>
        <w:t>to a new community w</w:t>
      </w:r>
      <w:r w:rsidR="000439A7" w:rsidRPr="00F205BE">
        <w:rPr>
          <w:rFonts w:ascii="Times New Roman" w:hAnsi="Times New Roman" w:cs="Times New Roman"/>
        </w:rPr>
        <w:t>ere</w:t>
      </w:r>
      <w:r w:rsidR="007B4336" w:rsidRPr="00F205BE">
        <w:rPr>
          <w:rFonts w:ascii="Times New Roman" w:hAnsi="Times New Roman" w:cs="Times New Roman"/>
        </w:rPr>
        <w:t xml:space="preserve"> both appropriate and reasonable.</w:t>
      </w:r>
      <w:r w:rsidR="007B4336" w:rsidRPr="00F205BE">
        <w:rPr>
          <w:rStyle w:val="FootnoteReference"/>
          <w:rFonts w:cs="Times New Roman"/>
        </w:rPr>
        <w:footnoteReference w:id="34"/>
      </w:r>
    </w:p>
    <w:p w:rsidR="0070215B" w:rsidRPr="00F205BE" w:rsidRDefault="006E7FFC" w:rsidP="00E8622E">
      <w:pPr>
        <w:pStyle w:val="ParaNum"/>
        <w:spacing w:line="240" w:lineRule="auto"/>
        <w:rPr>
          <w:rFonts w:ascii="Times New Roman" w:hAnsi="Times New Roman" w:cs="Times New Roman"/>
        </w:rPr>
      </w:pPr>
      <w:r w:rsidRPr="00F205BE">
        <w:rPr>
          <w:rFonts w:ascii="Times New Roman" w:hAnsi="Times New Roman" w:cs="Times New Roman"/>
        </w:rPr>
        <w:t>Access.1</w:t>
      </w:r>
      <w:r w:rsidR="004A1752" w:rsidRPr="00F205BE">
        <w:rPr>
          <w:rFonts w:ascii="Times New Roman" w:hAnsi="Times New Roman" w:cs="Times New Roman"/>
        </w:rPr>
        <w:t xml:space="preserve">’s </w:t>
      </w:r>
      <w:r w:rsidR="00FB6D7D" w:rsidRPr="00F205BE">
        <w:rPr>
          <w:rFonts w:ascii="Times New Roman" w:hAnsi="Times New Roman" w:cs="Times New Roman"/>
        </w:rPr>
        <w:t xml:space="preserve">criticism </w:t>
      </w:r>
      <w:r w:rsidR="004A1752" w:rsidRPr="00F205BE">
        <w:rPr>
          <w:rFonts w:ascii="Times New Roman" w:hAnsi="Times New Roman" w:cs="Times New Roman"/>
        </w:rPr>
        <w:t xml:space="preserve">appears to be </w:t>
      </w:r>
      <w:r w:rsidR="00763398" w:rsidRPr="00F205BE">
        <w:rPr>
          <w:rFonts w:ascii="Times New Roman" w:hAnsi="Times New Roman" w:cs="Times New Roman"/>
        </w:rPr>
        <w:t xml:space="preserve">that the former </w:t>
      </w:r>
      <w:r w:rsidR="009D3CB5" w:rsidRPr="00F205BE">
        <w:rPr>
          <w:rFonts w:ascii="Times New Roman" w:hAnsi="Times New Roman" w:cs="Times New Roman"/>
        </w:rPr>
        <w:t xml:space="preserve">Commission </w:t>
      </w:r>
      <w:r w:rsidR="004A1752" w:rsidRPr="00F205BE">
        <w:rPr>
          <w:rFonts w:ascii="Times New Roman" w:hAnsi="Times New Roman" w:cs="Times New Roman"/>
        </w:rPr>
        <w:t>processing policy could be manipulated by an applicant proposing a reallotment from which it can cover 100 percent of an urbanized area but proposes a transmitter site from which it will not cover the urbanized area.</w:t>
      </w:r>
      <w:r w:rsidR="004A1752" w:rsidRPr="00F205BE">
        <w:rPr>
          <w:rStyle w:val="FootnoteReference"/>
          <w:rFonts w:cs="Times New Roman"/>
        </w:rPr>
        <w:footnoteReference w:id="35"/>
      </w:r>
      <w:r w:rsidRPr="00F205BE">
        <w:rPr>
          <w:rFonts w:ascii="Times New Roman" w:hAnsi="Times New Roman" w:cs="Times New Roman"/>
        </w:rPr>
        <w:t xml:space="preserve"> </w:t>
      </w:r>
      <w:r w:rsidR="004A1752" w:rsidRPr="00F205BE">
        <w:rPr>
          <w:rFonts w:ascii="Times New Roman" w:hAnsi="Times New Roman" w:cs="Times New Roman"/>
        </w:rPr>
        <w:t xml:space="preserve"> However, the Commission subsequently revised its policies to eliminate this </w:t>
      </w:r>
      <w:r w:rsidR="002300F7" w:rsidRPr="00F205BE">
        <w:rPr>
          <w:rFonts w:ascii="Times New Roman" w:hAnsi="Times New Roman" w:cs="Times New Roman"/>
        </w:rPr>
        <w:t xml:space="preserve">potential </w:t>
      </w:r>
      <w:r w:rsidR="004A1752" w:rsidRPr="00F205BE">
        <w:rPr>
          <w:rFonts w:ascii="Times New Roman" w:hAnsi="Times New Roman" w:cs="Times New Roman"/>
        </w:rPr>
        <w:t xml:space="preserve">problem and presumes that a proposal should be treated as a “move-in” to an urbanized area if it would </w:t>
      </w:r>
      <w:r w:rsidR="004A1752" w:rsidRPr="00F205BE">
        <w:rPr>
          <w:rFonts w:ascii="Times New Roman" w:hAnsi="Times New Roman" w:cs="Times New Roman"/>
          <w:i/>
        </w:rPr>
        <w:t>or could</w:t>
      </w:r>
      <w:r w:rsidR="004A1752" w:rsidRPr="00F205BE">
        <w:rPr>
          <w:rFonts w:ascii="Times New Roman" w:hAnsi="Times New Roman" w:cs="Times New Roman"/>
        </w:rPr>
        <w:t xml:space="preserve"> serve 50 percent or more</w:t>
      </w:r>
      <w:r w:rsidR="001F36CE" w:rsidRPr="00F205BE">
        <w:rPr>
          <w:rFonts w:ascii="Times New Roman" w:hAnsi="Times New Roman" w:cs="Times New Roman"/>
        </w:rPr>
        <w:t xml:space="preserve"> of an urbanized area.</w:t>
      </w:r>
      <w:r w:rsidR="004D1066" w:rsidRPr="00F205BE">
        <w:rPr>
          <w:rFonts w:ascii="Times New Roman" w:hAnsi="Times New Roman" w:cs="Times New Roman"/>
        </w:rPr>
        <w:t xml:space="preserve">  In such a case, the applicant may rebut that conclusion by making a </w:t>
      </w:r>
      <w:r w:rsidR="004D1066" w:rsidRPr="00F205BE">
        <w:rPr>
          <w:rFonts w:ascii="Times New Roman" w:hAnsi="Times New Roman" w:cs="Times New Roman"/>
          <w:i/>
        </w:rPr>
        <w:t>Tuck</w:t>
      </w:r>
      <w:r w:rsidR="004D1066" w:rsidRPr="00F205BE">
        <w:rPr>
          <w:rFonts w:ascii="Times New Roman" w:hAnsi="Times New Roman" w:cs="Times New Roman"/>
        </w:rPr>
        <w:t xml:space="preserve"> showing with regard to its proposal.</w:t>
      </w:r>
      <w:r w:rsidR="004E5667" w:rsidRPr="00F205BE">
        <w:rPr>
          <w:rStyle w:val="FootnoteReference"/>
          <w:rFonts w:cs="Times New Roman"/>
        </w:rPr>
        <w:footnoteReference w:id="36"/>
      </w:r>
      <w:r w:rsidR="00C84C58" w:rsidRPr="00F205BE">
        <w:rPr>
          <w:rFonts w:ascii="Times New Roman" w:hAnsi="Times New Roman" w:cs="Times New Roman"/>
        </w:rPr>
        <w:t xml:space="preserve"> </w:t>
      </w:r>
      <w:r w:rsidR="001F36CE" w:rsidRPr="00F205BE">
        <w:rPr>
          <w:rFonts w:ascii="Times New Roman" w:hAnsi="Times New Roman" w:cs="Times New Roman"/>
        </w:rPr>
        <w:t xml:space="preserve"> </w:t>
      </w:r>
      <w:r w:rsidR="000439A7" w:rsidRPr="00F205BE">
        <w:rPr>
          <w:rFonts w:ascii="Times New Roman" w:hAnsi="Times New Roman" w:cs="Times New Roman"/>
        </w:rPr>
        <w:t>In any event, as noted above, Cumulus submitted such a showing, during the reconsideration stage of this rule making proceeding, which underwent the Bureau’s scrutiny to determine if its application would be a “move-in” to the Shreveport Urbanized Area, the Bureau concluding that it was not.</w:t>
      </w:r>
      <w:r w:rsidR="000439A7" w:rsidRPr="00F205BE">
        <w:rPr>
          <w:rStyle w:val="FootnoteReference"/>
          <w:rFonts w:cs="Times New Roman"/>
        </w:rPr>
        <w:footnoteReference w:id="37"/>
      </w:r>
      <w:r w:rsidR="000439A7" w:rsidRPr="00F205BE">
        <w:rPr>
          <w:rFonts w:ascii="Times New Roman" w:hAnsi="Times New Roman" w:cs="Times New Roman"/>
        </w:rPr>
        <w:t xml:space="preserve">  Under these circumstances, we conclude that no misrepresentation or lack of candor occurred.</w:t>
      </w:r>
      <w:r w:rsidR="000439A7" w:rsidRPr="00F205BE">
        <w:rPr>
          <w:rStyle w:val="FootnoteReference"/>
          <w:rFonts w:cs="Times New Roman"/>
        </w:rPr>
        <w:footnoteReference w:id="38"/>
      </w:r>
      <w:r w:rsidR="000439A7" w:rsidRPr="00F205BE">
        <w:rPr>
          <w:rFonts w:ascii="Times New Roman" w:hAnsi="Times New Roman" w:cs="Times New Roman"/>
        </w:rPr>
        <w:t xml:space="preserve">  </w:t>
      </w:r>
    </w:p>
    <w:p w:rsidR="004802A6" w:rsidRPr="00F205BE" w:rsidRDefault="00E52F82" w:rsidP="00E8622E">
      <w:pPr>
        <w:pStyle w:val="ParaNum"/>
        <w:spacing w:line="240" w:lineRule="auto"/>
        <w:rPr>
          <w:rFonts w:ascii="Times New Roman" w:hAnsi="Times New Roman" w:cs="Times New Roman"/>
        </w:rPr>
      </w:pPr>
      <w:r w:rsidRPr="00F205BE">
        <w:rPr>
          <w:rFonts w:ascii="Times New Roman" w:hAnsi="Times New Roman" w:cs="Times New Roman"/>
        </w:rPr>
        <w:t xml:space="preserve">Finally, we address Access.1’s </w:t>
      </w:r>
      <w:r w:rsidR="00FB6D7D" w:rsidRPr="00F205BE">
        <w:rPr>
          <w:rFonts w:ascii="Times New Roman" w:hAnsi="Times New Roman" w:cs="Times New Roman"/>
        </w:rPr>
        <w:t xml:space="preserve">contention </w:t>
      </w:r>
      <w:r w:rsidRPr="00F205BE">
        <w:rPr>
          <w:rFonts w:ascii="Times New Roman" w:hAnsi="Times New Roman" w:cs="Times New Roman"/>
        </w:rPr>
        <w:t xml:space="preserve">that the </w:t>
      </w:r>
      <w:r w:rsidR="00FB6D7D" w:rsidRPr="00F205BE">
        <w:rPr>
          <w:rFonts w:ascii="Times New Roman" w:hAnsi="Times New Roman" w:cs="Times New Roman"/>
        </w:rPr>
        <w:t xml:space="preserve">Commission’s </w:t>
      </w:r>
      <w:r w:rsidR="007438BD" w:rsidRPr="00F205BE">
        <w:rPr>
          <w:rFonts w:ascii="Times New Roman" w:hAnsi="Times New Roman" w:cs="Times New Roman"/>
        </w:rPr>
        <w:t xml:space="preserve">then-existing </w:t>
      </w:r>
      <w:r w:rsidRPr="00F205BE">
        <w:rPr>
          <w:rFonts w:ascii="Times New Roman" w:hAnsi="Times New Roman" w:cs="Times New Roman"/>
          <w:i/>
        </w:rPr>
        <w:t>Tuck</w:t>
      </w:r>
      <w:r w:rsidRPr="00F205BE">
        <w:rPr>
          <w:rFonts w:ascii="Times New Roman" w:hAnsi="Times New Roman" w:cs="Times New Roman"/>
        </w:rPr>
        <w:t xml:space="preserve"> policy in general is arbitrary and capricious. </w:t>
      </w:r>
      <w:r w:rsidR="004802A6" w:rsidRPr="00F205BE">
        <w:rPr>
          <w:rFonts w:ascii="Times New Roman" w:hAnsi="Times New Roman" w:cs="Times New Roman"/>
        </w:rPr>
        <w:t xml:space="preserve"> </w:t>
      </w:r>
      <w:r w:rsidRPr="00F205BE">
        <w:rPr>
          <w:rFonts w:ascii="Times New Roman" w:hAnsi="Times New Roman" w:cs="Times New Roman"/>
        </w:rPr>
        <w:t>This argument is procedurally defective because the Bureau was not afforded an opportunity to pass on it, and we will</w:t>
      </w:r>
      <w:r w:rsidR="004802A6" w:rsidRPr="00F205BE">
        <w:rPr>
          <w:rFonts w:ascii="Times New Roman" w:hAnsi="Times New Roman" w:cs="Times New Roman"/>
        </w:rPr>
        <w:t>, therefore, dismiss it</w:t>
      </w:r>
      <w:r w:rsidRPr="00F205BE">
        <w:rPr>
          <w:rFonts w:ascii="Times New Roman" w:hAnsi="Times New Roman" w:cs="Times New Roman"/>
        </w:rPr>
        <w:t>.</w:t>
      </w:r>
      <w:r w:rsidRPr="00F205BE">
        <w:rPr>
          <w:rStyle w:val="FootnoteReference"/>
          <w:rFonts w:cs="Times New Roman"/>
        </w:rPr>
        <w:footnoteReference w:id="39"/>
      </w:r>
      <w:r w:rsidRPr="00F205BE">
        <w:rPr>
          <w:rFonts w:ascii="Times New Roman" w:hAnsi="Times New Roman" w:cs="Times New Roman"/>
        </w:rPr>
        <w:t xml:space="preserve">  </w:t>
      </w:r>
    </w:p>
    <w:p w:rsidR="00325EDB" w:rsidRPr="00F205BE" w:rsidRDefault="006E267A" w:rsidP="002B67EB">
      <w:pPr>
        <w:pStyle w:val="ParaNum"/>
        <w:widowControl w:val="0"/>
        <w:spacing w:line="240" w:lineRule="auto"/>
        <w:rPr>
          <w:rFonts w:ascii="Times New Roman" w:hAnsi="Times New Roman" w:cs="Times New Roman"/>
        </w:rPr>
      </w:pPr>
      <w:r w:rsidRPr="00F205BE">
        <w:rPr>
          <w:rFonts w:ascii="Times New Roman" w:hAnsi="Times New Roman" w:cs="Times New Roman"/>
        </w:rPr>
        <w:t xml:space="preserve">ACCORDINGLY, </w:t>
      </w:r>
      <w:r w:rsidR="00816F28" w:rsidRPr="00F205BE">
        <w:rPr>
          <w:rFonts w:ascii="Times New Roman" w:hAnsi="Times New Roman" w:cs="Times New Roman"/>
        </w:rPr>
        <w:t xml:space="preserve"> IT IS ORDERED, that</w:t>
      </w:r>
      <w:r w:rsidR="002E58FA" w:rsidRPr="00F205BE">
        <w:rPr>
          <w:rFonts w:ascii="Times New Roman" w:hAnsi="Times New Roman" w:cs="Times New Roman"/>
        </w:rPr>
        <w:t xml:space="preserve"> </w:t>
      </w:r>
      <w:r w:rsidR="00F11F05" w:rsidRPr="00F205BE">
        <w:rPr>
          <w:rFonts w:ascii="Times New Roman" w:hAnsi="Times New Roman" w:cs="Times New Roman"/>
        </w:rPr>
        <w:t>t</w:t>
      </w:r>
      <w:r w:rsidR="00816F28" w:rsidRPr="00F205BE">
        <w:rPr>
          <w:rFonts w:ascii="Times New Roman" w:hAnsi="Times New Roman" w:cs="Times New Roman"/>
        </w:rPr>
        <w:t xml:space="preserve">he Application for Review filed by </w:t>
      </w:r>
      <w:r w:rsidR="003B0169" w:rsidRPr="00F205BE">
        <w:rPr>
          <w:rFonts w:ascii="Times New Roman" w:hAnsi="Times New Roman" w:cs="Times New Roman"/>
          <w:spacing w:val="-2"/>
        </w:rPr>
        <w:t>Access.1 Louisiana Holding Company, LLC</w:t>
      </w:r>
      <w:r w:rsidR="003B0169" w:rsidRPr="00F205BE">
        <w:rPr>
          <w:rFonts w:ascii="Times New Roman" w:hAnsi="Times New Roman" w:cs="Times New Roman"/>
        </w:rPr>
        <w:t xml:space="preserve"> </w:t>
      </w:r>
      <w:r w:rsidRPr="00F205BE">
        <w:rPr>
          <w:rFonts w:ascii="Times New Roman" w:hAnsi="Times New Roman" w:cs="Times New Roman"/>
        </w:rPr>
        <w:t xml:space="preserve">IS DENIED, </w:t>
      </w:r>
      <w:r w:rsidR="002E58FA" w:rsidRPr="00F205BE">
        <w:rPr>
          <w:rFonts w:ascii="Times New Roman" w:hAnsi="Times New Roman" w:cs="Times New Roman"/>
        </w:rPr>
        <w:t>pursuant to Section 5(c)(5)</w:t>
      </w:r>
      <w:r w:rsidRPr="00F205BE">
        <w:rPr>
          <w:rFonts w:ascii="Times New Roman" w:hAnsi="Times New Roman" w:cs="Times New Roman"/>
        </w:rPr>
        <w:t xml:space="preserve"> Communications Act of 1934, as amended,</w:t>
      </w:r>
      <w:r w:rsidR="005265D2" w:rsidRPr="00F205BE">
        <w:rPr>
          <w:rStyle w:val="FootnoteReference"/>
          <w:rFonts w:cs="Times New Roman"/>
        </w:rPr>
        <w:footnoteReference w:id="40"/>
      </w:r>
      <w:r w:rsidRPr="00F205BE">
        <w:rPr>
          <w:rFonts w:ascii="Times New Roman" w:hAnsi="Times New Roman" w:cs="Times New Roman"/>
        </w:rPr>
        <w:t xml:space="preserve"> and Section 1.115(g) of the Commission’s Rules</w:t>
      </w:r>
      <w:r w:rsidR="005265D2" w:rsidRPr="00F205BE">
        <w:rPr>
          <w:rFonts w:ascii="Times New Roman" w:hAnsi="Times New Roman" w:cs="Times New Roman"/>
        </w:rPr>
        <w:t>.</w:t>
      </w:r>
      <w:r w:rsidR="005265D2" w:rsidRPr="00F205BE">
        <w:rPr>
          <w:rStyle w:val="FootnoteReference"/>
          <w:rFonts w:cs="Times New Roman"/>
        </w:rPr>
        <w:footnoteReference w:id="41"/>
      </w:r>
      <w:r w:rsidR="005265D2" w:rsidRPr="00F205BE">
        <w:rPr>
          <w:rFonts w:ascii="Times New Roman" w:hAnsi="Times New Roman" w:cs="Times New Roman"/>
        </w:rPr>
        <w:t xml:space="preserve"> </w:t>
      </w:r>
      <w:r w:rsidRPr="00F205BE">
        <w:rPr>
          <w:rFonts w:ascii="Times New Roman" w:hAnsi="Times New Roman" w:cs="Times New Roman"/>
        </w:rPr>
        <w:t xml:space="preserve"> </w:t>
      </w:r>
    </w:p>
    <w:p w:rsidR="008F0FBD" w:rsidRPr="00F205BE" w:rsidRDefault="008F0FBD" w:rsidP="002B67EB">
      <w:pPr>
        <w:pStyle w:val="ParaNum"/>
        <w:widowControl w:val="0"/>
        <w:spacing w:line="240" w:lineRule="auto"/>
        <w:rPr>
          <w:rFonts w:ascii="Times New Roman" w:hAnsi="Times New Roman" w:cs="Times New Roman"/>
        </w:rPr>
      </w:pPr>
      <w:r w:rsidRPr="00F205BE">
        <w:rPr>
          <w:rFonts w:ascii="Times New Roman" w:hAnsi="Times New Roman" w:cs="Times New Roman"/>
        </w:rPr>
        <w:t xml:space="preserve">IT IS FURTHER ORDERED, that the Motion for Leave to File Supplement to Application for Review and the Supplement to Application for Review filed by Access.1 Louisiana Holding Company, LLC </w:t>
      </w:r>
      <w:r w:rsidR="00E14AD8" w:rsidRPr="00F205BE">
        <w:rPr>
          <w:rFonts w:ascii="Times New Roman" w:hAnsi="Times New Roman" w:cs="Times New Roman"/>
        </w:rPr>
        <w:t xml:space="preserve">ARE </w:t>
      </w:r>
      <w:r w:rsidRPr="00F205BE">
        <w:rPr>
          <w:rFonts w:ascii="Times New Roman" w:hAnsi="Times New Roman" w:cs="Times New Roman"/>
        </w:rPr>
        <w:t>DISMISSED as moot.</w:t>
      </w:r>
    </w:p>
    <w:p w:rsidR="00D151E5" w:rsidRPr="00F205BE" w:rsidRDefault="00D151E5" w:rsidP="002B67EB">
      <w:pPr>
        <w:widowControl w:val="0"/>
        <w:spacing w:after="0" w:line="240" w:lineRule="auto"/>
        <w:rPr>
          <w:rFonts w:ascii="Times New Roman" w:hAnsi="Times New Roman" w:cs="Times New Roman"/>
        </w:rPr>
      </w:pPr>
    </w:p>
    <w:p w:rsidR="00811317" w:rsidRPr="00F205BE" w:rsidRDefault="00D151E5" w:rsidP="002B67EB">
      <w:pPr>
        <w:widowControl w:val="0"/>
        <w:spacing w:after="0" w:line="240" w:lineRule="auto"/>
        <w:rPr>
          <w:rFonts w:ascii="Times New Roman" w:hAnsi="Times New Roman" w:cs="Times New Roman"/>
        </w:rPr>
      </w:pPr>
      <w:r w:rsidRPr="00F205BE">
        <w:rPr>
          <w:rFonts w:ascii="Times New Roman" w:hAnsi="Times New Roman" w:cs="Times New Roman"/>
        </w:rPr>
        <w:t xml:space="preserve">  </w:t>
      </w:r>
      <w:r w:rsidRPr="00F205BE">
        <w:rPr>
          <w:rFonts w:ascii="Times New Roman" w:hAnsi="Times New Roman" w:cs="Times New Roman"/>
        </w:rPr>
        <w:tab/>
      </w:r>
      <w:r w:rsidRPr="00F205BE">
        <w:rPr>
          <w:rFonts w:ascii="Times New Roman" w:hAnsi="Times New Roman" w:cs="Times New Roman"/>
        </w:rPr>
        <w:tab/>
      </w:r>
      <w:r w:rsidRPr="00F205BE">
        <w:rPr>
          <w:rFonts w:ascii="Times New Roman" w:hAnsi="Times New Roman" w:cs="Times New Roman"/>
        </w:rPr>
        <w:tab/>
      </w:r>
      <w:r w:rsidR="00811317" w:rsidRPr="00F205BE">
        <w:rPr>
          <w:rFonts w:ascii="Times New Roman" w:hAnsi="Times New Roman" w:cs="Times New Roman"/>
        </w:rPr>
        <w:tab/>
      </w:r>
      <w:r w:rsidR="00811317" w:rsidRPr="00F205BE">
        <w:rPr>
          <w:rFonts w:ascii="Times New Roman" w:hAnsi="Times New Roman" w:cs="Times New Roman"/>
        </w:rPr>
        <w:tab/>
      </w:r>
      <w:r w:rsidR="00811317" w:rsidRPr="00F205BE">
        <w:rPr>
          <w:rFonts w:ascii="Times New Roman" w:hAnsi="Times New Roman" w:cs="Times New Roman"/>
        </w:rPr>
        <w:tab/>
        <w:t>FEDERAL COMMUNICATIONS COMMISSION</w:t>
      </w:r>
    </w:p>
    <w:p w:rsidR="0087006B" w:rsidRPr="00F205BE" w:rsidRDefault="0087006B" w:rsidP="002B67EB">
      <w:pPr>
        <w:widowControl w:val="0"/>
        <w:spacing w:after="0" w:line="240" w:lineRule="auto"/>
        <w:rPr>
          <w:rFonts w:ascii="Times New Roman" w:hAnsi="Times New Roman" w:cs="Times New Roman"/>
        </w:rPr>
      </w:pPr>
    </w:p>
    <w:p w:rsidR="0087006B" w:rsidRDefault="0087006B" w:rsidP="002B67EB">
      <w:pPr>
        <w:widowControl w:val="0"/>
        <w:spacing w:after="0" w:line="240" w:lineRule="auto"/>
        <w:rPr>
          <w:rFonts w:ascii="Times New Roman" w:hAnsi="Times New Roman" w:cs="Times New Roman"/>
        </w:rPr>
      </w:pPr>
    </w:p>
    <w:p w:rsidR="0053099C" w:rsidRPr="00F205BE" w:rsidRDefault="0053099C" w:rsidP="002B67EB">
      <w:pPr>
        <w:widowControl w:val="0"/>
        <w:spacing w:after="0" w:line="240" w:lineRule="auto"/>
        <w:rPr>
          <w:rFonts w:ascii="Times New Roman" w:hAnsi="Times New Roman" w:cs="Times New Roman"/>
        </w:rPr>
      </w:pPr>
    </w:p>
    <w:p w:rsidR="007329C6" w:rsidRPr="00F205BE" w:rsidRDefault="007329C6" w:rsidP="002B67EB">
      <w:pPr>
        <w:widowControl w:val="0"/>
        <w:spacing w:after="0" w:line="240" w:lineRule="auto"/>
        <w:rPr>
          <w:rFonts w:ascii="Times New Roman" w:hAnsi="Times New Roman" w:cs="Times New Roman"/>
        </w:rPr>
      </w:pPr>
    </w:p>
    <w:p w:rsidR="003D54E7" w:rsidRPr="00F205BE" w:rsidRDefault="003D54E7" w:rsidP="002B67EB">
      <w:pPr>
        <w:widowControl w:val="0"/>
        <w:spacing w:after="0" w:line="240" w:lineRule="auto"/>
        <w:ind w:left="3600" w:firstLine="720"/>
        <w:rPr>
          <w:rFonts w:ascii="Times New Roman" w:hAnsi="Times New Roman" w:cs="Times New Roman"/>
        </w:rPr>
      </w:pPr>
      <w:r w:rsidRPr="00F205BE">
        <w:rPr>
          <w:rFonts w:ascii="Times New Roman" w:hAnsi="Times New Roman" w:cs="Times New Roman"/>
        </w:rPr>
        <w:t>Marlene H. Dortch</w:t>
      </w:r>
    </w:p>
    <w:p w:rsidR="00811317" w:rsidRPr="00F205BE" w:rsidRDefault="003D54E7" w:rsidP="002B67EB">
      <w:pPr>
        <w:widowControl w:val="0"/>
        <w:spacing w:after="0" w:line="240" w:lineRule="auto"/>
        <w:ind w:left="3600" w:firstLine="720"/>
        <w:rPr>
          <w:rFonts w:ascii="Times New Roman" w:hAnsi="Times New Roman" w:cs="Times New Roman"/>
        </w:rPr>
      </w:pPr>
      <w:r w:rsidRPr="00F205BE">
        <w:rPr>
          <w:rFonts w:ascii="Times New Roman" w:hAnsi="Times New Roman" w:cs="Times New Roman"/>
        </w:rPr>
        <w:t xml:space="preserve">Secretary </w:t>
      </w:r>
    </w:p>
    <w:sectPr w:rsidR="00811317" w:rsidRPr="00F205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65" w:rsidRDefault="00CB0865">
      <w:pPr>
        <w:spacing w:line="20" w:lineRule="exact"/>
      </w:pPr>
    </w:p>
  </w:endnote>
  <w:endnote w:type="continuationSeparator" w:id="0">
    <w:p w:rsidR="00CB0865" w:rsidRDefault="00CB0865">
      <w:r>
        <w:t xml:space="preserve"> </w:t>
      </w:r>
    </w:p>
  </w:endnote>
  <w:endnote w:type="continuationNotice" w:id="1">
    <w:p w:rsidR="00CB0865" w:rsidRDefault="00CB08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86" w:rsidRDefault="004E1086">
    <w:pPr>
      <w:pStyle w:val="Footer"/>
      <w:framePr w:wrap="around" w:vAnchor="text" w:hAnchor="margin" w:xAlign="center" w:y="1"/>
    </w:pPr>
    <w:r>
      <w:fldChar w:fldCharType="begin"/>
    </w:r>
    <w:r>
      <w:instrText xml:space="preserve">PAGE  </w:instrText>
    </w:r>
    <w:r>
      <w:fldChar w:fldCharType="end"/>
    </w:r>
  </w:p>
  <w:p w:rsidR="004E1086" w:rsidRDefault="004E1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86" w:rsidRPr="00D87812" w:rsidRDefault="004E1086">
    <w:pPr>
      <w:pStyle w:val="Footer"/>
      <w:framePr w:wrap="around" w:vAnchor="text" w:hAnchor="margin" w:xAlign="center" w:y="1"/>
      <w:rPr>
        <w:rFonts w:ascii="Times New Roman" w:hAnsi="Times New Roman" w:cs="Times New Roman"/>
      </w:rPr>
    </w:pPr>
    <w:r w:rsidRPr="00D87812">
      <w:rPr>
        <w:rFonts w:ascii="Times New Roman" w:hAnsi="Times New Roman" w:cs="Times New Roman"/>
      </w:rPr>
      <w:fldChar w:fldCharType="begin"/>
    </w:r>
    <w:r w:rsidRPr="00D87812">
      <w:rPr>
        <w:rFonts w:ascii="Times New Roman" w:hAnsi="Times New Roman" w:cs="Times New Roman"/>
      </w:rPr>
      <w:instrText xml:space="preserve">PAGE  </w:instrText>
    </w:r>
    <w:r w:rsidRPr="00D87812">
      <w:rPr>
        <w:rFonts w:ascii="Times New Roman" w:hAnsi="Times New Roman" w:cs="Times New Roman"/>
      </w:rPr>
      <w:fldChar w:fldCharType="separate"/>
    </w:r>
    <w:r w:rsidR="00730EA3">
      <w:rPr>
        <w:rFonts w:ascii="Times New Roman" w:hAnsi="Times New Roman" w:cs="Times New Roman"/>
        <w:noProof/>
      </w:rPr>
      <w:t>2</w:t>
    </w:r>
    <w:r w:rsidRPr="00D87812">
      <w:rPr>
        <w:rFonts w:ascii="Times New Roman" w:hAnsi="Times New Roman" w:cs="Times New Roman"/>
      </w:rPr>
      <w:fldChar w:fldCharType="end"/>
    </w:r>
  </w:p>
  <w:p w:rsidR="004E1086" w:rsidRDefault="004E1086">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86" w:rsidRDefault="004E108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65" w:rsidRDefault="00CB0865" w:rsidP="0092682F">
      <w:pPr>
        <w:spacing w:after="0"/>
      </w:pPr>
      <w:r>
        <w:separator/>
      </w:r>
    </w:p>
  </w:footnote>
  <w:footnote w:type="continuationSeparator" w:id="0">
    <w:p w:rsidR="00CB0865" w:rsidRPr="00AA0B4C" w:rsidRDefault="00CB0865" w:rsidP="0092682F">
      <w:pPr>
        <w:spacing w:after="0"/>
        <w:rPr>
          <w:rFonts w:ascii="Times New Roman" w:hAnsi="Times New Roman" w:cs="Times New Roman"/>
          <w:sz w:val="20"/>
        </w:rPr>
      </w:pPr>
      <w:r w:rsidRPr="00AA0B4C">
        <w:rPr>
          <w:rFonts w:ascii="Times New Roman" w:hAnsi="Times New Roman" w:cs="Times New Roman"/>
          <w:sz w:val="20"/>
        </w:rPr>
        <w:t xml:space="preserve">(Continued from previous page)  </w:t>
      </w:r>
      <w:r w:rsidRPr="00AA0B4C">
        <w:rPr>
          <w:rFonts w:ascii="Times New Roman" w:hAnsi="Times New Roman" w:cs="Times New Roman"/>
          <w:sz w:val="20"/>
        </w:rPr>
        <w:separator/>
      </w:r>
    </w:p>
  </w:footnote>
  <w:footnote w:type="continuationNotice" w:id="1">
    <w:p w:rsidR="00CB0865" w:rsidRPr="0053099C" w:rsidRDefault="00CB0865" w:rsidP="0053099C">
      <w:pPr>
        <w:spacing w:after="0"/>
        <w:jc w:val="right"/>
        <w:rPr>
          <w:rFonts w:ascii="Times New Roman" w:hAnsi="Times New Roman" w:cs="Times New Roman"/>
          <w:sz w:val="20"/>
        </w:rPr>
      </w:pPr>
      <w:r w:rsidRPr="0053099C">
        <w:rPr>
          <w:rFonts w:ascii="Times New Roman" w:hAnsi="Times New Roman" w:cs="Times New Roman"/>
          <w:sz w:val="20"/>
        </w:rPr>
        <w:t>(continued….)</w:t>
      </w:r>
    </w:p>
  </w:footnote>
  <w:footnote w:id="2">
    <w:p w:rsidR="004E1086" w:rsidRDefault="004E1086">
      <w:pPr>
        <w:pStyle w:val="FootnoteText"/>
      </w:pPr>
      <w:r>
        <w:rPr>
          <w:rStyle w:val="FootnoteReference"/>
        </w:rPr>
        <w:footnoteRef/>
      </w:r>
      <w:r>
        <w:t xml:space="preserve"> Access.1 is the licensee of Stations KBTT(FM), Haughton, Louisiana, KSYR(FM), Benton, Louisiana, KOKA(AM), Shreveport, Louisiana, KDKS-FM, Blanchard, Louisiana, KLKL(FM), Minden, Louisiana, and KTAL-FM, Shreveport, Louis</w:t>
      </w:r>
      <w:r w:rsidR="00AC5F47">
        <w:t>i</w:t>
      </w:r>
      <w:r>
        <w:t xml:space="preserve">ana/Texarkana, Texas. </w:t>
      </w:r>
    </w:p>
  </w:footnote>
  <w:footnote w:id="3">
    <w:p w:rsidR="00E53CAA" w:rsidRDefault="00E53CAA">
      <w:pPr>
        <w:pStyle w:val="FootnoteText"/>
      </w:pPr>
      <w:r>
        <w:rPr>
          <w:rStyle w:val="FootnoteReference"/>
        </w:rPr>
        <w:footnoteRef/>
      </w:r>
      <w:r>
        <w:t xml:space="preserve"> These pleadings include: (1) an Opposition to Application for Review, filed on April 9, 2004, by Columbia</w:t>
      </w:r>
      <w:r w:rsidR="002E732D">
        <w:t xml:space="preserve"> Broadcasting Company, Inc.</w:t>
      </w:r>
      <w:r w:rsidR="002F4B84">
        <w:t>,</w:t>
      </w:r>
      <w:r w:rsidR="002E732D">
        <w:t xml:space="preserve"> the former licensee of Station KQHN(FM) (formerly KVMA-FM), Magnolia, Arkansas; </w:t>
      </w:r>
      <w:r>
        <w:t xml:space="preserve"> (2) a Reply filed on </w:t>
      </w:r>
      <w:r w:rsidR="002E732D">
        <w:t>April 22</w:t>
      </w:r>
      <w:r>
        <w:t>, 200</w:t>
      </w:r>
      <w:r w:rsidR="002E732D">
        <w:t>4</w:t>
      </w:r>
      <w:r>
        <w:t>, by Access.</w:t>
      </w:r>
      <w:r w:rsidR="002E732D">
        <w:t>1; (3) a Motion for Leave to File Supplement to Application for Review and a Supplement to Application for Review</w:t>
      </w:r>
      <w:r w:rsidR="00AC5239">
        <w:t xml:space="preserve"> (the “Supplement”)</w:t>
      </w:r>
      <w:r w:rsidR="002E732D">
        <w:t xml:space="preserve"> filed on February 9, 2005, by Access.1; (4) an Opposition to Motion for Leave to File Supplement filed on February 28, 2005</w:t>
      </w:r>
      <w:r w:rsidR="00B34FBB">
        <w:t xml:space="preserve"> </w:t>
      </w:r>
      <w:r w:rsidR="002E732D">
        <w:t>by Cumulus</w:t>
      </w:r>
      <w:r w:rsidR="00B32E52">
        <w:t xml:space="preserve"> Licensing</w:t>
      </w:r>
      <w:r w:rsidR="00A87D41">
        <w:t>,</w:t>
      </w:r>
      <w:r w:rsidR="00A20971">
        <w:t xml:space="preserve"> </w:t>
      </w:r>
      <w:r w:rsidR="00B32E52">
        <w:t>LLC</w:t>
      </w:r>
      <w:r w:rsidR="00CE0F67">
        <w:t>;</w:t>
      </w:r>
      <w:r w:rsidR="002E732D">
        <w:t xml:space="preserve"> and (5) a Reply to Opposition filed on March 10, 2005, by Access</w:t>
      </w:r>
      <w:r w:rsidR="00564244">
        <w:t>.</w:t>
      </w:r>
      <w:r w:rsidR="00180629">
        <w:t>1.</w:t>
      </w:r>
      <w:r w:rsidR="00564244">
        <w:t xml:space="preserve"> </w:t>
      </w:r>
    </w:p>
  </w:footnote>
  <w:footnote w:id="4">
    <w:p w:rsidR="009B2ABA" w:rsidRPr="009B2ABA" w:rsidRDefault="009B2ABA">
      <w:pPr>
        <w:pStyle w:val="FootnoteText"/>
      </w:pPr>
      <w:r>
        <w:rPr>
          <w:rStyle w:val="FootnoteReference"/>
        </w:rPr>
        <w:footnoteRef/>
      </w:r>
      <w:r>
        <w:t xml:space="preserve"> </w:t>
      </w:r>
      <w:r>
        <w:rPr>
          <w:i/>
        </w:rPr>
        <w:t xml:space="preserve">See Magnolia, Arkansas, and Oil City, Louisiana, </w:t>
      </w:r>
      <w:r>
        <w:t>Memorandum Opinion and Order, 19 FCC Rcd 1553 (MB 2004) (“</w:t>
      </w:r>
      <w:r>
        <w:rPr>
          <w:i/>
        </w:rPr>
        <w:t>Magnolia Reconsideration Decision</w:t>
      </w:r>
      <w:r>
        <w:t>”).</w:t>
      </w:r>
    </w:p>
  </w:footnote>
  <w:footnote w:id="5">
    <w:p w:rsidR="00664107" w:rsidRDefault="00664107">
      <w:pPr>
        <w:pStyle w:val="FootnoteText"/>
      </w:pPr>
      <w:r>
        <w:rPr>
          <w:rStyle w:val="FootnoteReference"/>
        </w:rPr>
        <w:footnoteRef/>
      </w:r>
      <w:r>
        <w:t xml:space="preserve"> </w:t>
      </w:r>
      <w:r>
        <w:rPr>
          <w:i/>
        </w:rPr>
        <w:t xml:space="preserve">See Magnolia, Arkansas, and Oil City, Louisiana, </w:t>
      </w:r>
      <w:r>
        <w:t>Report and Order, 18 FCC Rcd 8542 (MB 2003) (“</w:t>
      </w:r>
      <w:r>
        <w:rPr>
          <w:i/>
        </w:rPr>
        <w:t>Magnolia R&amp;O”</w:t>
      </w:r>
      <w:r>
        <w:t xml:space="preserve">).  </w:t>
      </w:r>
    </w:p>
  </w:footnote>
  <w:footnote w:id="6">
    <w:p w:rsidR="00C44C4B" w:rsidRPr="001C7FC6" w:rsidRDefault="00C44C4B">
      <w:pPr>
        <w:pStyle w:val="FootnoteText"/>
      </w:pPr>
      <w:r>
        <w:rPr>
          <w:rStyle w:val="FootnoteReference"/>
        </w:rPr>
        <w:footnoteRef/>
      </w:r>
      <w:r w:rsidR="00630402">
        <w:t xml:space="preserve">  </w:t>
      </w:r>
      <w:r w:rsidR="001C7FC6">
        <w:t xml:space="preserve">Cumulus </w:t>
      </w:r>
      <w:r w:rsidR="000E5CC1">
        <w:t>acquired</w:t>
      </w:r>
      <w:r w:rsidR="001C7FC6">
        <w:t xml:space="preserve"> control of</w:t>
      </w:r>
      <w:r w:rsidR="00F04C6A">
        <w:t xml:space="preserve"> Columbia</w:t>
      </w:r>
      <w:r w:rsidR="00747DB9">
        <w:t xml:space="preserve"> </w:t>
      </w:r>
      <w:r w:rsidR="00F04C6A">
        <w:t>on</w:t>
      </w:r>
      <w:r w:rsidR="001C7FC6">
        <w:t xml:space="preserve"> January 30, 2004, pursuant to Commission consent.  </w:t>
      </w:r>
      <w:r w:rsidR="001C7FC6">
        <w:rPr>
          <w:i/>
        </w:rPr>
        <w:t xml:space="preserve">See </w:t>
      </w:r>
      <w:r w:rsidR="001C7FC6">
        <w:t>File No. BTCH-20020522AAH.  Thereafter, Cumulus became the assignee of</w:t>
      </w:r>
      <w:r w:rsidR="00AC5239">
        <w:t xml:space="preserve"> </w:t>
      </w:r>
      <w:r w:rsidR="008106E9">
        <w:t xml:space="preserve">the </w:t>
      </w:r>
      <w:r w:rsidR="001C7FC6">
        <w:t xml:space="preserve">Station by </w:t>
      </w:r>
      <w:r w:rsidR="00AC5239">
        <w:t>grant of a short-form assignment application</w:t>
      </w:r>
      <w:r w:rsidR="001C7FC6">
        <w:t xml:space="preserve">.  </w:t>
      </w:r>
      <w:r w:rsidR="001C7FC6">
        <w:rPr>
          <w:i/>
        </w:rPr>
        <w:t xml:space="preserve">See </w:t>
      </w:r>
      <w:r w:rsidR="001C7FC6">
        <w:t>File No. BALH-20041210AAP.</w:t>
      </w:r>
      <w:r w:rsidR="002F4B84">
        <w:t xml:space="preserve">  </w:t>
      </w:r>
      <w:r w:rsidR="006245B1">
        <w:t>For purposes of simplicity, unless otherwise noted, the licensee of the Station will be referred to herein as Cumulus.</w:t>
      </w:r>
      <w:r w:rsidR="008C3EDE">
        <w:t xml:space="preserve">  </w:t>
      </w:r>
      <w:r w:rsidR="007E40E5">
        <w:t>A</w:t>
      </w:r>
      <w:r w:rsidR="008C3EDE">
        <w:t>t the request of Cumulus, in 2005</w:t>
      </w:r>
      <w:r w:rsidR="007E40E5">
        <w:t>,</w:t>
      </w:r>
      <w:r w:rsidR="008C3EDE">
        <w:t xml:space="preserve"> the</w:t>
      </w:r>
      <w:r w:rsidR="00400050">
        <w:t xml:space="preserve"> Commission further changed the</w:t>
      </w:r>
      <w:r w:rsidR="008C3EDE">
        <w:t xml:space="preserve"> community of license of the Station from Oil </w:t>
      </w:r>
      <w:r w:rsidR="000439A7">
        <w:t>City</w:t>
      </w:r>
      <w:r w:rsidR="008C3EDE">
        <w:t xml:space="preserve"> to </w:t>
      </w:r>
      <w:r w:rsidR="00400050">
        <w:t>Was</w:t>
      </w:r>
      <w:r w:rsidR="004B3F8C">
        <w:t>k</w:t>
      </w:r>
      <w:r w:rsidR="00400050">
        <w:t xml:space="preserve">om, Texas.  </w:t>
      </w:r>
      <w:r w:rsidR="00400050">
        <w:rPr>
          <w:i/>
        </w:rPr>
        <w:t xml:space="preserve">See Dubach, Natchitoches, Oil City, and Shreveport, Louisiana, and Groesbeck, et al., Texas, </w:t>
      </w:r>
      <w:r w:rsidR="00400050">
        <w:t>Report and Order, 20 FCC Rcd 19495 (2005).</w:t>
      </w:r>
    </w:p>
  </w:footnote>
  <w:footnote w:id="7">
    <w:p w:rsidR="004E1086" w:rsidRPr="007850A1" w:rsidRDefault="004E1086">
      <w:pPr>
        <w:pStyle w:val="FootnoteText"/>
      </w:pPr>
      <w:r>
        <w:rPr>
          <w:rStyle w:val="FootnoteReference"/>
        </w:rPr>
        <w:footnoteRef/>
      </w:r>
      <w:r>
        <w:t xml:space="preserve"> </w:t>
      </w:r>
      <w:r>
        <w:rPr>
          <w:i/>
        </w:rPr>
        <w:t>See</w:t>
      </w:r>
      <w:r w:rsidR="00D85BAF">
        <w:rPr>
          <w:i/>
        </w:rPr>
        <w:t xml:space="preserve"> Magnolia R&amp;O</w:t>
      </w:r>
      <w:r>
        <w:t xml:space="preserve">, 18 FCC Rcd </w:t>
      </w:r>
      <w:r w:rsidR="00D85BAF">
        <w:t xml:space="preserve">at 85443. </w:t>
      </w:r>
      <w:r>
        <w:t xml:space="preserve">  </w:t>
      </w:r>
    </w:p>
  </w:footnote>
  <w:footnote w:id="8">
    <w:p w:rsidR="008822A8" w:rsidRPr="00DA5CE7" w:rsidRDefault="004E1086" w:rsidP="000A5749">
      <w:pPr>
        <w:pStyle w:val="FootnoteText"/>
      </w:pPr>
      <w:r>
        <w:rPr>
          <w:rStyle w:val="FootnoteReference"/>
        </w:rPr>
        <w:footnoteRef/>
      </w:r>
      <w:r>
        <w:t xml:space="preserve"> </w:t>
      </w:r>
      <w:r>
        <w:rPr>
          <w:i/>
        </w:rPr>
        <w:t xml:space="preserve">See Faye and Richard Tuck, Inc., </w:t>
      </w:r>
      <w:r>
        <w:t>Memorandum Opinion and Order, 3 FCC Rcd 5374 (1988) (establishing eight factors to determine whether a suburban community is independent of a nearby central city).</w:t>
      </w:r>
    </w:p>
  </w:footnote>
  <w:footnote w:id="9">
    <w:p w:rsidR="004E1086" w:rsidRPr="005A7D08" w:rsidRDefault="004E1086">
      <w:pPr>
        <w:pStyle w:val="FootnoteText"/>
      </w:pPr>
      <w:r>
        <w:rPr>
          <w:rStyle w:val="FootnoteReference"/>
        </w:rPr>
        <w:footnoteRef/>
      </w:r>
      <w:r>
        <w:t xml:space="preserve"> </w:t>
      </w:r>
      <w:r>
        <w:rPr>
          <w:i/>
        </w:rPr>
        <w:t xml:space="preserve">See </w:t>
      </w:r>
      <w:r w:rsidR="00664107">
        <w:rPr>
          <w:i/>
        </w:rPr>
        <w:t>Magnolia Reconsideration Decision</w:t>
      </w:r>
      <w:r>
        <w:rPr>
          <w:i/>
        </w:rPr>
        <w:t>,</w:t>
      </w:r>
      <w:r w:rsidR="007D048D">
        <w:rPr>
          <w:i/>
        </w:rPr>
        <w:t xml:space="preserve"> </w:t>
      </w:r>
      <w:r>
        <w:t xml:space="preserve">19 FCC Rcd at 1555, ¶¶ 5-7. </w:t>
      </w:r>
    </w:p>
  </w:footnote>
  <w:footnote w:id="10">
    <w:p w:rsidR="004E1086" w:rsidRPr="0043246F" w:rsidRDefault="004E1086">
      <w:pPr>
        <w:pStyle w:val="FootnoteText"/>
      </w:pPr>
      <w:r>
        <w:rPr>
          <w:rStyle w:val="FootnoteReference"/>
        </w:rPr>
        <w:footnoteRef/>
      </w:r>
      <w:r>
        <w:t xml:space="preserve"> </w:t>
      </w:r>
      <w:r>
        <w:rPr>
          <w:i/>
        </w:rPr>
        <w:t xml:space="preserve">Id., </w:t>
      </w:r>
      <w:r>
        <w:t>19 FCC Rcd at 1556 n.6</w:t>
      </w:r>
      <w:r w:rsidR="00140DAE">
        <w:t>.</w:t>
      </w:r>
      <w:r w:rsidR="00140DAE">
        <w:rPr>
          <w:i/>
        </w:rPr>
        <w:t xml:space="preserve">  </w:t>
      </w:r>
      <w:r w:rsidR="00D85BAF">
        <w:t xml:space="preserve">   </w:t>
      </w:r>
    </w:p>
  </w:footnote>
  <w:footnote w:id="11">
    <w:p w:rsidR="00CA38E5" w:rsidRDefault="00CA38E5">
      <w:pPr>
        <w:pStyle w:val="FootnoteText"/>
      </w:pPr>
      <w:r>
        <w:rPr>
          <w:rStyle w:val="FootnoteReference"/>
        </w:rPr>
        <w:footnoteRef/>
      </w:r>
      <w:r>
        <w:t xml:space="preserve"> </w:t>
      </w:r>
      <w:r>
        <w:rPr>
          <w:i/>
        </w:rPr>
        <w:t xml:space="preserve">See Amendment of the Commission’s Rules Regarding Modification of FM and TV Authorizations to Specify a New Community of License, </w:t>
      </w:r>
      <w:r>
        <w:t>Report and Order, 4 FCC Rcd 4870 (1989) (“</w:t>
      </w:r>
      <w:r>
        <w:rPr>
          <w:i/>
        </w:rPr>
        <w:t>Community of License R&amp;O</w:t>
      </w:r>
      <w:r>
        <w:t xml:space="preserve">”), </w:t>
      </w:r>
      <w:r>
        <w:rPr>
          <w:i/>
        </w:rPr>
        <w:t xml:space="preserve">recon. granted in part, </w:t>
      </w:r>
      <w:r>
        <w:t>Memorandum Opinion and Order, 5 FCC Rcd 7094 (1990) (“</w:t>
      </w:r>
      <w:r>
        <w:rPr>
          <w:i/>
        </w:rPr>
        <w:t>Community of License MO&amp;O</w:t>
      </w:r>
      <w:r>
        <w:t>”).</w:t>
      </w:r>
    </w:p>
  </w:footnote>
  <w:footnote w:id="12">
    <w:p w:rsidR="00500046" w:rsidRDefault="00500046">
      <w:pPr>
        <w:pStyle w:val="FootnoteText"/>
      </w:pPr>
      <w:r>
        <w:rPr>
          <w:rStyle w:val="FootnoteReference"/>
        </w:rPr>
        <w:footnoteRef/>
      </w:r>
      <w:r>
        <w:t xml:space="preserve"> File No. BPH-20030610ADI</w:t>
      </w:r>
      <w:r w:rsidR="00CA38E5">
        <w:t xml:space="preserve"> </w:t>
      </w:r>
      <w:r>
        <w:t>(“Oil City Modification Application”).</w:t>
      </w:r>
    </w:p>
  </w:footnote>
  <w:footnote w:id="13">
    <w:p w:rsidR="003F65D9" w:rsidRDefault="003F65D9">
      <w:pPr>
        <w:pStyle w:val="FootnoteText"/>
      </w:pPr>
      <w:r>
        <w:rPr>
          <w:rStyle w:val="FootnoteReference"/>
        </w:rPr>
        <w:footnoteRef/>
      </w:r>
      <w:r>
        <w:t xml:space="preserve"> In its Supplement, Access.1 argues that the </w:t>
      </w:r>
      <w:r w:rsidR="00A41147">
        <w:t xml:space="preserve">January 13, 2005 </w:t>
      </w:r>
      <w:r>
        <w:t>filing by Cumulus of a Request for Special Temporary Authority (“STA</w:t>
      </w:r>
      <w:r w:rsidR="001C4919">
        <w:t xml:space="preserve"> Request</w:t>
      </w:r>
      <w:r>
        <w:t>”) to operate Station KQHN(FM) on a different channel and at reduced power to pre</w:t>
      </w:r>
      <w:r w:rsidR="00763398">
        <w:t>v</w:t>
      </w:r>
      <w:r>
        <w:t xml:space="preserve">ent interference to U.S. Air Force equipment </w:t>
      </w:r>
      <w:r w:rsidR="00A41147">
        <w:t xml:space="preserve">at nearby Barksdale Air Force Base </w:t>
      </w:r>
      <w:r>
        <w:t>provides further evidence of Cumulus’s lack of candor in seeking a first local service priority at Oil City.</w:t>
      </w:r>
      <w:r w:rsidR="005D0BDB">
        <w:t xml:space="preserve">  </w:t>
      </w:r>
      <w:r w:rsidR="00A22D21">
        <w:t xml:space="preserve">This allegation is discussed at ¶¶ 7-8, </w:t>
      </w:r>
      <w:r w:rsidR="00A22D21" w:rsidRPr="00F65E95">
        <w:rPr>
          <w:i/>
        </w:rPr>
        <w:t>infra</w:t>
      </w:r>
      <w:r w:rsidR="00A22D21">
        <w:t xml:space="preserve">. It also questions for how long the Station’s reduced service to Oil City, which Cumulus acknowledges </w:t>
      </w:r>
      <w:r w:rsidR="001C4919">
        <w:t xml:space="preserve">in the STA Request </w:t>
      </w:r>
      <w:r w:rsidR="00A22D21">
        <w:t>to be “deficient</w:t>
      </w:r>
      <w:r w:rsidR="00DC1F37">
        <w:t>”</w:t>
      </w:r>
      <w:r w:rsidR="00A22D21">
        <w:t xml:space="preserve">, will continue. This issue was subsequently mooted when, at Cumulus’s request, the Commission changed the Station’s community of license to Waskom, Texas. </w:t>
      </w:r>
      <w:r w:rsidR="00A22D21">
        <w:rPr>
          <w:i/>
        </w:rPr>
        <w:t xml:space="preserve">See Dubach, Natchitoches, Oil City, and Shreveport, Louisiana, and Groesbeck, et al., Texas, </w:t>
      </w:r>
      <w:r w:rsidR="00A22D21">
        <w:t>Report and Order, 20 FCC Rcd 19495, 19500 (2005).</w:t>
      </w:r>
      <w:r w:rsidR="001C4919">
        <w:t xml:space="preserve">  Therein, the Commission noted that its action would be subject to the resolution of the AFR in this proceeding. </w:t>
      </w:r>
      <w:r w:rsidR="00325EDB">
        <w:t xml:space="preserve"> </w:t>
      </w:r>
      <w:r w:rsidR="001C4919" w:rsidRPr="001C4919">
        <w:rPr>
          <w:i/>
        </w:rPr>
        <w:t>Id.</w:t>
      </w:r>
      <w:r w:rsidR="001C4919">
        <w:t xml:space="preserve"> at 19499, n.19.</w:t>
      </w:r>
    </w:p>
  </w:footnote>
  <w:footnote w:id="14">
    <w:p w:rsidR="00276861" w:rsidRPr="00276861" w:rsidRDefault="00276861">
      <w:pPr>
        <w:pStyle w:val="FootnoteText"/>
      </w:pPr>
      <w:r>
        <w:rPr>
          <w:rStyle w:val="FootnoteReference"/>
        </w:rPr>
        <w:footnoteRef/>
      </w:r>
      <w:r>
        <w:t xml:space="preserve"> </w:t>
      </w:r>
      <w:r>
        <w:rPr>
          <w:i/>
        </w:rPr>
        <w:t xml:space="preserve">See </w:t>
      </w:r>
      <w:r w:rsidR="00D30304">
        <w:t xml:space="preserve">AFR </w:t>
      </w:r>
      <w:r>
        <w:t>at 20-23.</w:t>
      </w:r>
    </w:p>
  </w:footnote>
  <w:footnote w:id="15">
    <w:p w:rsidR="00701420" w:rsidRPr="00936063" w:rsidRDefault="00701420" w:rsidP="00701420">
      <w:pPr>
        <w:pStyle w:val="FootnoteText"/>
      </w:pPr>
      <w:r>
        <w:rPr>
          <w:rStyle w:val="FootnoteReference"/>
        </w:rPr>
        <w:footnoteRef/>
      </w:r>
      <w:r>
        <w:t xml:space="preserve"> The </w:t>
      </w:r>
      <w:r>
        <w:rPr>
          <w:i/>
        </w:rPr>
        <w:t xml:space="preserve">Magnolia Reconsideration Decision </w:t>
      </w:r>
      <w:r>
        <w:t xml:space="preserve">did not accept Access.1’s Second Supplement to its Petition for Reconsideration, filed on January 28, 2004, in which Access.1 challenged, for the first time, </w:t>
      </w:r>
      <w:r w:rsidR="00090F1B">
        <w:t>Cumulus’s</w:t>
      </w:r>
      <w:r>
        <w:t xml:space="preserve"> </w:t>
      </w:r>
      <w:r>
        <w:rPr>
          <w:i/>
        </w:rPr>
        <w:t>Tuck</w:t>
      </w:r>
      <w:r>
        <w:t xml:space="preserve"> showing, filed on July 29, 2003.  The Bureau explained that the Second Supplement </w:t>
      </w:r>
      <w:r w:rsidR="008106E9">
        <w:t xml:space="preserve">was </w:t>
      </w:r>
      <w:r>
        <w:t>not authorized under Section 1.429(d) of the Rules and that, in any event, it contain</w:t>
      </w:r>
      <w:r w:rsidR="008106E9">
        <w:t>ed</w:t>
      </w:r>
      <w:r>
        <w:t xml:space="preserve"> no new information of decisional significance.  </w:t>
      </w:r>
      <w:r>
        <w:rPr>
          <w:i/>
        </w:rPr>
        <w:t xml:space="preserve">See Magnolia Reconsideration Decision, </w:t>
      </w:r>
      <w:r>
        <w:t>19 FCC Rcd at 1556 n.2.  We concur with the</w:t>
      </w:r>
      <w:r w:rsidR="009617C1">
        <w:t>se</w:t>
      </w:r>
      <w:r>
        <w:t xml:space="preserve"> Bureau determinations</w:t>
      </w:r>
      <w:r w:rsidR="000E48A2">
        <w:t xml:space="preserve"> and agree that dismissal of that pleading was appropriate</w:t>
      </w:r>
      <w:r>
        <w:t xml:space="preserve">.  </w:t>
      </w:r>
      <w:r w:rsidR="000E48A2">
        <w:t>As a separate and independent ground for our decision</w:t>
      </w:r>
      <w:r>
        <w:t>, we agree with the Bureau</w:t>
      </w:r>
      <w:r w:rsidR="000E48A2">
        <w:t xml:space="preserve"> on the merits</w:t>
      </w:r>
      <w:r>
        <w:t xml:space="preserve"> that a majority of the eight </w:t>
      </w:r>
      <w:r>
        <w:rPr>
          <w:i/>
        </w:rPr>
        <w:t>Tuck</w:t>
      </w:r>
      <w:r>
        <w:t xml:space="preserve"> factors are present</w:t>
      </w:r>
      <w:r w:rsidR="008106E9">
        <w:t xml:space="preserve"> here</w:t>
      </w:r>
      <w:r>
        <w:t xml:space="preserve"> – factor 1 (percentage of working-age residents who work in the community); factor 2 (newspapers and other media); factor 3 (community identity); factor 4 (elected government); factor 5 (post office and zip code); and factor 8 (fire and police protection</w:t>
      </w:r>
      <w:r w:rsidR="00090F1B">
        <w:t>)</w:t>
      </w:r>
      <w:r>
        <w:t xml:space="preserve">.  Partial credit was warranted for factor 6 (businesses, medical facilities, mass transit) and factor 7 (advertising market).  Access.1 contends that this case is similar to </w:t>
      </w:r>
      <w:r>
        <w:rPr>
          <w:i/>
        </w:rPr>
        <w:t xml:space="preserve">Geenfield and Del Rey Oaks, </w:t>
      </w:r>
      <w:r w:rsidR="00090F1B">
        <w:t xml:space="preserve">Report and Order, </w:t>
      </w:r>
      <w:r>
        <w:t>11 FCC Rcd 12681 (MMB 1196) (“</w:t>
      </w:r>
      <w:r>
        <w:rPr>
          <w:i/>
        </w:rPr>
        <w:t>Greenfield</w:t>
      </w:r>
      <w:r>
        <w:t xml:space="preserve">”).  We disagree.  </w:t>
      </w:r>
      <w:r w:rsidR="004D1066">
        <w:t>Unlike here, i</w:t>
      </w:r>
      <w:r>
        <w:t xml:space="preserve">n </w:t>
      </w:r>
      <w:r>
        <w:rPr>
          <w:i/>
        </w:rPr>
        <w:t xml:space="preserve">Greenfield, </w:t>
      </w:r>
      <w:r>
        <w:t xml:space="preserve">the </w:t>
      </w:r>
      <w:r w:rsidR="004D1066">
        <w:t xml:space="preserve">proposed new station </w:t>
      </w:r>
      <w:r>
        <w:t xml:space="preserve">community </w:t>
      </w:r>
      <w:r w:rsidR="00CD5544">
        <w:t xml:space="preserve">did not </w:t>
      </w:r>
      <w:r w:rsidR="009D3CB5">
        <w:t>satisfy</w:t>
      </w:r>
      <w:r w:rsidR="00786756">
        <w:t xml:space="preserve"> </w:t>
      </w:r>
      <w:r w:rsidR="00CD5544">
        <w:t xml:space="preserve">a majority of the </w:t>
      </w:r>
      <w:r w:rsidR="00CD5544">
        <w:rPr>
          <w:i/>
        </w:rPr>
        <w:t>Tuck</w:t>
      </w:r>
      <w:r w:rsidR="00CD5544">
        <w:t xml:space="preserve"> factors.</w:t>
      </w:r>
      <w:r>
        <w:t xml:space="preserve">       </w:t>
      </w:r>
    </w:p>
  </w:footnote>
  <w:footnote w:id="16">
    <w:p w:rsidR="003F1F66" w:rsidRPr="003F1F66" w:rsidRDefault="003F1F66">
      <w:pPr>
        <w:pStyle w:val="FootnoteText"/>
      </w:pPr>
      <w:r>
        <w:rPr>
          <w:rStyle w:val="FootnoteReference"/>
        </w:rPr>
        <w:footnoteRef/>
      </w:r>
      <w:r>
        <w:t xml:space="preserve"> </w:t>
      </w:r>
      <w:r>
        <w:rPr>
          <w:i/>
        </w:rPr>
        <w:t xml:space="preserve">See </w:t>
      </w:r>
      <w:r w:rsidR="00C1131B">
        <w:t>AFR</w:t>
      </w:r>
      <w:r>
        <w:t xml:space="preserve"> at 11, </w:t>
      </w:r>
      <w:r>
        <w:rPr>
          <w:i/>
        </w:rPr>
        <w:t>citing Community of License R&amp;</w:t>
      </w:r>
      <w:r w:rsidR="006B0F2E">
        <w:rPr>
          <w:i/>
        </w:rPr>
        <w:t>O</w:t>
      </w:r>
      <w:r>
        <w:rPr>
          <w:i/>
        </w:rPr>
        <w:t xml:space="preserve">, </w:t>
      </w:r>
      <w:r>
        <w:t>4 FCC Rcd at 4873.</w:t>
      </w:r>
    </w:p>
  </w:footnote>
  <w:footnote w:id="17">
    <w:p w:rsidR="00C1131B" w:rsidRDefault="00C1131B">
      <w:pPr>
        <w:pStyle w:val="FootnoteText"/>
      </w:pPr>
      <w:r>
        <w:rPr>
          <w:rStyle w:val="FootnoteReference"/>
        </w:rPr>
        <w:footnoteRef/>
      </w:r>
      <w:r>
        <w:t xml:space="preserve"> AFR at</w:t>
      </w:r>
      <w:r w:rsidR="004D1066">
        <w:t xml:space="preserve"> 11</w:t>
      </w:r>
      <w:r>
        <w:t>.</w:t>
      </w:r>
    </w:p>
  </w:footnote>
  <w:footnote w:id="18">
    <w:p w:rsidR="0067274A" w:rsidRPr="0067274A" w:rsidRDefault="0067274A">
      <w:pPr>
        <w:pStyle w:val="FootnoteText"/>
      </w:pPr>
      <w:r>
        <w:rPr>
          <w:rStyle w:val="FootnoteReference"/>
        </w:rPr>
        <w:footnoteRef/>
      </w:r>
      <w:r>
        <w:t xml:space="preserve"> </w:t>
      </w:r>
      <w:r>
        <w:rPr>
          <w:i/>
        </w:rPr>
        <w:t xml:space="preserve">Community of License R&amp;O, </w:t>
      </w:r>
      <w:r>
        <w:t>4 FCC Rcd at 4872.</w:t>
      </w:r>
    </w:p>
  </w:footnote>
  <w:footnote w:id="19">
    <w:p w:rsidR="0067274A" w:rsidRPr="0067274A" w:rsidRDefault="0067274A">
      <w:pPr>
        <w:pStyle w:val="FootnoteText"/>
      </w:pPr>
      <w:r>
        <w:rPr>
          <w:rStyle w:val="FootnoteReference"/>
        </w:rPr>
        <w:footnoteRef/>
      </w:r>
      <w:r>
        <w:t xml:space="preserve"> </w:t>
      </w:r>
      <w:r>
        <w:rPr>
          <w:i/>
        </w:rPr>
        <w:t xml:space="preserve">Community of License MO&amp;O, </w:t>
      </w:r>
      <w:r>
        <w:t>5 FCC Rcd at 7096.</w:t>
      </w:r>
    </w:p>
  </w:footnote>
  <w:footnote w:id="20">
    <w:p w:rsidR="004E1086" w:rsidRPr="00CC5FC8" w:rsidRDefault="004E1086">
      <w:pPr>
        <w:pStyle w:val="FootnoteText"/>
      </w:pPr>
      <w:r>
        <w:rPr>
          <w:rStyle w:val="FootnoteReference"/>
        </w:rPr>
        <w:footnoteRef/>
      </w:r>
      <w:r>
        <w:t xml:space="preserve"> </w:t>
      </w:r>
      <w:r>
        <w:rPr>
          <w:i/>
        </w:rPr>
        <w:t xml:space="preserve">See </w:t>
      </w:r>
      <w:r w:rsidR="00C1131B">
        <w:t>AFR</w:t>
      </w:r>
      <w:r>
        <w:t xml:space="preserve"> at 13-14. </w:t>
      </w:r>
    </w:p>
  </w:footnote>
  <w:footnote w:id="21">
    <w:p w:rsidR="004E1086" w:rsidRPr="0007381F" w:rsidRDefault="004E1086">
      <w:pPr>
        <w:pStyle w:val="FootnoteText"/>
      </w:pPr>
      <w:r>
        <w:rPr>
          <w:rStyle w:val="FootnoteReference"/>
        </w:rPr>
        <w:footnoteRef/>
      </w:r>
      <w:r>
        <w:t xml:space="preserve"> </w:t>
      </w:r>
      <w:r>
        <w:rPr>
          <w:i/>
        </w:rPr>
        <w:t xml:space="preserve">See Fox River Broadcasting, Inc., </w:t>
      </w:r>
      <w:r>
        <w:t xml:space="preserve">Order, 93 FCC 2d 127, 129 (1983).  </w:t>
      </w:r>
    </w:p>
  </w:footnote>
  <w:footnote w:id="22">
    <w:p w:rsidR="009617C1" w:rsidRPr="009617C1" w:rsidRDefault="009617C1">
      <w:pPr>
        <w:pStyle w:val="FootnoteText"/>
      </w:pPr>
      <w:r>
        <w:rPr>
          <w:rStyle w:val="FootnoteReference"/>
        </w:rPr>
        <w:footnoteRef/>
      </w:r>
      <w:r>
        <w:t xml:space="preserve"> </w:t>
      </w:r>
      <w:r>
        <w:rPr>
          <w:i/>
        </w:rPr>
        <w:t xml:space="preserve">See </w:t>
      </w:r>
      <w:r>
        <w:t>47 C.F.R. § 73.207.</w:t>
      </w:r>
    </w:p>
  </w:footnote>
  <w:footnote w:id="23">
    <w:p w:rsidR="009617C1" w:rsidRDefault="009617C1">
      <w:pPr>
        <w:pStyle w:val="FootnoteText"/>
      </w:pPr>
      <w:r>
        <w:rPr>
          <w:rStyle w:val="FootnoteReference"/>
        </w:rPr>
        <w:footnoteRef/>
      </w:r>
      <w:r>
        <w:t xml:space="preserve"> </w:t>
      </w:r>
      <w:r>
        <w:rPr>
          <w:i/>
        </w:rPr>
        <w:t xml:space="preserve">See </w:t>
      </w:r>
      <w:r>
        <w:t>47 C.F.R. § 73</w:t>
      </w:r>
      <w:r w:rsidR="008A360E">
        <w:t>.315.</w:t>
      </w:r>
    </w:p>
  </w:footnote>
  <w:footnote w:id="24">
    <w:p w:rsidR="005229F7" w:rsidRDefault="005229F7">
      <w:pPr>
        <w:pStyle w:val="FootnoteText"/>
      </w:pPr>
      <w:r>
        <w:rPr>
          <w:rStyle w:val="FootnoteReference"/>
        </w:rPr>
        <w:footnoteRef/>
      </w:r>
      <w:r>
        <w:t xml:space="preserve"> </w:t>
      </w:r>
      <w:r w:rsidR="002042C8">
        <w:rPr>
          <w:i/>
        </w:rPr>
        <w:t>See,</w:t>
      </w:r>
      <w:r w:rsidR="00C476BA">
        <w:rPr>
          <w:i/>
        </w:rPr>
        <w:t xml:space="preserve"> e.g., Saltville, Virginia, and Jefferson, North Carolina, </w:t>
      </w:r>
      <w:r w:rsidR="00C476BA">
        <w:t>Memorandum Opinion and Order, 15 FCC Rcd 24296, 2497 (2000) (permitting reallotment and upgrade of a</w:t>
      </w:r>
      <w:r w:rsidR="00557F83">
        <w:t>n FM</w:t>
      </w:r>
      <w:r w:rsidR="00C476BA">
        <w:t xml:space="preserve"> station’s channel </w:t>
      </w:r>
      <w:r w:rsidR="00557F83">
        <w:t xml:space="preserve">class at a specific transmitter site that </w:t>
      </w:r>
      <w:r w:rsidR="008106E9">
        <w:t xml:space="preserve">was </w:t>
      </w:r>
      <w:r w:rsidR="00557F83">
        <w:t>different from the theoretical reference coordinates for the channel).</w:t>
      </w:r>
      <w:r w:rsidR="00D7524F">
        <w:rPr>
          <w:i/>
        </w:rPr>
        <w:t xml:space="preserve">  </w:t>
      </w:r>
      <w:r>
        <w:t xml:space="preserve">While </w:t>
      </w:r>
      <w:r w:rsidR="00EA4E13">
        <w:t xml:space="preserve">the </w:t>
      </w:r>
      <w:r w:rsidR="00EA4E13">
        <w:rPr>
          <w:i/>
        </w:rPr>
        <w:t>Magnolia</w:t>
      </w:r>
      <w:r>
        <w:t xml:space="preserve"> proceeding was pending, the Commission amended its Rules to allow a licensee or permittee to change its community of license by filing a minor modification application, instead of a petition for rule making.  </w:t>
      </w:r>
      <w:r>
        <w:rPr>
          <w:i/>
        </w:rPr>
        <w:t xml:space="preserve">See Revision of Procedures Governing Amendments to FM Table of Allotments and Changes of Community of License in the Radio Broadcast Services, </w:t>
      </w:r>
      <w:r>
        <w:t xml:space="preserve">Report and Order, 21 FCC Rcd 14212 (2006), </w:t>
      </w:r>
      <w:r>
        <w:rPr>
          <w:i/>
        </w:rPr>
        <w:t>recon. pending.</w:t>
      </w:r>
      <w:r>
        <w:t xml:space="preserve"> </w:t>
      </w:r>
      <w:r w:rsidR="004A1752">
        <w:t xml:space="preserve"> Under</w:t>
      </w:r>
      <w:r w:rsidR="00C84C58">
        <w:t xml:space="preserve"> t</w:t>
      </w:r>
      <w:r>
        <w:t xml:space="preserve">his new procedure, an applicant specifies both a </w:t>
      </w:r>
      <w:r w:rsidR="006E7FFC">
        <w:t xml:space="preserve">theoretical </w:t>
      </w:r>
      <w:r>
        <w:t xml:space="preserve">“allotment” site and an application site at the same time in its application. </w:t>
      </w:r>
    </w:p>
  </w:footnote>
  <w:footnote w:id="25">
    <w:p w:rsidR="00B16180" w:rsidRPr="00F65E95" w:rsidRDefault="00B16180">
      <w:pPr>
        <w:pStyle w:val="FootnoteText"/>
        <w:rPr>
          <w:i/>
        </w:rPr>
      </w:pPr>
      <w:r>
        <w:rPr>
          <w:rStyle w:val="FootnoteReference"/>
        </w:rPr>
        <w:footnoteRef/>
      </w:r>
      <w:r>
        <w:t xml:space="preserve"> </w:t>
      </w:r>
      <w:r>
        <w:rPr>
          <w:i/>
        </w:rPr>
        <w:t xml:space="preserve">See supra, </w:t>
      </w:r>
      <w:r w:rsidRPr="00F65E95">
        <w:t>n.21 and n.22.</w:t>
      </w:r>
    </w:p>
  </w:footnote>
  <w:footnote w:id="26">
    <w:p w:rsidR="00190893" w:rsidRPr="007653EC" w:rsidRDefault="00190893">
      <w:pPr>
        <w:pStyle w:val="FootnoteText"/>
      </w:pPr>
      <w:r>
        <w:rPr>
          <w:rStyle w:val="FootnoteReference"/>
        </w:rPr>
        <w:footnoteRef/>
      </w:r>
      <w:r>
        <w:t xml:space="preserve"> </w:t>
      </w:r>
      <w:r>
        <w:rPr>
          <w:i/>
        </w:rPr>
        <w:t>See Suburban Community Policy, the Berwick Doctrine and the De Facto Reallocation Policy</w:t>
      </w:r>
      <w:r w:rsidR="007653EC">
        <w:t xml:space="preserve">, Report and Order, 93 FCC 2d 436 (1983); </w:t>
      </w:r>
      <w:r w:rsidR="007653EC" w:rsidRPr="00F65E95">
        <w:rPr>
          <w:i/>
        </w:rPr>
        <w:t>WBBK Broadcasting Inc</w:t>
      </w:r>
      <w:r w:rsidR="007653EC">
        <w:t xml:space="preserve">., Memorandum Opinion and Order, 15 FCC Rcd 5906 (2000); </w:t>
      </w:r>
      <w:r w:rsidR="007653EC">
        <w:rPr>
          <w:i/>
        </w:rPr>
        <w:t>William Clay</w:t>
      </w:r>
      <w:r w:rsidR="007653EC">
        <w:t>, Letter, 23 FCC Rcd 8412, 8420 (MB 2008).</w:t>
      </w:r>
    </w:p>
  </w:footnote>
  <w:footnote w:id="27">
    <w:p w:rsidR="007653EC" w:rsidRPr="007653EC" w:rsidRDefault="007653EC">
      <w:pPr>
        <w:pStyle w:val="FootnoteText"/>
      </w:pPr>
      <w:r>
        <w:rPr>
          <w:rStyle w:val="FootnoteReference"/>
        </w:rPr>
        <w:footnoteRef/>
      </w:r>
      <w:r>
        <w:t xml:space="preserve"> </w:t>
      </w:r>
      <w:r>
        <w:rPr>
          <w:i/>
        </w:rPr>
        <w:t xml:space="preserve">Fox River Broadcasting, Inc., </w:t>
      </w:r>
      <w:r>
        <w:t>93 FCC 2d 127, 129 (1983).</w:t>
      </w:r>
    </w:p>
  </w:footnote>
  <w:footnote w:id="28">
    <w:p w:rsidR="001A2458" w:rsidRPr="001A2458" w:rsidRDefault="001A2458">
      <w:pPr>
        <w:pStyle w:val="FootnoteText"/>
      </w:pPr>
      <w:r>
        <w:rPr>
          <w:rStyle w:val="FootnoteReference"/>
        </w:rPr>
        <w:footnoteRef/>
      </w:r>
      <w:r>
        <w:t xml:space="preserve"> </w:t>
      </w:r>
      <w:r>
        <w:rPr>
          <w:i/>
        </w:rPr>
        <w:t xml:space="preserve">See </w:t>
      </w:r>
      <w:r>
        <w:t xml:space="preserve">Access.1 </w:t>
      </w:r>
      <w:r w:rsidR="00F03E62">
        <w:t xml:space="preserve">March 10, 2005, </w:t>
      </w:r>
      <w:r>
        <w:t xml:space="preserve">Reply at 1-2.  </w:t>
      </w:r>
    </w:p>
  </w:footnote>
  <w:footnote w:id="29">
    <w:p w:rsidR="00D335B3" w:rsidRDefault="00D335B3">
      <w:pPr>
        <w:pStyle w:val="FootnoteText"/>
      </w:pPr>
      <w:r>
        <w:rPr>
          <w:rStyle w:val="FootnoteReference"/>
        </w:rPr>
        <w:footnoteRef/>
      </w:r>
      <w:r>
        <w:t xml:space="preserve"> </w:t>
      </w:r>
      <w:r>
        <w:rPr>
          <w:i/>
        </w:rPr>
        <w:t xml:space="preserve">See </w:t>
      </w:r>
      <w:r>
        <w:t>Cumulus February 28, 2005, Opposition to Motion for Leave to File Supplement, Ex. 4, Declaration of Gary Kline</w:t>
      </w:r>
      <w:r w:rsidR="003C33F7">
        <w:t xml:space="preserve"> (“Kline Declaration”)</w:t>
      </w:r>
      <w:r>
        <w:t xml:space="preserve">. </w:t>
      </w:r>
    </w:p>
  </w:footnote>
  <w:footnote w:id="30">
    <w:p w:rsidR="00F03E62" w:rsidRPr="00F03E62" w:rsidRDefault="00F03E62">
      <w:pPr>
        <w:pStyle w:val="FootnoteText"/>
      </w:pPr>
      <w:r>
        <w:rPr>
          <w:rStyle w:val="FootnoteReference"/>
        </w:rPr>
        <w:footnoteRef/>
      </w:r>
      <w:r>
        <w:t xml:space="preserve"> </w:t>
      </w:r>
      <w:r>
        <w:rPr>
          <w:i/>
        </w:rPr>
        <w:t xml:space="preserve">See </w:t>
      </w:r>
      <w:r w:rsidR="00D335B3">
        <w:rPr>
          <w:i/>
        </w:rPr>
        <w:t xml:space="preserve">id. </w:t>
      </w:r>
      <w:r>
        <w:t>at 2-4.</w:t>
      </w:r>
    </w:p>
  </w:footnote>
  <w:footnote w:id="31">
    <w:p w:rsidR="001A3373" w:rsidRPr="001A3373" w:rsidRDefault="001A3373">
      <w:pPr>
        <w:pStyle w:val="FootnoteText"/>
      </w:pPr>
      <w:r>
        <w:rPr>
          <w:rStyle w:val="FootnoteReference"/>
        </w:rPr>
        <w:footnoteRef/>
      </w:r>
      <w:r>
        <w:t xml:space="preserve"> </w:t>
      </w:r>
      <w:r>
        <w:rPr>
          <w:i/>
        </w:rPr>
        <w:t xml:space="preserve">See </w:t>
      </w:r>
      <w:r>
        <w:t xml:space="preserve">File No. BPH-20030610ADI, Section III, Question 5.  </w:t>
      </w:r>
    </w:p>
  </w:footnote>
  <w:footnote w:id="32">
    <w:p w:rsidR="00780DBC" w:rsidRDefault="00780DBC">
      <w:pPr>
        <w:pStyle w:val="FootnoteText"/>
      </w:pPr>
      <w:r>
        <w:rPr>
          <w:rStyle w:val="FootnoteReference"/>
        </w:rPr>
        <w:footnoteRef/>
      </w:r>
      <w:r>
        <w:t xml:space="preserve"> The cited language in the </w:t>
      </w:r>
      <w:r w:rsidR="00C02F4C">
        <w:t xml:space="preserve">FAA’s </w:t>
      </w:r>
      <w:r>
        <w:t xml:space="preserve">1996 No Hazard Determination is of no probative value.  This is standard language contained in all No Hazard Determinations and therefore would not </w:t>
      </w:r>
      <w:r w:rsidR="00274302">
        <w:t xml:space="preserve">have </w:t>
      </w:r>
      <w:r>
        <w:t>provide</w:t>
      </w:r>
      <w:r w:rsidR="00274302">
        <w:t>d</w:t>
      </w:r>
      <w:r>
        <w:t xml:space="preserve"> notice to </w:t>
      </w:r>
      <w:r w:rsidR="000439A7">
        <w:t>Station</w:t>
      </w:r>
      <w:r>
        <w:t xml:space="preserve"> KQHN(FM) of a particular interference issue</w:t>
      </w:r>
      <w:r w:rsidR="00C02F4C">
        <w:t>, such as that presented by the Barksdale aircraft equipment</w:t>
      </w:r>
      <w:r>
        <w:t>.</w:t>
      </w:r>
    </w:p>
  </w:footnote>
  <w:footnote w:id="33">
    <w:p w:rsidR="00780DBC" w:rsidRPr="00780DBC" w:rsidRDefault="00780DBC">
      <w:pPr>
        <w:pStyle w:val="FootnoteText"/>
      </w:pPr>
      <w:r>
        <w:rPr>
          <w:rStyle w:val="FootnoteReference"/>
        </w:rPr>
        <w:footnoteRef/>
      </w:r>
      <w:r>
        <w:t xml:space="preserve"> </w:t>
      </w:r>
      <w:r>
        <w:rPr>
          <w:i/>
        </w:rPr>
        <w:t xml:space="preserve">See </w:t>
      </w:r>
      <w:r w:rsidR="003C33F7" w:rsidRPr="00F65E95">
        <w:t>Kline Declaration;</w:t>
      </w:r>
      <w:r w:rsidR="003C33F7">
        <w:rPr>
          <w:i/>
        </w:rPr>
        <w:t xml:space="preserve"> see also </w:t>
      </w:r>
      <w:r>
        <w:rPr>
          <w:i/>
        </w:rPr>
        <w:t>Pacific Junction, Iowa</w:t>
      </w:r>
      <w:r>
        <w:t xml:space="preserve">, Report and Order, 26 FCC Rcd 16253 (MB 2010).  </w:t>
      </w:r>
    </w:p>
  </w:footnote>
  <w:footnote w:id="34">
    <w:p w:rsidR="007B4336" w:rsidRPr="007B4336" w:rsidRDefault="007B4336">
      <w:pPr>
        <w:pStyle w:val="FootnoteText"/>
      </w:pPr>
      <w:r>
        <w:rPr>
          <w:rStyle w:val="FootnoteReference"/>
        </w:rPr>
        <w:footnoteRef/>
      </w:r>
      <w:r>
        <w:t xml:space="preserve"> </w:t>
      </w:r>
      <w:r>
        <w:rPr>
          <w:i/>
        </w:rPr>
        <w:t>See Dubach, Natchitoches, Oil City and Shreveport, Louisiana, and Groesbeck, et al., Texas</w:t>
      </w:r>
      <w:r>
        <w:t xml:space="preserve">, </w:t>
      </w:r>
      <w:r w:rsidR="00274302" w:rsidRPr="00274302">
        <w:rPr>
          <w:i/>
        </w:rPr>
        <w:t>supra</w:t>
      </w:r>
      <w:r w:rsidRPr="00274302">
        <w:rPr>
          <w:i/>
        </w:rPr>
        <w:t>.</w:t>
      </w:r>
      <w:r>
        <w:t xml:space="preserve">  The </w:t>
      </w:r>
      <w:r w:rsidR="00274302">
        <w:t xml:space="preserve">Station’s </w:t>
      </w:r>
      <w:r>
        <w:t>reallotment to Was</w:t>
      </w:r>
      <w:r w:rsidR="00370169">
        <w:t>k</w:t>
      </w:r>
      <w:r>
        <w:t>om, Texas, is now final.</w:t>
      </w:r>
    </w:p>
  </w:footnote>
  <w:footnote w:id="35">
    <w:p w:rsidR="004A1752" w:rsidRPr="004A1752" w:rsidRDefault="004A1752">
      <w:pPr>
        <w:pStyle w:val="FootnoteText"/>
      </w:pPr>
      <w:r>
        <w:rPr>
          <w:rStyle w:val="FootnoteReference"/>
        </w:rPr>
        <w:footnoteRef/>
      </w:r>
      <w:r>
        <w:t xml:space="preserve"> </w:t>
      </w:r>
      <w:r>
        <w:rPr>
          <w:i/>
        </w:rPr>
        <w:t>See</w:t>
      </w:r>
      <w:r>
        <w:t xml:space="preserve"> </w:t>
      </w:r>
      <w:r w:rsidR="00C1131B">
        <w:t>AFR</w:t>
      </w:r>
      <w:r>
        <w:t xml:space="preserve"> at 16.</w:t>
      </w:r>
    </w:p>
  </w:footnote>
  <w:footnote w:id="36">
    <w:p w:rsidR="004E5667" w:rsidRPr="004E5667" w:rsidRDefault="004E5667">
      <w:pPr>
        <w:pStyle w:val="FootnoteText"/>
      </w:pPr>
      <w:r>
        <w:rPr>
          <w:rStyle w:val="FootnoteReference"/>
        </w:rPr>
        <w:footnoteRef/>
      </w:r>
      <w:r>
        <w:t xml:space="preserve"> </w:t>
      </w:r>
      <w:r>
        <w:rPr>
          <w:i/>
        </w:rPr>
        <w:t xml:space="preserve">See Policies to Promote Rural Radio Service and to Streamline Allotment and Assignment Procedures, </w:t>
      </w:r>
      <w:r>
        <w:t>Second Report and Order, First Order on Reconsideration, and Second Furth</w:t>
      </w:r>
      <w:r w:rsidR="002042C8">
        <w:t>e</w:t>
      </w:r>
      <w:r>
        <w:t>r Notice of Proposed Rule Making, 26 FCC Rcd 2556,</w:t>
      </w:r>
      <w:r w:rsidR="002042C8">
        <w:t xml:space="preserve"> 2572, 2577, ¶¶ 30, 38 (2011)</w:t>
      </w:r>
      <w:r w:rsidR="00557F83">
        <w:t xml:space="preserve"> (subsequent history omitted)</w:t>
      </w:r>
      <w:r w:rsidR="009449F5">
        <w:t xml:space="preserve"> (“</w:t>
      </w:r>
      <w:r w:rsidR="009449F5">
        <w:rPr>
          <w:i/>
        </w:rPr>
        <w:t>Rural Radio</w:t>
      </w:r>
      <w:r w:rsidR="009449F5">
        <w:t>”).</w:t>
      </w:r>
      <w:r w:rsidR="00557F83">
        <w:t xml:space="preserve">  </w:t>
      </w:r>
      <w:r w:rsidR="002042C8">
        <w:t xml:space="preserve"> </w:t>
      </w:r>
    </w:p>
  </w:footnote>
  <w:footnote w:id="37">
    <w:p w:rsidR="000439A7" w:rsidRDefault="000439A7" w:rsidP="004B09D5">
      <w:pPr>
        <w:pStyle w:val="FootnoteText"/>
      </w:pPr>
      <w:r>
        <w:rPr>
          <w:rStyle w:val="FootnoteReference"/>
        </w:rPr>
        <w:footnoteRef/>
      </w:r>
      <w:r>
        <w:t xml:space="preserve"> </w:t>
      </w:r>
      <w:r>
        <w:rPr>
          <w:i/>
        </w:rPr>
        <w:t>See</w:t>
      </w:r>
      <w:r>
        <w:t xml:space="preserve"> Cumulus July 29, 2003, Opposition to Petition for Reconsideration and Opposition to Motion for Stay at 5-10. </w:t>
      </w:r>
    </w:p>
  </w:footnote>
  <w:footnote w:id="38">
    <w:p w:rsidR="000439A7" w:rsidRPr="00615046" w:rsidRDefault="000439A7">
      <w:pPr>
        <w:pStyle w:val="FootnoteText"/>
        <w:rPr>
          <w:i/>
        </w:rPr>
      </w:pPr>
      <w:r>
        <w:rPr>
          <w:rStyle w:val="FootnoteReference"/>
        </w:rPr>
        <w:footnoteRef/>
      </w:r>
      <w:r>
        <w:t xml:space="preserve"> </w:t>
      </w:r>
      <w:r>
        <w:rPr>
          <w:i/>
        </w:rPr>
        <w:t>See</w:t>
      </w:r>
      <w:r>
        <w:t xml:space="preserve"> </w:t>
      </w:r>
      <w:r>
        <w:rPr>
          <w:i/>
        </w:rPr>
        <w:t xml:space="preserve">Valley Broadcasting Company, </w:t>
      </w:r>
      <w:r>
        <w:t xml:space="preserve">Decision, 4 FCC Rcd 2611, 2617 (Rev. Bd. 1989) (“when accurate information previously supplied by a party is a matter of open Commission record, an intent to categorically misrepresent . . . is difficult to find”), </w:t>
      </w:r>
      <w:r>
        <w:rPr>
          <w:i/>
        </w:rPr>
        <w:t xml:space="preserve">citing Intercontinental Radio Inc., </w:t>
      </w:r>
      <w:r>
        <w:t>Decision, 98 FCC 2d 608, 639 (Rev. Bd. 1984).</w:t>
      </w:r>
      <w:r>
        <w:rPr>
          <w:i/>
        </w:rPr>
        <w:t xml:space="preserve"> </w:t>
      </w:r>
    </w:p>
  </w:footnote>
  <w:footnote w:id="39">
    <w:p w:rsidR="00E52F82" w:rsidRPr="00E52F82" w:rsidRDefault="00E52F82">
      <w:pPr>
        <w:pStyle w:val="FootnoteText"/>
      </w:pPr>
      <w:r>
        <w:rPr>
          <w:rStyle w:val="FootnoteReference"/>
        </w:rPr>
        <w:footnoteRef/>
      </w:r>
      <w:r>
        <w:t xml:space="preserve"> </w:t>
      </w:r>
      <w:r>
        <w:rPr>
          <w:i/>
        </w:rPr>
        <w:t xml:space="preserve">See </w:t>
      </w:r>
      <w:r>
        <w:t>47 C.F.R. § 1.115(c) (“[n]o application for review will be granted i</w:t>
      </w:r>
      <w:r w:rsidR="002765A1">
        <w:t>f</w:t>
      </w:r>
      <w:r>
        <w:t xml:space="preserve"> it relies on questions of fact or law upon which the designated authority has been afforded no opportunity to pass”). </w:t>
      </w:r>
      <w:r w:rsidR="007B10AC">
        <w:t xml:space="preserve"> </w:t>
      </w:r>
      <w:r w:rsidR="007B10AC" w:rsidRPr="007B10AC">
        <w:t xml:space="preserve">We note that the Bureau did not conduct a </w:t>
      </w:r>
      <w:r w:rsidR="007B10AC" w:rsidRPr="007B10AC">
        <w:rPr>
          <w:i/>
        </w:rPr>
        <w:t>Tuck</w:t>
      </w:r>
      <w:r w:rsidR="007B10AC" w:rsidRPr="007B10AC">
        <w:t xml:space="preserve"> analysis in the </w:t>
      </w:r>
      <w:r w:rsidR="007B10AC" w:rsidRPr="007B10AC">
        <w:rPr>
          <w:i/>
        </w:rPr>
        <w:t>Magnolia R&amp;O</w:t>
      </w:r>
      <w:r w:rsidR="007B10AC" w:rsidRPr="007B10AC">
        <w:t>. By letter dated January 20, 2004, the Bureau first requested Columbia and Cumulus to submit such</w:t>
      </w:r>
      <w:r w:rsidR="007B10AC" w:rsidRPr="007B10AC">
        <w:rPr>
          <w:i/>
        </w:rPr>
        <w:t xml:space="preserve"> </w:t>
      </w:r>
      <w:r w:rsidR="007B10AC" w:rsidRPr="007B10AC">
        <w:t xml:space="preserve">a showing as a result of their filing of the </w:t>
      </w:r>
      <w:r w:rsidR="007B10AC" w:rsidRPr="007B10AC">
        <w:rPr>
          <w:i/>
        </w:rPr>
        <w:t>Oil City Modification Application</w:t>
      </w:r>
      <w:r w:rsidR="007B10AC" w:rsidRPr="007B10AC">
        <w:t xml:space="preserve"> that proposed Station facilities that would cover the Shreveport Urbanized Area.  This request came after Access.1 had filed its Petition for Reconsideration.  Nevertheless, although Access.1 responded with its January 28, 2004, “Second Supplement to Petition for Reconsideration” attacking the specific</w:t>
      </w:r>
      <w:r w:rsidR="007B10AC">
        <w:t xml:space="preserve"> </w:t>
      </w:r>
      <w:r w:rsidR="007B10AC" w:rsidRPr="007B10AC">
        <w:rPr>
          <w:i/>
        </w:rPr>
        <w:t>Tuck</w:t>
      </w:r>
      <w:r w:rsidR="007B10AC" w:rsidRPr="007B10AC">
        <w:t xml:space="preserve"> showing submitted by Columbia and Cumulus as not demonstrating the independence of Oil City from the Shreveport Urbanized Area, it failed to raise before the Bureau the arguments about the general appropriateness of the </w:t>
      </w:r>
      <w:r w:rsidR="007B10AC" w:rsidRPr="007B10AC">
        <w:rPr>
          <w:i/>
        </w:rPr>
        <w:t>Tuck</w:t>
      </w:r>
      <w:r w:rsidR="007B10AC" w:rsidRPr="007B10AC">
        <w:t xml:space="preserve"> analysis that it now presents to the Commission.</w:t>
      </w:r>
    </w:p>
  </w:footnote>
  <w:footnote w:id="40">
    <w:p w:rsidR="004E1086" w:rsidRDefault="004E1086">
      <w:pPr>
        <w:pStyle w:val="FootnoteText"/>
      </w:pPr>
      <w:r>
        <w:rPr>
          <w:rStyle w:val="FootnoteReference"/>
        </w:rPr>
        <w:footnoteRef/>
      </w:r>
      <w:r>
        <w:t xml:space="preserve"> 47 U.S.C. § 155(c)(5).</w:t>
      </w:r>
    </w:p>
  </w:footnote>
  <w:footnote w:id="41">
    <w:p w:rsidR="004E1086" w:rsidRDefault="004E1086">
      <w:pPr>
        <w:pStyle w:val="FootnoteTex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B8" w:rsidRDefault="00A44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86" w:rsidRPr="00D87812" w:rsidRDefault="00D87812">
    <w:pPr>
      <w:tabs>
        <w:tab w:val="center" w:pos="4680"/>
        <w:tab w:val="right" w:pos="9360"/>
      </w:tabs>
      <w:suppressAutoHyphens/>
      <w:spacing w:line="227" w:lineRule="auto"/>
      <w:rPr>
        <w:rFonts w:ascii="Times New Roman" w:hAnsi="Times New Roman" w:cs="Times New Roman"/>
        <w:b/>
        <w:spacing w:val="-2"/>
      </w:rPr>
    </w:pPr>
    <w:r w:rsidRPr="00D87812">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321BC07B" wp14:editId="6DB3EFCB">
              <wp:simplePos x="0" y="0"/>
              <wp:positionH relativeFrom="margin">
                <wp:posOffset>0</wp:posOffset>
              </wp:positionH>
              <wp:positionV relativeFrom="paragraph">
                <wp:posOffset>183515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4.4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" o:allowincell="f" fillcolor="black" stroked="f" strokeweight=".05pt">
              <w10:wrap anchorx="margin"/>
            </v:rect>
          </w:pict>
        </mc:Fallback>
      </mc:AlternateContent>
    </w:r>
    <w:r w:rsidR="004E1086" w:rsidRPr="00D87812">
      <w:rPr>
        <w:rFonts w:ascii="Times New Roman" w:hAnsi="Times New Roman" w:cs="Times New Roman"/>
        <w:b/>
        <w:spacing w:val="-2"/>
      </w:rPr>
      <w:tab/>
      <w:t xml:space="preserve">Federal Communications Commission </w:t>
    </w:r>
    <w:r w:rsidR="004E1086" w:rsidRPr="00D87812">
      <w:rPr>
        <w:rFonts w:ascii="Times New Roman" w:hAnsi="Times New Roman" w:cs="Times New Roman"/>
        <w:spacing w:val="-2"/>
      </w:rPr>
      <w:tab/>
    </w:r>
    <w:r w:rsidR="004E1086" w:rsidRPr="00D87812">
      <w:rPr>
        <w:rFonts w:ascii="Times New Roman" w:hAnsi="Times New Roman" w:cs="Times New Roman"/>
        <w:b/>
        <w:spacing w:val="-2"/>
      </w:rPr>
      <w:t>FCC 13-</w:t>
    </w:r>
    <w:r w:rsidR="008E3191" w:rsidRPr="00D87812">
      <w:rPr>
        <w:rFonts w:ascii="Times New Roman" w:hAnsi="Times New Roman" w:cs="Times New Roman"/>
        <w:b/>
        <w:spacing w:val="-2"/>
      </w:rPr>
      <w:t>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86" w:rsidRPr="00D87812" w:rsidRDefault="004E1086" w:rsidP="00D87812">
    <w:pPr>
      <w:pStyle w:val="Header"/>
    </w:pPr>
    <w:r w:rsidRPr="00D87812">
      <w:tab/>
      <w:t>Federal Communications Commission</w:t>
    </w:r>
    <w:r w:rsidR="00F036B1" w:rsidRPr="00D87812">
      <w:tab/>
    </w:r>
    <w:r w:rsidRPr="00D87812">
      <w:t>FCC 13-</w:t>
    </w:r>
    <w:r w:rsidR="008E3191" w:rsidRPr="00D87812">
      <w: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631286D"/>
    <w:multiLevelType w:val="hybridMultilevel"/>
    <w:tmpl w:val="3EA00C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3F3526"/>
    <w:multiLevelType w:val="hybridMultilevel"/>
    <w:tmpl w:val="56240A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88C63A1"/>
    <w:multiLevelType w:val="hybridMultilevel"/>
    <w:tmpl w:val="EBFE04B8"/>
    <w:lvl w:ilvl="0" w:tplc="CA8CF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D650C9"/>
    <w:multiLevelType w:val="hybridMultilevel"/>
    <w:tmpl w:val="0662182E"/>
    <w:lvl w:ilvl="0" w:tplc="423431E2">
      <w:start w:val="4"/>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467E60"/>
    <w:multiLevelType w:val="hybridMultilevel"/>
    <w:tmpl w:val="52364B8E"/>
    <w:lvl w:ilvl="0" w:tplc="54A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6">
    <w:nsid w:val="305E3024"/>
    <w:multiLevelType w:val="singleLevel"/>
    <w:tmpl w:val="EA9E5D9A"/>
    <w:lvl w:ilvl="0">
      <w:start w:val="2"/>
      <w:numFmt w:val="decimal"/>
      <w:lvlText w:val="%1."/>
      <w:lvlJc w:val="left"/>
      <w:pPr>
        <w:tabs>
          <w:tab w:val="num" w:pos="1080"/>
        </w:tabs>
        <w:ind w:left="0" w:firstLine="720"/>
      </w:pPr>
    </w:lvl>
  </w:abstractNum>
  <w:abstractNum w:abstractNumId="17">
    <w:nsid w:val="3130335F"/>
    <w:multiLevelType w:val="singleLevel"/>
    <w:tmpl w:val="F3021CBC"/>
    <w:lvl w:ilvl="0">
      <w:start w:val="5"/>
      <w:numFmt w:val="decimal"/>
      <w:lvlText w:val="%1."/>
      <w:lvlJc w:val="left"/>
      <w:pPr>
        <w:tabs>
          <w:tab w:val="num" w:pos="1080"/>
        </w:tabs>
        <w:ind w:left="1080" w:hanging="360"/>
      </w:pPr>
      <w:rPr>
        <w:rFonts w:hint="default"/>
      </w:rPr>
    </w:lvl>
  </w:abstractNum>
  <w:abstractNum w:abstractNumId="18">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1104B72"/>
    <w:multiLevelType w:val="hybridMultilevel"/>
    <w:tmpl w:val="40A67EE2"/>
    <w:lvl w:ilvl="0" w:tplc="56008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D27EFD"/>
    <w:multiLevelType w:val="singleLevel"/>
    <w:tmpl w:val="42701C86"/>
    <w:lvl w:ilvl="0">
      <w:start w:val="1"/>
      <w:numFmt w:val="decimal"/>
      <w:lvlText w:val="%1."/>
      <w:lvlJc w:val="left"/>
      <w:pPr>
        <w:tabs>
          <w:tab w:val="num" w:pos="1440"/>
        </w:tabs>
        <w:ind w:left="1440" w:hanging="720"/>
      </w:pPr>
    </w:lvl>
  </w:abstractNum>
  <w:abstractNum w:abstractNumId="22">
    <w:nsid w:val="49EA4A60"/>
    <w:multiLevelType w:val="hybridMultilevel"/>
    <w:tmpl w:val="1ABA9A80"/>
    <w:lvl w:ilvl="0" w:tplc="A444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C01A3"/>
    <w:multiLevelType w:val="hybridMultilevel"/>
    <w:tmpl w:val="0B6EDC92"/>
    <w:lvl w:ilvl="0" w:tplc="D0BC3D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6">
    <w:nsid w:val="5FFF125B"/>
    <w:multiLevelType w:val="singleLevel"/>
    <w:tmpl w:val="B1F45678"/>
    <w:lvl w:ilvl="0">
      <w:start w:val="1"/>
      <w:numFmt w:val="decimal"/>
      <w:lvlText w:val="%1."/>
      <w:lvlJc w:val="left"/>
      <w:pPr>
        <w:tabs>
          <w:tab w:val="num" w:pos="1080"/>
        </w:tabs>
        <w:ind w:left="0" w:firstLine="720"/>
      </w:pPr>
    </w:lvl>
  </w:abstractNum>
  <w:abstractNum w:abstractNumId="2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8">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668A12C5"/>
    <w:multiLevelType w:val="hybridMultilevel"/>
    <w:tmpl w:val="374E03A8"/>
    <w:lvl w:ilvl="0" w:tplc="4C805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65EE5"/>
    <w:multiLevelType w:val="multilevel"/>
    <w:tmpl w:val="1E32DC30"/>
    <w:lvl w:ilvl="0">
      <w:start w:val="1"/>
      <w:numFmt w:val="decimal"/>
      <w:pStyle w:val="Bulle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3621C9"/>
    <w:multiLevelType w:val="singleLevel"/>
    <w:tmpl w:val="373411A8"/>
    <w:lvl w:ilvl="0">
      <w:start w:val="1"/>
      <w:numFmt w:val="decimal"/>
      <w:lvlText w:val="%1."/>
      <w:lvlJc w:val="left"/>
      <w:pPr>
        <w:tabs>
          <w:tab w:val="num" w:pos="1080"/>
        </w:tabs>
        <w:ind w:left="0" w:firstLine="720"/>
      </w:pPr>
    </w:lvl>
  </w:abstractNum>
  <w:abstractNum w:abstractNumId="32">
    <w:nsid w:val="720152AD"/>
    <w:multiLevelType w:val="hybridMultilevel"/>
    <w:tmpl w:val="29203F62"/>
    <w:lvl w:ilvl="0" w:tplc="27BE317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4">
    <w:nsid w:val="7E02606D"/>
    <w:multiLevelType w:val="hybridMultilevel"/>
    <w:tmpl w:val="245AF5A4"/>
    <w:lvl w:ilvl="0" w:tplc="9E6E6F0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30"/>
  </w:num>
  <w:num w:numId="2">
    <w:abstractNumId w:val="11"/>
  </w:num>
  <w:num w:numId="3">
    <w:abstractNumId w:val="4"/>
  </w:num>
  <w:num w:numId="4">
    <w:abstractNumId w:val="26"/>
  </w:num>
  <w:num w:numId="5">
    <w:abstractNumId w:val="31"/>
  </w:num>
  <w:num w:numId="6">
    <w:abstractNumId w:val="16"/>
  </w:num>
  <w:num w:numId="7">
    <w:abstractNumId w:val="18"/>
  </w:num>
  <w:num w:numId="8">
    <w:abstractNumId w:val="21"/>
  </w:num>
  <w:num w:numId="9">
    <w:abstractNumId w:val="1"/>
  </w:num>
  <w:num w:numId="10">
    <w:abstractNumId w:val="0"/>
  </w:num>
  <w:num w:numId="11">
    <w:abstractNumId w:val="6"/>
  </w:num>
  <w:num w:numId="12">
    <w:abstractNumId w:val="15"/>
  </w:num>
  <w:num w:numId="13">
    <w:abstractNumId w:val="4"/>
  </w:num>
  <w:num w:numId="14">
    <w:abstractNumId w:val="25"/>
  </w:num>
  <w:num w:numId="15">
    <w:abstractNumId w:val="7"/>
  </w:num>
  <w:num w:numId="16">
    <w:abstractNumId w:val="19"/>
  </w:num>
  <w:num w:numId="17">
    <w:abstractNumId w:val="8"/>
  </w:num>
  <w:num w:numId="18">
    <w:abstractNumId w:val="33"/>
  </w:num>
  <w:num w:numId="19">
    <w:abstractNumId w:val="2"/>
  </w:num>
  <w:num w:numId="20">
    <w:abstractNumId w:val="28"/>
  </w:num>
  <w:num w:numId="21">
    <w:abstractNumId w:val="12"/>
  </w:num>
  <w:num w:numId="22">
    <w:abstractNumId w:val="2"/>
  </w:num>
  <w:num w:numId="23">
    <w:abstractNumId w:val="28"/>
  </w:num>
  <w:num w:numId="24">
    <w:abstractNumId w:val="28"/>
  </w:num>
  <w:num w:numId="25">
    <w:abstractNumId w:val="28"/>
  </w:num>
  <w:num w:numId="26">
    <w:abstractNumId w:val="35"/>
  </w:num>
  <w:num w:numId="27">
    <w:abstractNumId w:val="10"/>
  </w:num>
  <w:num w:numId="28">
    <w:abstractNumId w:val="12"/>
  </w:num>
  <w:num w:numId="29">
    <w:abstractNumId w:val="17"/>
  </w:num>
  <w:num w:numId="30">
    <w:abstractNumId w:val="13"/>
  </w:num>
  <w:num w:numId="31">
    <w:abstractNumId w:val="3"/>
  </w:num>
  <w:num w:numId="32">
    <w:abstractNumId w:val="32"/>
  </w:num>
  <w:num w:numId="33">
    <w:abstractNumId w:val="5"/>
  </w:num>
  <w:num w:numId="34">
    <w:abstractNumId w:val="34"/>
  </w:num>
  <w:num w:numId="35">
    <w:abstractNumId w:val="20"/>
  </w:num>
  <w:num w:numId="36">
    <w:abstractNumId w:val="22"/>
  </w:num>
  <w:num w:numId="37">
    <w:abstractNumId w:val="23"/>
  </w:num>
  <w:num w:numId="38">
    <w:abstractNumId w:val="14"/>
  </w:num>
  <w:num w:numId="39">
    <w:abstractNumId w:val="29"/>
  </w:num>
  <w:num w:numId="40">
    <w:abstractNumId w:val="9"/>
  </w:num>
  <w:num w:numId="41">
    <w:abstractNumId w:val="27"/>
  </w:num>
  <w:num w:numId="42">
    <w:abstractNumId w:val="24"/>
  </w:num>
  <w:num w:numId="43">
    <w:abstractNumId w:val="27"/>
  </w:num>
  <w:num w:numId="44">
    <w:abstractNumId w:val="2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2B"/>
    <w:rsid w:val="00001281"/>
    <w:rsid w:val="00001FF6"/>
    <w:rsid w:val="000020F9"/>
    <w:rsid w:val="000028A9"/>
    <w:rsid w:val="0001072D"/>
    <w:rsid w:val="00010A7E"/>
    <w:rsid w:val="00011B2C"/>
    <w:rsid w:val="000174E2"/>
    <w:rsid w:val="000203FA"/>
    <w:rsid w:val="00021274"/>
    <w:rsid w:val="0002608C"/>
    <w:rsid w:val="0002673D"/>
    <w:rsid w:val="0002693A"/>
    <w:rsid w:val="00026B81"/>
    <w:rsid w:val="00027743"/>
    <w:rsid w:val="00030514"/>
    <w:rsid w:val="00030724"/>
    <w:rsid w:val="00032003"/>
    <w:rsid w:val="000325A2"/>
    <w:rsid w:val="00032939"/>
    <w:rsid w:val="0003300E"/>
    <w:rsid w:val="000332F5"/>
    <w:rsid w:val="000346B3"/>
    <w:rsid w:val="00040B7E"/>
    <w:rsid w:val="0004340E"/>
    <w:rsid w:val="000439A7"/>
    <w:rsid w:val="00050324"/>
    <w:rsid w:val="00050FAE"/>
    <w:rsid w:val="000526B2"/>
    <w:rsid w:val="00052846"/>
    <w:rsid w:val="00057680"/>
    <w:rsid w:val="000602C1"/>
    <w:rsid w:val="000603FF"/>
    <w:rsid w:val="000632F6"/>
    <w:rsid w:val="00064CB0"/>
    <w:rsid w:val="0006520B"/>
    <w:rsid w:val="00067501"/>
    <w:rsid w:val="0007038D"/>
    <w:rsid w:val="00072AA6"/>
    <w:rsid w:val="0007381F"/>
    <w:rsid w:val="0007535A"/>
    <w:rsid w:val="00076586"/>
    <w:rsid w:val="00076E66"/>
    <w:rsid w:val="00077114"/>
    <w:rsid w:val="00081698"/>
    <w:rsid w:val="00082D1E"/>
    <w:rsid w:val="0008334E"/>
    <w:rsid w:val="000837A5"/>
    <w:rsid w:val="00090317"/>
    <w:rsid w:val="000903C8"/>
    <w:rsid w:val="00090F1B"/>
    <w:rsid w:val="00091190"/>
    <w:rsid w:val="00091453"/>
    <w:rsid w:val="00091B2B"/>
    <w:rsid w:val="00092684"/>
    <w:rsid w:val="000961C3"/>
    <w:rsid w:val="00097E5F"/>
    <w:rsid w:val="000A1765"/>
    <w:rsid w:val="000A18F6"/>
    <w:rsid w:val="000A1D7E"/>
    <w:rsid w:val="000A2440"/>
    <w:rsid w:val="000A2733"/>
    <w:rsid w:val="000A28E0"/>
    <w:rsid w:val="000A3DBC"/>
    <w:rsid w:val="000A41CE"/>
    <w:rsid w:val="000A4BDB"/>
    <w:rsid w:val="000A4C5C"/>
    <w:rsid w:val="000A4E07"/>
    <w:rsid w:val="000A5749"/>
    <w:rsid w:val="000A6C46"/>
    <w:rsid w:val="000A7581"/>
    <w:rsid w:val="000B2175"/>
    <w:rsid w:val="000B3000"/>
    <w:rsid w:val="000B35D9"/>
    <w:rsid w:val="000B3720"/>
    <w:rsid w:val="000B42A9"/>
    <w:rsid w:val="000B4533"/>
    <w:rsid w:val="000B6392"/>
    <w:rsid w:val="000B67AB"/>
    <w:rsid w:val="000B6FE5"/>
    <w:rsid w:val="000C0154"/>
    <w:rsid w:val="000C059B"/>
    <w:rsid w:val="000C211E"/>
    <w:rsid w:val="000C2172"/>
    <w:rsid w:val="000C4D97"/>
    <w:rsid w:val="000C6864"/>
    <w:rsid w:val="000D22C3"/>
    <w:rsid w:val="000D265D"/>
    <w:rsid w:val="000D35A1"/>
    <w:rsid w:val="000D4BC5"/>
    <w:rsid w:val="000E01F1"/>
    <w:rsid w:val="000E1900"/>
    <w:rsid w:val="000E48A2"/>
    <w:rsid w:val="000E52C9"/>
    <w:rsid w:val="000E5CC1"/>
    <w:rsid w:val="000E7C3F"/>
    <w:rsid w:val="000F18A9"/>
    <w:rsid w:val="000F2A1F"/>
    <w:rsid w:val="000F3ABF"/>
    <w:rsid w:val="000F3DF7"/>
    <w:rsid w:val="000F50CC"/>
    <w:rsid w:val="000F79C5"/>
    <w:rsid w:val="00100017"/>
    <w:rsid w:val="00100985"/>
    <w:rsid w:val="00100A0B"/>
    <w:rsid w:val="00100D8E"/>
    <w:rsid w:val="00101564"/>
    <w:rsid w:val="0010197F"/>
    <w:rsid w:val="00102B45"/>
    <w:rsid w:val="001033A4"/>
    <w:rsid w:val="001034E1"/>
    <w:rsid w:val="0010660A"/>
    <w:rsid w:val="00107E5C"/>
    <w:rsid w:val="0011053C"/>
    <w:rsid w:val="00111BD0"/>
    <w:rsid w:val="001131F4"/>
    <w:rsid w:val="001136BE"/>
    <w:rsid w:val="0011386C"/>
    <w:rsid w:val="0011511E"/>
    <w:rsid w:val="00115B6F"/>
    <w:rsid w:val="00116C7F"/>
    <w:rsid w:val="00116FF1"/>
    <w:rsid w:val="001178AC"/>
    <w:rsid w:val="00120867"/>
    <w:rsid w:val="00120C86"/>
    <w:rsid w:val="00121207"/>
    <w:rsid w:val="00121528"/>
    <w:rsid w:val="00127F52"/>
    <w:rsid w:val="00136810"/>
    <w:rsid w:val="00140837"/>
    <w:rsid w:val="00140DAE"/>
    <w:rsid w:val="00141AF9"/>
    <w:rsid w:val="00142D3F"/>
    <w:rsid w:val="0014335B"/>
    <w:rsid w:val="001448C7"/>
    <w:rsid w:val="00152C7F"/>
    <w:rsid w:val="00152F1C"/>
    <w:rsid w:val="00155397"/>
    <w:rsid w:val="001573ED"/>
    <w:rsid w:val="00160827"/>
    <w:rsid w:val="001619A1"/>
    <w:rsid w:val="00162BBE"/>
    <w:rsid w:val="00165E44"/>
    <w:rsid w:val="0016747B"/>
    <w:rsid w:val="00170615"/>
    <w:rsid w:val="001713BE"/>
    <w:rsid w:val="0017228A"/>
    <w:rsid w:val="001729EB"/>
    <w:rsid w:val="00174E84"/>
    <w:rsid w:val="001753E1"/>
    <w:rsid w:val="00177AEC"/>
    <w:rsid w:val="00180629"/>
    <w:rsid w:val="001824E0"/>
    <w:rsid w:val="001825BA"/>
    <w:rsid w:val="00184909"/>
    <w:rsid w:val="00186090"/>
    <w:rsid w:val="001874A3"/>
    <w:rsid w:val="001907CF"/>
    <w:rsid w:val="00190893"/>
    <w:rsid w:val="00191624"/>
    <w:rsid w:val="00192EE9"/>
    <w:rsid w:val="00195553"/>
    <w:rsid w:val="001A2245"/>
    <w:rsid w:val="001A2458"/>
    <w:rsid w:val="001A3373"/>
    <w:rsid w:val="001A3884"/>
    <w:rsid w:val="001A3945"/>
    <w:rsid w:val="001A6640"/>
    <w:rsid w:val="001B388B"/>
    <w:rsid w:val="001B49FB"/>
    <w:rsid w:val="001B6A84"/>
    <w:rsid w:val="001B7317"/>
    <w:rsid w:val="001B748C"/>
    <w:rsid w:val="001C079F"/>
    <w:rsid w:val="001C1E66"/>
    <w:rsid w:val="001C328B"/>
    <w:rsid w:val="001C4919"/>
    <w:rsid w:val="001C5026"/>
    <w:rsid w:val="001C5A56"/>
    <w:rsid w:val="001C6071"/>
    <w:rsid w:val="001C7870"/>
    <w:rsid w:val="001C7AEB"/>
    <w:rsid w:val="001C7FC6"/>
    <w:rsid w:val="001D19C5"/>
    <w:rsid w:val="001D2206"/>
    <w:rsid w:val="001D472E"/>
    <w:rsid w:val="001D7311"/>
    <w:rsid w:val="001D7ACE"/>
    <w:rsid w:val="001E1EBC"/>
    <w:rsid w:val="001E1FAB"/>
    <w:rsid w:val="001E3E29"/>
    <w:rsid w:val="001E4EFC"/>
    <w:rsid w:val="001F15E2"/>
    <w:rsid w:val="001F25A9"/>
    <w:rsid w:val="001F36CE"/>
    <w:rsid w:val="001F445F"/>
    <w:rsid w:val="001F4A2F"/>
    <w:rsid w:val="001F6A5E"/>
    <w:rsid w:val="001F7947"/>
    <w:rsid w:val="001F7AE4"/>
    <w:rsid w:val="00200826"/>
    <w:rsid w:val="002008ED"/>
    <w:rsid w:val="0020387B"/>
    <w:rsid w:val="002040BC"/>
    <w:rsid w:val="002042C8"/>
    <w:rsid w:val="00221832"/>
    <w:rsid w:val="0022433F"/>
    <w:rsid w:val="0022475B"/>
    <w:rsid w:val="002249A5"/>
    <w:rsid w:val="00225D89"/>
    <w:rsid w:val="002260A1"/>
    <w:rsid w:val="002300F7"/>
    <w:rsid w:val="00231900"/>
    <w:rsid w:val="00232ACE"/>
    <w:rsid w:val="00243701"/>
    <w:rsid w:val="00245FD3"/>
    <w:rsid w:val="002507A2"/>
    <w:rsid w:val="00251B3F"/>
    <w:rsid w:val="0025426F"/>
    <w:rsid w:val="0025447B"/>
    <w:rsid w:val="00255DF6"/>
    <w:rsid w:val="0026043F"/>
    <w:rsid w:val="0026148A"/>
    <w:rsid w:val="002620E6"/>
    <w:rsid w:val="00263894"/>
    <w:rsid w:val="00266005"/>
    <w:rsid w:val="0026792A"/>
    <w:rsid w:val="00270FE9"/>
    <w:rsid w:val="00272A9B"/>
    <w:rsid w:val="00272D07"/>
    <w:rsid w:val="0027390D"/>
    <w:rsid w:val="00274302"/>
    <w:rsid w:val="002765A1"/>
    <w:rsid w:val="00276861"/>
    <w:rsid w:val="00277605"/>
    <w:rsid w:val="00284B3E"/>
    <w:rsid w:val="0028513F"/>
    <w:rsid w:val="00285D32"/>
    <w:rsid w:val="00286A34"/>
    <w:rsid w:val="00292273"/>
    <w:rsid w:val="00292FEF"/>
    <w:rsid w:val="002971F2"/>
    <w:rsid w:val="002A08E4"/>
    <w:rsid w:val="002A2AA4"/>
    <w:rsid w:val="002A4772"/>
    <w:rsid w:val="002A6BEA"/>
    <w:rsid w:val="002A7C7D"/>
    <w:rsid w:val="002B0BD3"/>
    <w:rsid w:val="002B25C7"/>
    <w:rsid w:val="002B33BA"/>
    <w:rsid w:val="002B3A49"/>
    <w:rsid w:val="002B432D"/>
    <w:rsid w:val="002B5380"/>
    <w:rsid w:val="002B550C"/>
    <w:rsid w:val="002B67EB"/>
    <w:rsid w:val="002C0979"/>
    <w:rsid w:val="002C2F8F"/>
    <w:rsid w:val="002C3328"/>
    <w:rsid w:val="002C582B"/>
    <w:rsid w:val="002C5B7A"/>
    <w:rsid w:val="002C5D59"/>
    <w:rsid w:val="002D0176"/>
    <w:rsid w:val="002D0515"/>
    <w:rsid w:val="002D1F97"/>
    <w:rsid w:val="002D56FA"/>
    <w:rsid w:val="002D7CF5"/>
    <w:rsid w:val="002D7FB1"/>
    <w:rsid w:val="002E1DAA"/>
    <w:rsid w:val="002E3A98"/>
    <w:rsid w:val="002E41AC"/>
    <w:rsid w:val="002E4396"/>
    <w:rsid w:val="002E4BAA"/>
    <w:rsid w:val="002E555A"/>
    <w:rsid w:val="002E58FA"/>
    <w:rsid w:val="002E5B59"/>
    <w:rsid w:val="002E5E7B"/>
    <w:rsid w:val="002E6325"/>
    <w:rsid w:val="002E7056"/>
    <w:rsid w:val="002E732D"/>
    <w:rsid w:val="002E776B"/>
    <w:rsid w:val="002F0503"/>
    <w:rsid w:val="002F1CA7"/>
    <w:rsid w:val="002F4B84"/>
    <w:rsid w:val="002F4F0D"/>
    <w:rsid w:val="003014BF"/>
    <w:rsid w:val="00301FFE"/>
    <w:rsid w:val="00302C43"/>
    <w:rsid w:val="0030455F"/>
    <w:rsid w:val="003054FA"/>
    <w:rsid w:val="00306F08"/>
    <w:rsid w:val="0031102B"/>
    <w:rsid w:val="00312920"/>
    <w:rsid w:val="00313C0E"/>
    <w:rsid w:val="00317225"/>
    <w:rsid w:val="0032038E"/>
    <w:rsid w:val="0032142C"/>
    <w:rsid w:val="00321677"/>
    <w:rsid w:val="003222B1"/>
    <w:rsid w:val="00324A97"/>
    <w:rsid w:val="00324B01"/>
    <w:rsid w:val="00325EDB"/>
    <w:rsid w:val="00327296"/>
    <w:rsid w:val="00330802"/>
    <w:rsid w:val="0034014E"/>
    <w:rsid w:val="00341756"/>
    <w:rsid w:val="003448D8"/>
    <w:rsid w:val="003540C5"/>
    <w:rsid w:val="0035463E"/>
    <w:rsid w:val="003548F5"/>
    <w:rsid w:val="00355954"/>
    <w:rsid w:val="00361121"/>
    <w:rsid w:val="00361479"/>
    <w:rsid w:val="003636AC"/>
    <w:rsid w:val="003664A2"/>
    <w:rsid w:val="00370169"/>
    <w:rsid w:val="003701EF"/>
    <w:rsid w:val="00371EA7"/>
    <w:rsid w:val="00371EF1"/>
    <w:rsid w:val="00372BE9"/>
    <w:rsid w:val="00372EDE"/>
    <w:rsid w:val="00373F49"/>
    <w:rsid w:val="00374DEB"/>
    <w:rsid w:val="003815FA"/>
    <w:rsid w:val="00381BBA"/>
    <w:rsid w:val="00384916"/>
    <w:rsid w:val="00384F3A"/>
    <w:rsid w:val="0038525E"/>
    <w:rsid w:val="003879BC"/>
    <w:rsid w:val="00390A09"/>
    <w:rsid w:val="003918A1"/>
    <w:rsid w:val="0039280E"/>
    <w:rsid w:val="003942C3"/>
    <w:rsid w:val="00396F79"/>
    <w:rsid w:val="003A0214"/>
    <w:rsid w:val="003A51FE"/>
    <w:rsid w:val="003A587D"/>
    <w:rsid w:val="003A7156"/>
    <w:rsid w:val="003B00DF"/>
    <w:rsid w:val="003B0169"/>
    <w:rsid w:val="003B0DB6"/>
    <w:rsid w:val="003B3F3F"/>
    <w:rsid w:val="003B4E86"/>
    <w:rsid w:val="003B6CE6"/>
    <w:rsid w:val="003C14DE"/>
    <w:rsid w:val="003C164E"/>
    <w:rsid w:val="003C29A8"/>
    <w:rsid w:val="003C33F7"/>
    <w:rsid w:val="003C4F7F"/>
    <w:rsid w:val="003C7031"/>
    <w:rsid w:val="003C7555"/>
    <w:rsid w:val="003C76AF"/>
    <w:rsid w:val="003D023D"/>
    <w:rsid w:val="003D3FFC"/>
    <w:rsid w:val="003D54E7"/>
    <w:rsid w:val="003E08D2"/>
    <w:rsid w:val="003E25CF"/>
    <w:rsid w:val="003E2E8E"/>
    <w:rsid w:val="003E2F62"/>
    <w:rsid w:val="003E3575"/>
    <w:rsid w:val="003E6678"/>
    <w:rsid w:val="003E6B7A"/>
    <w:rsid w:val="003F02CA"/>
    <w:rsid w:val="003F1F66"/>
    <w:rsid w:val="003F4687"/>
    <w:rsid w:val="003F65D9"/>
    <w:rsid w:val="003F66FB"/>
    <w:rsid w:val="003F789B"/>
    <w:rsid w:val="003F7E29"/>
    <w:rsid w:val="003F7FFA"/>
    <w:rsid w:val="00400050"/>
    <w:rsid w:val="004005A3"/>
    <w:rsid w:val="00400E3F"/>
    <w:rsid w:val="00402D3A"/>
    <w:rsid w:val="00403E59"/>
    <w:rsid w:val="004068AA"/>
    <w:rsid w:val="00406E80"/>
    <w:rsid w:val="004129CC"/>
    <w:rsid w:val="0041316D"/>
    <w:rsid w:val="00413B3F"/>
    <w:rsid w:val="00413EDE"/>
    <w:rsid w:val="004149CE"/>
    <w:rsid w:val="00415A5B"/>
    <w:rsid w:val="0041672E"/>
    <w:rsid w:val="00422CBD"/>
    <w:rsid w:val="00423FF7"/>
    <w:rsid w:val="0042528F"/>
    <w:rsid w:val="00426D51"/>
    <w:rsid w:val="00426E68"/>
    <w:rsid w:val="0042713D"/>
    <w:rsid w:val="004307F8"/>
    <w:rsid w:val="0043246F"/>
    <w:rsid w:val="00433CA2"/>
    <w:rsid w:val="00433E40"/>
    <w:rsid w:val="00434811"/>
    <w:rsid w:val="00434FF2"/>
    <w:rsid w:val="004376F4"/>
    <w:rsid w:val="004408BC"/>
    <w:rsid w:val="004414F7"/>
    <w:rsid w:val="004416C4"/>
    <w:rsid w:val="0044571A"/>
    <w:rsid w:val="00446F61"/>
    <w:rsid w:val="0045192C"/>
    <w:rsid w:val="00453BA6"/>
    <w:rsid w:val="00456301"/>
    <w:rsid w:val="00456772"/>
    <w:rsid w:val="00460C5E"/>
    <w:rsid w:val="004618CA"/>
    <w:rsid w:val="00461B19"/>
    <w:rsid w:val="004628CE"/>
    <w:rsid w:val="0046485D"/>
    <w:rsid w:val="00464E90"/>
    <w:rsid w:val="004651E9"/>
    <w:rsid w:val="00465CA8"/>
    <w:rsid w:val="0046604E"/>
    <w:rsid w:val="004678B3"/>
    <w:rsid w:val="00467DFF"/>
    <w:rsid w:val="00470106"/>
    <w:rsid w:val="0047606A"/>
    <w:rsid w:val="0047698C"/>
    <w:rsid w:val="00477BD6"/>
    <w:rsid w:val="004802A6"/>
    <w:rsid w:val="00480FCE"/>
    <w:rsid w:val="00481A3A"/>
    <w:rsid w:val="0048365D"/>
    <w:rsid w:val="00483BCC"/>
    <w:rsid w:val="00483DC4"/>
    <w:rsid w:val="004857DA"/>
    <w:rsid w:val="00494598"/>
    <w:rsid w:val="004967F8"/>
    <w:rsid w:val="00496905"/>
    <w:rsid w:val="00497646"/>
    <w:rsid w:val="004A1752"/>
    <w:rsid w:val="004A18EA"/>
    <w:rsid w:val="004A1EFA"/>
    <w:rsid w:val="004A3BCB"/>
    <w:rsid w:val="004B09D5"/>
    <w:rsid w:val="004B35C1"/>
    <w:rsid w:val="004B3F8C"/>
    <w:rsid w:val="004B47C3"/>
    <w:rsid w:val="004B7DBD"/>
    <w:rsid w:val="004C0010"/>
    <w:rsid w:val="004C248E"/>
    <w:rsid w:val="004C5C4D"/>
    <w:rsid w:val="004C7079"/>
    <w:rsid w:val="004D1066"/>
    <w:rsid w:val="004D1100"/>
    <w:rsid w:val="004D1382"/>
    <w:rsid w:val="004D276B"/>
    <w:rsid w:val="004D3CA1"/>
    <w:rsid w:val="004D79E4"/>
    <w:rsid w:val="004E073C"/>
    <w:rsid w:val="004E1086"/>
    <w:rsid w:val="004E4C77"/>
    <w:rsid w:val="004E5667"/>
    <w:rsid w:val="004E6742"/>
    <w:rsid w:val="004E6FBB"/>
    <w:rsid w:val="004F4278"/>
    <w:rsid w:val="004F44BD"/>
    <w:rsid w:val="004F473E"/>
    <w:rsid w:val="00500046"/>
    <w:rsid w:val="0050235C"/>
    <w:rsid w:val="00503440"/>
    <w:rsid w:val="00503DB3"/>
    <w:rsid w:val="00505ABF"/>
    <w:rsid w:val="0050704B"/>
    <w:rsid w:val="00507928"/>
    <w:rsid w:val="0051030C"/>
    <w:rsid w:val="005104D7"/>
    <w:rsid w:val="00510CC4"/>
    <w:rsid w:val="00512ADD"/>
    <w:rsid w:val="0051467B"/>
    <w:rsid w:val="00514DA4"/>
    <w:rsid w:val="00515611"/>
    <w:rsid w:val="00515D35"/>
    <w:rsid w:val="005172B2"/>
    <w:rsid w:val="00520E56"/>
    <w:rsid w:val="00520F65"/>
    <w:rsid w:val="005210D4"/>
    <w:rsid w:val="005229F7"/>
    <w:rsid w:val="005265D2"/>
    <w:rsid w:val="005308D7"/>
    <w:rsid w:val="0053099C"/>
    <w:rsid w:val="0053146D"/>
    <w:rsid w:val="005335D7"/>
    <w:rsid w:val="0053550B"/>
    <w:rsid w:val="00536893"/>
    <w:rsid w:val="00536E61"/>
    <w:rsid w:val="0054290F"/>
    <w:rsid w:val="00542EEB"/>
    <w:rsid w:val="005432BF"/>
    <w:rsid w:val="00543C9A"/>
    <w:rsid w:val="00544434"/>
    <w:rsid w:val="0054619F"/>
    <w:rsid w:val="00554FEC"/>
    <w:rsid w:val="005552DB"/>
    <w:rsid w:val="0055591C"/>
    <w:rsid w:val="00555CF2"/>
    <w:rsid w:val="00556485"/>
    <w:rsid w:val="00556F04"/>
    <w:rsid w:val="005577B9"/>
    <w:rsid w:val="00557F83"/>
    <w:rsid w:val="0056384A"/>
    <w:rsid w:val="00564244"/>
    <w:rsid w:val="0056681C"/>
    <w:rsid w:val="005669C7"/>
    <w:rsid w:val="00567F8B"/>
    <w:rsid w:val="00570595"/>
    <w:rsid w:val="00570BEE"/>
    <w:rsid w:val="00570F94"/>
    <w:rsid w:val="0057153C"/>
    <w:rsid w:val="00572648"/>
    <w:rsid w:val="005744C2"/>
    <w:rsid w:val="00574E88"/>
    <w:rsid w:val="0057542F"/>
    <w:rsid w:val="00582D5B"/>
    <w:rsid w:val="0058553A"/>
    <w:rsid w:val="005858E0"/>
    <w:rsid w:val="005863AB"/>
    <w:rsid w:val="0058751B"/>
    <w:rsid w:val="00587962"/>
    <w:rsid w:val="00587BB4"/>
    <w:rsid w:val="00592429"/>
    <w:rsid w:val="00592C09"/>
    <w:rsid w:val="00597444"/>
    <w:rsid w:val="00597514"/>
    <w:rsid w:val="005A0160"/>
    <w:rsid w:val="005A0709"/>
    <w:rsid w:val="005A0A5D"/>
    <w:rsid w:val="005A5371"/>
    <w:rsid w:val="005A6B80"/>
    <w:rsid w:val="005A7D08"/>
    <w:rsid w:val="005A7ED3"/>
    <w:rsid w:val="005B1B52"/>
    <w:rsid w:val="005B6586"/>
    <w:rsid w:val="005B6955"/>
    <w:rsid w:val="005B7D82"/>
    <w:rsid w:val="005C08DF"/>
    <w:rsid w:val="005C3C2B"/>
    <w:rsid w:val="005C4AA5"/>
    <w:rsid w:val="005C607B"/>
    <w:rsid w:val="005C784F"/>
    <w:rsid w:val="005D0BDB"/>
    <w:rsid w:val="005D1E47"/>
    <w:rsid w:val="005D3727"/>
    <w:rsid w:val="005D38DF"/>
    <w:rsid w:val="005D44A3"/>
    <w:rsid w:val="005D4E5A"/>
    <w:rsid w:val="005D4F1E"/>
    <w:rsid w:val="005D6969"/>
    <w:rsid w:val="005E7C7D"/>
    <w:rsid w:val="005F30E6"/>
    <w:rsid w:val="005F36B6"/>
    <w:rsid w:val="00600E3E"/>
    <w:rsid w:val="00600FFB"/>
    <w:rsid w:val="006014BE"/>
    <w:rsid w:val="0060213E"/>
    <w:rsid w:val="006028DC"/>
    <w:rsid w:val="00607B33"/>
    <w:rsid w:val="006105A8"/>
    <w:rsid w:val="00612A4F"/>
    <w:rsid w:val="00613A1C"/>
    <w:rsid w:val="00614027"/>
    <w:rsid w:val="00614443"/>
    <w:rsid w:val="00615046"/>
    <w:rsid w:val="00615110"/>
    <w:rsid w:val="00615351"/>
    <w:rsid w:val="00620B7B"/>
    <w:rsid w:val="00621BAA"/>
    <w:rsid w:val="006245B1"/>
    <w:rsid w:val="00625F62"/>
    <w:rsid w:val="00626D5D"/>
    <w:rsid w:val="00630402"/>
    <w:rsid w:val="00632933"/>
    <w:rsid w:val="00634723"/>
    <w:rsid w:val="00642D47"/>
    <w:rsid w:val="0064309E"/>
    <w:rsid w:val="00643112"/>
    <w:rsid w:val="0064478B"/>
    <w:rsid w:val="006449CA"/>
    <w:rsid w:val="006456BB"/>
    <w:rsid w:val="006467CB"/>
    <w:rsid w:val="00651323"/>
    <w:rsid w:val="00652EF9"/>
    <w:rsid w:val="0065491B"/>
    <w:rsid w:val="00660493"/>
    <w:rsid w:val="00664107"/>
    <w:rsid w:val="0066532E"/>
    <w:rsid w:val="006653C5"/>
    <w:rsid w:val="00667240"/>
    <w:rsid w:val="006713AF"/>
    <w:rsid w:val="0067274A"/>
    <w:rsid w:val="0067430D"/>
    <w:rsid w:val="00681DA5"/>
    <w:rsid w:val="0068222A"/>
    <w:rsid w:val="00682C10"/>
    <w:rsid w:val="006844E7"/>
    <w:rsid w:val="00690836"/>
    <w:rsid w:val="00691314"/>
    <w:rsid w:val="00691570"/>
    <w:rsid w:val="00694F24"/>
    <w:rsid w:val="0069503A"/>
    <w:rsid w:val="00695ADF"/>
    <w:rsid w:val="0069678F"/>
    <w:rsid w:val="00697096"/>
    <w:rsid w:val="00697991"/>
    <w:rsid w:val="006A01E6"/>
    <w:rsid w:val="006A0419"/>
    <w:rsid w:val="006A6001"/>
    <w:rsid w:val="006A69D8"/>
    <w:rsid w:val="006B0F2E"/>
    <w:rsid w:val="006B2F87"/>
    <w:rsid w:val="006B3A50"/>
    <w:rsid w:val="006B3BA0"/>
    <w:rsid w:val="006B4EC5"/>
    <w:rsid w:val="006C137D"/>
    <w:rsid w:val="006C5968"/>
    <w:rsid w:val="006C6646"/>
    <w:rsid w:val="006C6C7B"/>
    <w:rsid w:val="006D0C13"/>
    <w:rsid w:val="006D18C9"/>
    <w:rsid w:val="006D2525"/>
    <w:rsid w:val="006D3185"/>
    <w:rsid w:val="006D4279"/>
    <w:rsid w:val="006D46E3"/>
    <w:rsid w:val="006D5551"/>
    <w:rsid w:val="006D5960"/>
    <w:rsid w:val="006D68AE"/>
    <w:rsid w:val="006D6FB2"/>
    <w:rsid w:val="006D773A"/>
    <w:rsid w:val="006D7BCB"/>
    <w:rsid w:val="006D7C92"/>
    <w:rsid w:val="006E164D"/>
    <w:rsid w:val="006E267A"/>
    <w:rsid w:val="006E27B6"/>
    <w:rsid w:val="006E2EB8"/>
    <w:rsid w:val="006E3239"/>
    <w:rsid w:val="006E61DF"/>
    <w:rsid w:val="006E7CAF"/>
    <w:rsid w:val="006E7FFC"/>
    <w:rsid w:val="006F0C6F"/>
    <w:rsid w:val="006F2092"/>
    <w:rsid w:val="006F3D22"/>
    <w:rsid w:val="006F627E"/>
    <w:rsid w:val="006F6B89"/>
    <w:rsid w:val="006F6D69"/>
    <w:rsid w:val="00701420"/>
    <w:rsid w:val="0070215B"/>
    <w:rsid w:val="00702226"/>
    <w:rsid w:val="00705832"/>
    <w:rsid w:val="0070601F"/>
    <w:rsid w:val="00707F60"/>
    <w:rsid w:val="007120DD"/>
    <w:rsid w:val="00712D4E"/>
    <w:rsid w:val="00712F41"/>
    <w:rsid w:val="0071377A"/>
    <w:rsid w:val="00713858"/>
    <w:rsid w:val="00713EBD"/>
    <w:rsid w:val="0071688E"/>
    <w:rsid w:val="007302F3"/>
    <w:rsid w:val="007306D6"/>
    <w:rsid w:val="00730EA3"/>
    <w:rsid w:val="007329C6"/>
    <w:rsid w:val="0073341C"/>
    <w:rsid w:val="00733A06"/>
    <w:rsid w:val="00733CB7"/>
    <w:rsid w:val="00733CE0"/>
    <w:rsid w:val="00735841"/>
    <w:rsid w:val="007358BB"/>
    <w:rsid w:val="00737F32"/>
    <w:rsid w:val="00740291"/>
    <w:rsid w:val="007418E2"/>
    <w:rsid w:val="00742DF5"/>
    <w:rsid w:val="007438BD"/>
    <w:rsid w:val="007441BA"/>
    <w:rsid w:val="00745782"/>
    <w:rsid w:val="00747DB9"/>
    <w:rsid w:val="00751DAB"/>
    <w:rsid w:val="0075424F"/>
    <w:rsid w:val="00757127"/>
    <w:rsid w:val="00760E21"/>
    <w:rsid w:val="0076132C"/>
    <w:rsid w:val="00761396"/>
    <w:rsid w:val="00761591"/>
    <w:rsid w:val="00763036"/>
    <w:rsid w:val="00763398"/>
    <w:rsid w:val="007653EC"/>
    <w:rsid w:val="00766EB0"/>
    <w:rsid w:val="00767BEF"/>
    <w:rsid w:val="00771622"/>
    <w:rsid w:val="00772965"/>
    <w:rsid w:val="00772D30"/>
    <w:rsid w:val="00773E0F"/>
    <w:rsid w:val="00774503"/>
    <w:rsid w:val="00775D68"/>
    <w:rsid w:val="00776869"/>
    <w:rsid w:val="007769B7"/>
    <w:rsid w:val="00780621"/>
    <w:rsid w:val="007809FE"/>
    <w:rsid w:val="00780DBC"/>
    <w:rsid w:val="007850A1"/>
    <w:rsid w:val="00786756"/>
    <w:rsid w:val="00787480"/>
    <w:rsid w:val="00790FBF"/>
    <w:rsid w:val="00793F06"/>
    <w:rsid w:val="00794B91"/>
    <w:rsid w:val="00794BE9"/>
    <w:rsid w:val="00795422"/>
    <w:rsid w:val="007963DC"/>
    <w:rsid w:val="00796A74"/>
    <w:rsid w:val="007A039C"/>
    <w:rsid w:val="007A0665"/>
    <w:rsid w:val="007A171C"/>
    <w:rsid w:val="007A2308"/>
    <w:rsid w:val="007A3493"/>
    <w:rsid w:val="007A501D"/>
    <w:rsid w:val="007A5E4D"/>
    <w:rsid w:val="007A7D8C"/>
    <w:rsid w:val="007B1028"/>
    <w:rsid w:val="007B10AC"/>
    <w:rsid w:val="007B3CC2"/>
    <w:rsid w:val="007B4336"/>
    <w:rsid w:val="007B4C75"/>
    <w:rsid w:val="007B5406"/>
    <w:rsid w:val="007C0836"/>
    <w:rsid w:val="007C1A2C"/>
    <w:rsid w:val="007C1CEB"/>
    <w:rsid w:val="007C1F7D"/>
    <w:rsid w:val="007D031F"/>
    <w:rsid w:val="007D048D"/>
    <w:rsid w:val="007D04AD"/>
    <w:rsid w:val="007D2376"/>
    <w:rsid w:val="007D352E"/>
    <w:rsid w:val="007D4A46"/>
    <w:rsid w:val="007D5E57"/>
    <w:rsid w:val="007D78E1"/>
    <w:rsid w:val="007D7FC7"/>
    <w:rsid w:val="007E0B15"/>
    <w:rsid w:val="007E1971"/>
    <w:rsid w:val="007E19CD"/>
    <w:rsid w:val="007E1EDB"/>
    <w:rsid w:val="007E3A32"/>
    <w:rsid w:val="007E3B52"/>
    <w:rsid w:val="007E40E5"/>
    <w:rsid w:val="007E50BF"/>
    <w:rsid w:val="007E6274"/>
    <w:rsid w:val="007E74F4"/>
    <w:rsid w:val="007F0C90"/>
    <w:rsid w:val="007F10BE"/>
    <w:rsid w:val="007F297A"/>
    <w:rsid w:val="007F4675"/>
    <w:rsid w:val="007F5097"/>
    <w:rsid w:val="007F6806"/>
    <w:rsid w:val="007F75BC"/>
    <w:rsid w:val="0080041E"/>
    <w:rsid w:val="008004FF"/>
    <w:rsid w:val="00800A0C"/>
    <w:rsid w:val="00802FBA"/>
    <w:rsid w:val="00803B6B"/>
    <w:rsid w:val="00805683"/>
    <w:rsid w:val="008106E9"/>
    <w:rsid w:val="00811317"/>
    <w:rsid w:val="008141A3"/>
    <w:rsid w:val="00814414"/>
    <w:rsid w:val="00816F28"/>
    <w:rsid w:val="00817177"/>
    <w:rsid w:val="0082065A"/>
    <w:rsid w:val="00821629"/>
    <w:rsid w:val="00821B81"/>
    <w:rsid w:val="008227EC"/>
    <w:rsid w:val="00835896"/>
    <w:rsid w:val="0083608F"/>
    <w:rsid w:val="0083669E"/>
    <w:rsid w:val="00842096"/>
    <w:rsid w:val="00846E6D"/>
    <w:rsid w:val="008505EE"/>
    <w:rsid w:val="00852FCD"/>
    <w:rsid w:val="008540FC"/>
    <w:rsid w:val="0085494F"/>
    <w:rsid w:val="00856020"/>
    <w:rsid w:val="00857D15"/>
    <w:rsid w:val="00860C11"/>
    <w:rsid w:val="00863192"/>
    <w:rsid w:val="008642C0"/>
    <w:rsid w:val="0086568B"/>
    <w:rsid w:val="00865D1F"/>
    <w:rsid w:val="00866494"/>
    <w:rsid w:val="00866B48"/>
    <w:rsid w:val="00866C55"/>
    <w:rsid w:val="0087006B"/>
    <w:rsid w:val="008731C3"/>
    <w:rsid w:val="00873D59"/>
    <w:rsid w:val="00880588"/>
    <w:rsid w:val="00880818"/>
    <w:rsid w:val="00881CFD"/>
    <w:rsid w:val="008822A8"/>
    <w:rsid w:val="008834EA"/>
    <w:rsid w:val="00883672"/>
    <w:rsid w:val="00886ED0"/>
    <w:rsid w:val="00887F60"/>
    <w:rsid w:val="00890282"/>
    <w:rsid w:val="00891DAC"/>
    <w:rsid w:val="00891DED"/>
    <w:rsid w:val="008921EB"/>
    <w:rsid w:val="00893070"/>
    <w:rsid w:val="008939AA"/>
    <w:rsid w:val="00897515"/>
    <w:rsid w:val="008A20C6"/>
    <w:rsid w:val="008A20D2"/>
    <w:rsid w:val="008A360E"/>
    <w:rsid w:val="008A3D08"/>
    <w:rsid w:val="008A42D2"/>
    <w:rsid w:val="008A44EA"/>
    <w:rsid w:val="008A4C04"/>
    <w:rsid w:val="008A73D6"/>
    <w:rsid w:val="008B08ED"/>
    <w:rsid w:val="008B09E5"/>
    <w:rsid w:val="008B11DD"/>
    <w:rsid w:val="008B443D"/>
    <w:rsid w:val="008B458E"/>
    <w:rsid w:val="008B478F"/>
    <w:rsid w:val="008B4C17"/>
    <w:rsid w:val="008B4C88"/>
    <w:rsid w:val="008B5A1E"/>
    <w:rsid w:val="008B5B87"/>
    <w:rsid w:val="008B5E9E"/>
    <w:rsid w:val="008B6284"/>
    <w:rsid w:val="008C3637"/>
    <w:rsid w:val="008C3EDE"/>
    <w:rsid w:val="008C509E"/>
    <w:rsid w:val="008C51F8"/>
    <w:rsid w:val="008D14BC"/>
    <w:rsid w:val="008D2360"/>
    <w:rsid w:val="008D39E4"/>
    <w:rsid w:val="008D3E33"/>
    <w:rsid w:val="008D58DB"/>
    <w:rsid w:val="008D7F8C"/>
    <w:rsid w:val="008E0091"/>
    <w:rsid w:val="008E05C0"/>
    <w:rsid w:val="008E0C16"/>
    <w:rsid w:val="008E2C85"/>
    <w:rsid w:val="008E3191"/>
    <w:rsid w:val="008E54CA"/>
    <w:rsid w:val="008E610B"/>
    <w:rsid w:val="008E62EE"/>
    <w:rsid w:val="008F0FBD"/>
    <w:rsid w:val="008F2932"/>
    <w:rsid w:val="008F3758"/>
    <w:rsid w:val="008F7E6A"/>
    <w:rsid w:val="00900079"/>
    <w:rsid w:val="00905271"/>
    <w:rsid w:val="00907747"/>
    <w:rsid w:val="00907C9B"/>
    <w:rsid w:val="0091463D"/>
    <w:rsid w:val="009149B2"/>
    <w:rsid w:val="0091503C"/>
    <w:rsid w:val="00916EE1"/>
    <w:rsid w:val="00917DD3"/>
    <w:rsid w:val="0092075D"/>
    <w:rsid w:val="0092318A"/>
    <w:rsid w:val="00923BDD"/>
    <w:rsid w:val="009247A8"/>
    <w:rsid w:val="00925EBA"/>
    <w:rsid w:val="0092682F"/>
    <w:rsid w:val="00931C10"/>
    <w:rsid w:val="00933FBA"/>
    <w:rsid w:val="0093551B"/>
    <w:rsid w:val="00936063"/>
    <w:rsid w:val="009408B1"/>
    <w:rsid w:val="00940E7A"/>
    <w:rsid w:val="00940E7B"/>
    <w:rsid w:val="009429D6"/>
    <w:rsid w:val="009449F5"/>
    <w:rsid w:val="0094671C"/>
    <w:rsid w:val="00951247"/>
    <w:rsid w:val="009513DC"/>
    <w:rsid w:val="009513EA"/>
    <w:rsid w:val="00951655"/>
    <w:rsid w:val="009528BE"/>
    <w:rsid w:val="00953ECF"/>
    <w:rsid w:val="00956EAB"/>
    <w:rsid w:val="00957071"/>
    <w:rsid w:val="009607B1"/>
    <w:rsid w:val="009617C1"/>
    <w:rsid w:val="00961ABF"/>
    <w:rsid w:val="0096219F"/>
    <w:rsid w:val="009715F4"/>
    <w:rsid w:val="00971EEB"/>
    <w:rsid w:val="009728A7"/>
    <w:rsid w:val="00973C70"/>
    <w:rsid w:val="0097619A"/>
    <w:rsid w:val="00976B01"/>
    <w:rsid w:val="00977070"/>
    <w:rsid w:val="00977F4F"/>
    <w:rsid w:val="00987BC0"/>
    <w:rsid w:val="00990A9A"/>
    <w:rsid w:val="00992A5B"/>
    <w:rsid w:val="009935CC"/>
    <w:rsid w:val="00996EC7"/>
    <w:rsid w:val="0099710E"/>
    <w:rsid w:val="009A36E0"/>
    <w:rsid w:val="009A5991"/>
    <w:rsid w:val="009A5F25"/>
    <w:rsid w:val="009B040B"/>
    <w:rsid w:val="009B2ABA"/>
    <w:rsid w:val="009B6BF8"/>
    <w:rsid w:val="009C0EC1"/>
    <w:rsid w:val="009C2360"/>
    <w:rsid w:val="009C2788"/>
    <w:rsid w:val="009C2A5E"/>
    <w:rsid w:val="009C2C65"/>
    <w:rsid w:val="009C52B9"/>
    <w:rsid w:val="009C57E2"/>
    <w:rsid w:val="009D0246"/>
    <w:rsid w:val="009D02AC"/>
    <w:rsid w:val="009D0A94"/>
    <w:rsid w:val="009D22A5"/>
    <w:rsid w:val="009D30E4"/>
    <w:rsid w:val="009D32D4"/>
    <w:rsid w:val="009D3CB5"/>
    <w:rsid w:val="009D46AC"/>
    <w:rsid w:val="009D521B"/>
    <w:rsid w:val="009D7A58"/>
    <w:rsid w:val="009E3CB3"/>
    <w:rsid w:val="009E3D00"/>
    <w:rsid w:val="009E511D"/>
    <w:rsid w:val="009E5817"/>
    <w:rsid w:val="009E6846"/>
    <w:rsid w:val="009E7FE5"/>
    <w:rsid w:val="00A00AE6"/>
    <w:rsid w:val="00A035B2"/>
    <w:rsid w:val="00A04680"/>
    <w:rsid w:val="00A054A6"/>
    <w:rsid w:val="00A06897"/>
    <w:rsid w:val="00A07696"/>
    <w:rsid w:val="00A1025E"/>
    <w:rsid w:val="00A12D57"/>
    <w:rsid w:val="00A13204"/>
    <w:rsid w:val="00A14764"/>
    <w:rsid w:val="00A1641B"/>
    <w:rsid w:val="00A171F8"/>
    <w:rsid w:val="00A207D0"/>
    <w:rsid w:val="00A20971"/>
    <w:rsid w:val="00A21ABA"/>
    <w:rsid w:val="00A221AF"/>
    <w:rsid w:val="00A22BC4"/>
    <w:rsid w:val="00A22D21"/>
    <w:rsid w:val="00A22F36"/>
    <w:rsid w:val="00A23200"/>
    <w:rsid w:val="00A23DE7"/>
    <w:rsid w:val="00A25252"/>
    <w:rsid w:val="00A26FE2"/>
    <w:rsid w:val="00A3117D"/>
    <w:rsid w:val="00A318F8"/>
    <w:rsid w:val="00A329BD"/>
    <w:rsid w:val="00A32B1B"/>
    <w:rsid w:val="00A33945"/>
    <w:rsid w:val="00A34ED5"/>
    <w:rsid w:val="00A40E3E"/>
    <w:rsid w:val="00A41147"/>
    <w:rsid w:val="00A4174B"/>
    <w:rsid w:val="00A41A9F"/>
    <w:rsid w:val="00A447B8"/>
    <w:rsid w:val="00A45359"/>
    <w:rsid w:val="00A45C78"/>
    <w:rsid w:val="00A467CB"/>
    <w:rsid w:val="00A538DC"/>
    <w:rsid w:val="00A55162"/>
    <w:rsid w:val="00A6023C"/>
    <w:rsid w:val="00A60E88"/>
    <w:rsid w:val="00A60EA8"/>
    <w:rsid w:val="00A61457"/>
    <w:rsid w:val="00A62D3E"/>
    <w:rsid w:val="00A67354"/>
    <w:rsid w:val="00A701BE"/>
    <w:rsid w:val="00A70A9A"/>
    <w:rsid w:val="00A70D1F"/>
    <w:rsid w:val="00A712F2"/>
    <w:rsid w:val="00A728CE"/>
    <w:rsid w:val="00A74BC8"/>
    <w:rsid w:val="00A75848"/>
    <w:rsid w:val="00A77117"/>
    <w:rsid w:val="00A80D2A"/>
    <w:rsid w:val="00A82579"/>
    <w:rsid w:val="00A83C79"/>
    <w:rsid w:val="00A84A54"/>
    <w:rsid w:val="00A8529E"/>
    <w:rsid w:val="00A8534A"/>
    <w:rsid w:val="00A87D41"/>
    <w:rsid w:val="00A94142"/>
    <w:rsid w:val="00A97E54"/>
    <w:rsid w:val="00AA07A5"/>
    <w:rsid w:val="00AA0B4C"/>
    <w:rsid w:val="00AA0B59"/>
    <w:rsid w:val="00AA0D58"/>
    <w:rsid w:val="00AA1277"/>
    <w:rsid w:val="00AA7DC6"/>
    <w:rsid w:val="00AB109F"/>
    <w:rsid w:val="00AB3D05"/>
    <w:rsid w:val="00AB44A6"/>
    <w:rsid w:val="00AB6505"/>
    <w:rsid w:val="00AB6E50"/>
    <w:rsid w:val="00AC032E"/>
    <w:rsid w:val="00AC08A7"/>
    <w:rsid w:val="00AC11C9"/>
    <w:rsid w:val="00AC17C3"/>
    <w:rsid w:val="00AC19DD"/>
    <w:rsid w:val="00AC1C13"/>
    <w:rsid w:val="00AC29FC"/>
    <w:rsid w:val="00AC42AA"/>
    <w:rsid w:val="00AC5239"/>
    <w:rsid w:val="00AC56CE"/>
    <w:rsid w:val="00AC5AB5"/>
    <w:rsid w:val="00AC5CE8"/>
    <w:rsid w:val="00AC5D6E"/>
    <w:rsid w:val="00AC5F47"/>
    <w:rsid w:val="00AC6ED6"/>
    <w:rsid w:val="00AD009E"/>
    <w:rsid w:val="00AD018D"/>
    <w:rsid w:val="00AD2A67"/>
    <w:rsid w:val="00AD5857"/>
    <w:rsid w:val="00AD599E"/>
    <w:rsid w:val="00AD5F5E"/>
    <w:rsid w:val="00AD69A0"/>
    <w:rsid w:val="00AE04D7"/>
    <w:rsid w:val="00AE07CD"/>
    <w:rsid w:val="00AE0B80"/>
    <w:rsid w:val="00AE16C0"/>
    <w:rsid w:val="00AE17F7"/>
    <w:rsid w:val="00AE19E2"/>
    <w:rsid w:val="00AE3220"/>
    <w:rsid w:val="00AE5D16"/>
    <w:rsid w:val="00AE5FDC"/>
    <w:rsid w:val="00AE7FBF"/>
    <w:rsid w:val="00AF1406"/>
    <w:rsid w:val="00AF2EAD"/>
    <w:rsid w:val="00AF609F"/>
    <w:rsid w:val="00AF6DC3"/>
    <w:rsid w:val="00AF74B5"/>
    <w:rsid w:val="00AF7B7B"/>
    <w:rsid w:val="00B00224"/>
    <w:rsid w:val="00B00506"/>
    <w:rsid w:val="00B03D63"/>
    <w:rsid w:val="00B04778"/>
    <w:rsid w:val="00B05100"/>
    <w:rsid w:val="00B06F75"/>
    <w:rsid w:val="00B14435"/>
    <w:rsid w:val="00B16180"/>
    <w:rsid w:val="00B16FD0"/>
    <w:rsid w:val="00B20503"/>
    <w:rsid w:val="00B211D6"/>
    <w:rsid w:val="00B22A2E"/>
    <w:rsid w:val="00B23FE6"/>
    <w:rsid w:val="00B24178"/>
    <w:rsid w:val="00B244DA"/>
    <w:rsid w:val="00B26A1D"/>
    <w:rsid w:val="00B32E52"/>
    <w:rsid w:val="00B340AC"/>
    <w:rsid w:val="00B34412"/>
    <w:rsid w:val="00B34531"/>
    <w:rsid w:val="00B34FBB"/>
    <w:rsid w:val="00B35D32"/>
    <w:rsid w:val="00B36071"/>
    <w:rsid w:val="00B3794C"/>
    <w:rsid w:val="00B41114"/>
    <w:rsid w:val="00B41A3C"/>
    <w:rsid w:val="00B4233D"/>
    <w:rsid w:val="00B4335B"/>
    <w:rsid w:val="00B4725E"/>
    <w:rsid w:val="00B47CC7"/>
    <w:rsid w:val="00B5097D"/>
    <w:rsid w:val="00B51A84"/>
    <w:rsid w:val="00B5254F"/>
    <w:rsid w:val="00B526F6"/>
    <w:rsid w:val="00B579DD"/>
    <w:rsid w:val="00B6002B"/>
    <w:rsid w:val="00B60784"/>
    <w:rsid w:val="00B6144F"/>
    <w:rsid w:val="00B65A4C"/>
    <w:rsid w:val="00B6719A"/>
    <w:rsid w:val="00B701FD"/>
    <w:rsid w:val="00B7054E"/>
    <w:rsid w:val="00B70DE2"/>
    <w:rsid w:val="00B70FFA"/>
    <w:rsid w:val="00B73668"/>
    <w:rsid w:val="00B7636E"/>
    <w:rsid w:val="00B7675E"/>
    <w:rsid w:val="00B77BC6"/>
    <w:rsid w:val="00B80A22"/>
    <w:rsid w:val="00B80DA3"/>
    <w:rsid w:val="00B82944"/>
    <w:rsid w:val="00B83C6D"/>
    <w:rsid w:val="00B86570"/>
    <w:rsid w:val="00B8694A"/>
    <w:rsid w:val="00B86FB8"/>
    <w:rsid w:val="00B908E9"/>
    <w:rsid w:val="00B9099D"/>
    <w:rsid w:val="00B9115A"/>
    <w:rsid w:val="00B93ED5"/>
    <w:rsid w:val="00B94CBF"/>
    <w:rsid w:val="00B96823"/>
    <w:rsid w:val="00B96DDB"/>
    <w:rsid w:val="00BA15E1"/>
    <w:rsid w:val="00BA2EC1"/>
    <w:rsid w:val="00BB1502"/>
    <w:rsid w:val="00BB25EF"/>
    <w:rsid w:val="00BB2678"/>
    <w:rsid w:val="00BB307C"/>
    <w:rsid w:val="00BB666F"/>
    <w:rsid w:val="00BC14BC"/>
    <w:rsid w:val="00BC1A11"/>
    <w:rsid w:val="00BC5764"/>
    <w:rsid w:val="00BC7AD9"/>
    <w:rsid w:val="00BD0C3F"/>
    <w:rsid w:val="00BD1F5E"/>
    <w:rsid w:val="00BD2D46"/>
    <w:rsid w:val="00BD570C"/>
    <w:rsid w:val="00BD5870"/>
    <w:rsid w:val="00BD5D7E"/>
    <w:rsid w:val="00BD649F"/>
    <w:rsid w:val="00BD7F49"/>
    <w:rsid w:val="00BE39C0"/>
    <w:rsid w:val="00BE3F27"/>
    <w:rsid w:val="00BE5F14"/>
    <w:rsid w:val="00BF17D8"/>
    <w:rsid w:val="00BF6AF2"/>
    <w:rsid w:val="00BF6CF7"/>
    <w:rsid w:val="00C00B55"/>
    <w:rsid w:val="00C02F4C"/>
    <w:rsid w:val="00C04BF6"/>
    <w:rsid w:val="00C05D78"/>
    <w:rsid w:val="00C0699D"/>
    <w:rsid w:val="00C07CCB"/>
    <w:rsid w:val="00C1131B"/>
    <w:rsid w:val="00C134F2"/>
    <w:rsid w:val="00C13766"/>
    <w:rsid w:val="00C1501A"/>
    <w:rsid w:val="00C152C8"/>
    <w:rsid w:val="00C177F5"/>
    <w:rsid w:val="00C17805"/>
    <w:rsid w:val="00C17A25"/>
    <w:rsid w:val="00C2031A"/>
    <w:rsid w:val="00C20527"/>
    <w:rsid w:val="00C226CE"/>
    <w:rsid w:val="00C22895"/>
    <w:rsid w:val="00C22E43"/>
    <w:rsid w:val="00C23B45"/>
    <w:rsid w:val="00C25549"/>
    <w:rsid w:val="00C3156B"/>
    <w:rsid w:val="00C315F5"/>
    <w:rsid w:val="00C3392B"/>
    <w:rsid w:val="00C3617B"/>
    <w:rsid w:val="00C368D5"/>
    <w:rsid w:val="00C3728F"/>
    <w:rsid w:val="00C43347"/>
    <w:rsid w:val="00C4485C"/>
    <w:rsid w:val="00C44C4B"/>
    <w:rsid w:val="00C44E6D"/>
    <w:rsid w:val="00C46ED2"/>
    <w:rsid w:val="00C476BA"/>
    <w:rsid w:val="00C500C8"/>
    <w:rsid w:val="00C503DA"/>
    <w:rsid w:val="00C510DE"/>
    <w:rsid w:val="00C54134"/>
    <w:rsid w:val="00C548CB"/>
    <w:rsid w:val="00C5583F"/>
    <w:rsid w:val="00C55A87"/>
    <w:rsid w:val="00C574D6"/>
    <w:rsid w:val="00C57B3F"/>
    <w:rsid w:val="00C6044A"/>
    <w:rsid w:val="00C60FFA"/>
    <w:rsid w:val="00C6134A"/>
    <w:rsid w:val="00C63867"/>
    <w:rsid w:val="00C6473D"/>
    <w:rsid w:val="00C6480F"/>
    <w:rsid w:val="00C64A42"/>
    <w:rsid w:val="00C65642"/>
    <w:rsid w:val="00C702BA"/>
    <w:rsid w:val="00C70C49"/>
    <w:rsid w:val="00C721FD"/>
    <w:rsid w:val="00C74DF6"/>
    <w:rsid w:val="00C76EC0"/>
    <w:rsid w:val="00C77C42"/>
    <w:rsid w:val="00C8155E"/>
    <w:rsid w:val="00C82B1F"/>
    <w:rsid w:val="00C8346E"/>
    <w:rsid w:val="00C83525"/>
    <w:rsid w:val="00C84C58"/>
    <w:rsid w:val="00C8555D"/>
    <w:rsid w:val="00C855A7"/>
    <w:rsid w:val="00C92EF8"/>
    <w:rsid w:val="00C93127"/>
    <w:rsid w:val="00C937F8"/>
    <w:rsid w:val="00C93C38"/>
    <w:rsid w:val="00C95343"/>
    <w:rsid w:val="00C953CF"/>
    <w:rsid w:val="00C96063"/>
    <w:rsid w:val="00C96EFA"/>
    <w:rsid w:val="00C97A48"/>
    <w:rsid w:val="00CA0F26"/>
    <w:rsid w:val="00CA38E5"/>
    <w:rsid w:val="00CA68F9"/>
    <w:rsid w:val="00CA6B8D"/>
    <w:rsid w:val="00CA6C9E"/>
    <w:rsid w:val="00CB0865"/>
    <w:rsid w:val="00CB2861"/>
    <w:rsid w:val="00CB3490"/>
    <w:rsid w:val="00CB4143"/>
    <w:rsid w:val="00CB5726"/>
    <w:rsid w:val="00CB6437"/>
    <w:rsid w:val="00CB6C53"/>
    <w:rsid w:val="00CC0AFA"/>
    <w:rsid w:val="00CC2595"/>
    <w:rsid w:val="00CC48FB"/>
    <w:rsid w:val="00CC56A6"/>
    <w:rsid w:val="00CC5FC8"/>
    <w:rsid w:val="00CD2717"/>
    <w:rsid w:val="00CD29A4"/>
    <w:rsid w:val="00CD2FD1"/>
    <w:rsid w:val="00CD5544"/>
    <w:rsid w:val="00CD598E"/>
    <w:rsid w:val="00CE0F67"/>
    <w:rsid w:val="00CE1387"/>
    <w:rsid w:val="00CE1420"/>
    <w:rsid w:val="00CE2993"/>
    <w:rsid w:val="00CE3580"/>
    <w:rsid w:val="00CE3FE2"/>
    <w:rsid w:val="00CE40B3"/>
    <w:rsid w:val="00CE4A4D"/>
    <w:rsid w:val="00CE584B"/>
    <w:rsid w:val="00CE5CDB"/>
    <w:rsid w:val="00CF040E"/>
    <w:rsid w:val="00CF0B62"/>
    <w:rsid w:val="00CF0DBC"/>
    <w:rsid w:val="00CF1E54"/>
    <w:rsid w:val="00CF3107"/>
    <w:rsid w:val="00CF4F81"/>
    <w:rsid w:val="00D004B4"/>
    <w:rsid w:val="00D01122"/>
    <w:rsid w:val="00D01544"/>
    <w:rsid w:val="00D02409"/>
    <w:rsid w:val="00D04364"/>
    <w:rsid w:val="00D04D84"/>
    <w:rsid w:val="00D07313"/>
    <w:rsid w:val="00D0775F"/>
    <w:rsid w:val="00D10CCC"/>
    <w:rsid w:val="00D11467"/>
    <w:rsid w:val="00D14E62"/>
    <w:rsid w:val="00D151E5"/>
    <w:rsid w:val="00D15254"/>
    <w:rsid w:val="00D23BF8"/>
    <w:rsid w:val="00D30304"/>
    <w:rsid w:val="00D30814"/>
    <w:rsid w:val="00D335B3"/>
    <w:rsid w:val="00D338E0"/>
    <w:rsid w:val="00D36FB4"/>
    <w:rsid w:val="00D37F98"/>
    <w:rsid w:val="00D418CE"/>
    <w:rsid w:val="00D421B7"/>
    <w:rsid w:val="00D432B0"/>
    <w:rsid w:val="00D43E5D"/>
    <w:rsid w:val="00D47B2E"/>
    <w:rsid w:val="00D51FB0"/>
    <w:rsid w:val="00D530F6"/>
    <w:rsid w:val="00D537C1"/>
    <w:rsid w:val="00D5594E"/>
    <w:rsid w:val="00D57E4C"/>
    <w:rsid w:val="00D60C8E"/>
    <w:rsid w:val="00D642E3"/>
    <w:rsid w:val="00D64D93"/>
    <w:rsid w:val="00D662E8"/>
    <w:rsid w:val="00D66726"/>
    <w:rsid w:val="00D66E8D"/>
    <w:rsid w:val="00D70E32"/>
    <w:rsid w:val="00D70FD5"/>
    <w:rsid w:val="00D71814"/>
    <w:rsid w:val="00D746DA"/>
    <w:rsid w:val="00D7524F"/>
    <w:rsid w:val="00D77CB5"/>
    <w:rsid w:val="00D80577"/>
    <w:rsid w:val="00D80CC5"/>
    <w:rsid w:val="00D815F7"/>
    <w:rsid w:val="00D82E1E"/>
    <w:rsid w:val="00D8494A"/>
    <w:rsid w:val="00D84A35"/>
    <w:rsid w:val="00D85BAF"/>
    <w:rsid w:val="00D87812"/>
    <w:rsid w:val="00D87989"/>
    <w:rsid w:val="00D90B5C"/>
    <w:rsid w:val="00D92325"/>
    <w:rsid w:val="00D94A1D"/>
    <w:rsid w:val="00D954E9"/>
    <w:rsid w:val="00D95860"/>
    <w:rsid w:val="00D95C27"/>
    <w:rsid w:val="00D965D4"/>
    <w:rsid w:val="00D96F45"/>
    <w:rsid w:val="00D972CD"/>
    <w:rsid w:val="00DA1EEE"/>
    <w:rsid w:val="00DA5012"/>
    <w:rsid w:val="00DA5CE7"/>
    <w:rsid w:val="00DA69AF"/>
    <w:rsid w:val="00DB3F29"/>
    <w:rsid w:val="00DB48A3"/>
    <w:rsid w:val="00DB784E"/>
    <w:rsid w:val="00DC097A"/>
    <w:rsid w:val="00DC1EA2"/>
    <w:rsid w:val="00DC1F37"/>
    <w:rsid w:val="00DC2D23"/>
    <w:rsid w:val="00DC3673"/>
    <w:rsid w:val="00DC6B2B"/>
    <w:rsid w:val="00DC7804"/>
    <w:rsid w:val="00DC7CD8"/>
    <w:rsid w:val="00DD1377"/>
    <w:rsid w:val="00DD1A66"/>
    <w:rsid w:val="00DD2C93"/>
    <w:rsid w:val="00DD3A65"/>
    <w:rsid w:val="00DD68B3"/>
    <w:rsid w:val="00DD7B15"/>
    <w:rsid w:val="00DD7FA8"/>
    <w:rsid w:val="00DE1705"/>
    <w:rsid w:val="00DE2932"/>
    <w:rsid w:val="00DE3F86"/>
    <w:rsid w:val="00DE448C"/>
    <w:rsid w:val="00DE7FF8"/>
    <w:rsid w:val="00DF1D93"/>
    <w:rsid w:val="00DF25ED"/>
    <w:rsid w:val="00DF6CB0"/>
    <w:rsid w:val="00DF7333"/>
    <w:rsid w:val="00E0049D"/>
    <w:rsid w:val="00E0137D"/>
    <w:rsid w:val="00E0147F"/>
    <w:rsid w:val="00E02F8D"/>
    <w:rsid w:val="00E0381E"/>
    <w:rsid w:val="00E046A6"/>
    <w:rsid w:val="00E0559C"/>
    <w:rsid w:val="00E05AAB"/>
    <w:rsid w:val="00E07A3C"/>
    <w:rsid w:val="00E10132"/>
    <w:rsid w:val="00E10303"/>
    <w:rsid w:val="00E10A12"/>
    <w:rsid w:val="00E12F24"/>
    <w:rsid w:val="00E14480"/>
    <w:rsid w:val="00E14AD8"/>
    <w:rsid w:val="00E15F9D"/>
    <w:rsid w:val="00E160A7"/>
    <w:rsid w:val="00E17123"/>
    <w:rsid w:val="00E2045A"/>
    <w:rsid w:val="00E210A0"/>
    <w:rsid w:val="00E2170A"/>
    <w:rsid w:val="00E21D9A"/>
    <w:rsid w:val="00E228B8"/>
    <w:rsid w:val="00E2448B"/>
    <w:rsid w:val="00E31365"/>
    <w:rsid w:val="00E325BA"/>
    <w:rsid w:val="00E335A6"/>
    <w:rsid w:val="00E33BC9"/>
    <w:rsid w:val="00E33C5B"/>
    <w:rsid w:val="00E33C7E"/>
    <w:rsid w:val="00E35CE3"/>
    <w:rsid w:val="00E41528"/>
    <w:rsid w:val="00E41A1D"/>
    <w:rsid w:val="00E42E4C"/>
    <w:rsid w:val="00E5014F"/>
    <w:rsid w:val="00E502BD"/>
    <w:rsid w:val="00E50912"/>
    <w:rsid w:val="00E51808"/>
    <w:rsid w:val="00E51819"/>
    <w:rsid w:val="00E51856"/>
    <w:rsid w:val="00E52E24"/>
    <w:rsid w:val="00E52F82"/>
    <w:rsid w:val="00E52FCA"/>
    <w:rsid w:val="00E5307D"/>
    <w:rsid w:val="00E53796"/>
    <w:rsid w:val="00E53CAA"/>
    <w:rsid w:val="00E56B29"/>
    <w:rsid w:val="00E5755F"/>
    <w:rsid w:val="00E5774A"/>
    <w:rsid w:val="00E6048D"/>
    <w:rsid w:val="00E613B2"/>
    <w:rsid w:val="00E61675"/>
    <w:rsid w:val="00E61888"/>
    <w:rsid w:val="00E6474C"/>
    <w:rsid w:val="00E66B3B"/>
    <w:rsid w:val="00E6739A"/>
    <w:rsid w:val="00E71E93"/>
    <w:rsid w:val="00E7275F"/>
    <w:rsid w:val="00E73F78"/>
    <w:rsid w:val="00E74F81"/>
    <w:rsid w:val="00E76986"/>
    <w:rsid w:val="00E76F3F"/>
    <w:rsid w:val="00E80A98"/>
    <w:rsid w:val="00E830A7"/>
    <w:rsid w:val="00E83579"/>
    <w:rsid w:val="00E84005"/>
    <w:rsid w:val="00E85707"/>
    <w:rsid w:val="00E8622E"/>
    <w:rsid w:val="00E8798C"/>
    <w:rsid w:val="00E906BD"/>
    <w:rsid w:val="00E909DE"/>
    <w:rsid w:val="00E921C3"/>
    <w:rsid w:val="00EA0A24"/>
    <w:rsid w:val="00EA442D"/>
    <w:rsid w:val="00EA4E13"/>
    <w:rsid w:val="00EA6A3C"/>
    <w:rsid w:val="00EB35CB"/>
    <w:rsid w:val="00EB3DA8"/>
    <w:rsid w:val="00EB5428"/>
    <w:rsid w:val="00EB73BB"/>
    <w:rsid w:val="00EC2452"/>
    <w:rsid w:val="00EC255E"/>
    <w:rsid w:val="00EC2852"/>
    <w:rsid w:val="00EC2A41"/>
    <w:rsid w:val="00EC623F"/>
    <w:rsid w:val="00EC7811"/>
    <w:rsid w:val="00ED0C37"/>
    <w:rsid w:val="00ED389F"/>
    <w:rsid w:val="00ED3A74"/>
    <w:rsid w:val="00ED6269"/>
    <w:rsid w:val="00ED6B11"/>
    <w:rsid w:val="00ED6B4E"/>
    <w:rsid w:val="00ED6FD5"/>
    <w:rsid w:val="00ED764F"/>
    <w:rsid w:val="00EE1334"/>
    <w:rsid w:val="00EE1725"/>
    <w:rsid w:val="00EE2FDD"/>
    <w:rsid w:val="00EE4B05"/>
    <w:rsid w:val="00EE5052"/>
    <w:rsid w:val="00EF1891"/>
    <w:rsid w:val="00EF1EA2"/>
    <w:rsid w:val="00EF7813"/>
    <w:rsid w:val="00EF7ACE"/>
    <w:rsid w:val="00F0006D"/>
    <w:rsid w:val="00F01199"/>
    <w:rsid w:val="00F01599"/>
    <w:rsid w:val="00F01BD9"/>
    <w:rsid w:val="00F01EC1"/>
    <w:rsid w:val="00F036B1"/>
    <w:rsid w:val="00F03E62"/>
    <w:rsid w:val="00F04C6A"/>
    <w:rsid w:val="00F05289"/>
    <w:rsid w:val="00F070FA"/>
    <w:rsid w:val="00F101D2"/>
    <w:rsid w:val="00F11F05"/>
    <w:rsid w:val="00F12298"/>
    <w:rsid w:val="00F12E16"/>
    <w:rsid w:val="00F14163"/>
    <w:rsid w:val="00F14458"/>
    <w:rsid w:val="00F14A62"/>
    <w:rsid w:val="00F15888"/>
    <w:rsid w:val="00F205BE"/>
    <w:rsid w:val="00F217E8"/>
    <w:rsid w:val="00F24A41"/>
    <w:rsid w:val="00F24E65"/>
    <w:rsid w:val="00F2527B"/>
    <w:rsid w:val="00F27290"/>
    <w:rsid w:val="00F27FE3"/>
    <w:rsid w:val="00F303FD"/>
    <w:rsid w:val="00F32A51"/>
    <w:rsid w:val="00F33C81"/>
    <w:rsid w:val="00F3443E"/>
    <w:rsid w:val="00F34567"/>
    <w:rsid w:val="00F36044"/>
    <w:rsid w:val="00F3774E"/>
    <w:rsid w:val="00F40128"/>
    <w:rsid w:val="00F411E2"/>
    <w:rsid w:val="00F417A8"/>
    <w:rsid w:val="00F42BE4"/>
    <w:rsid w:val="00F43620"/>
    <w:rsid w:val="00F442F1"/>
    <w:rsid w:val="00F51918"/>
    <w:rsid w:val="00F559FC"/>
    <w:rsid w:val="00F565AE"/>
    <w:rsid w:val="00F56BA6"/>
    <w:rsid w:val="00F56EB6"/>
    <w:rsid w:val="00F61068"/>
    <w:rsid w:val="00F62704"/>
    <w:rsid w:val="00F629D9"/>
    <w:rsid w:val="00F62DFF"/>
    <w:rsid w:val="00F64399"/>
    <w:rsid w:val="00F65295"/>
    <w:rsid w:val="00F658EB"/>
    <w:rsid w:val="00F65E95"/>
    <w:rsid w:val="00F65F4E"/>
    <w:rsid w:val="00F6627C"/>
    <w:rsid w:val="00F662D0"/>
    <w:rsid w:val="00F66494"/>
    <w:rsid w:val="00F729CF"/>
    <w:rsid w:val="00F73088"/>
    <w:rsid w:val="00F73BAE"/>
    <w:rsid w:val="00F750E7"/>
    <w:rsid w:val="00F82386"/>
    <w:rsid w:val="00F82DB9"/>
    <w:rsid w:val="00F82FAA"/>
    <w:rsid w:val="00F8331B"/>
    <w:rsid w:val="00F83A28"/>
    <w:rsid w:val="00F85C52"/>
    <w:rsid w:val="00F86D68"/>
    <w:rsid w:val="00F87742"/>
    <w:rsid w:val="00F94D0F"/>
    <w:rsid w:val="00F96227"/>
    <w:rsid w:val="00F962B1"/>
    <w:rsid w:val="00F97613"/>
    <w:rsid w:val="00FA1DDD"/>
    <w:rsid w:val="00FA2E1B"/>
    <w:rsid w:val="00FB018C"/>
    <w:rsid w:val="00FB366F"/>
    <w:rsid w:val="00FB37DC"/>
    <w:rsid w:val="00FB3D7B"/>
    <w:rsid w:val="00FB4C8D"/>
    <w:rsid w:val="00FB50C5"/>
    <w:rsid w:val="00FB5589"/>
    <w:rsid w:val="00FB6D7D"/>
    <w:rsid w:val="00FB7A4C"/>
    <w:rsid w:val="00FC2104"/>
    <w:rsid w:val="00FC232F"/>
    <w:rsid w:val="00FC3875"/>
    <w:rsid w:val="00FC49E4"/>
    <w:rsid w:val="00FC4AE0"/>
    <w:rsid w:val="00FD291F"/>
    <w:rsid w:val="00FE029D"/>
    <w:rsid w:val="00FE3033"/>
    <w:rsid w:val="00FE4E46"/>
    <w:rsid w:val="00FE5549"/>
    <w:rsid w:val="00FF3CFB"/>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A3"/>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5F62"/>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5F62"/>
    <w:pPr>
      <w:keepNext/>
      <w:numPr>
        <w:ilvl w:val="1"/>
        <w:numId w:val="21"/>
      </w:numPr>
      <w:spacing w:after="120"/>
      <w:outlineLvl w:val="1"/>
    </w:pPr>
    <w:rPr>
      <w:b/>
    </w:rPr>
  </w:style>
  <w:style w:type="paragraph" w:styleId="Heading3">
    <w:name w:val="heading 3"/>
    <w:basedOn w:val="Normal"/>
    <w:next w:val="ParaNum"/>
    <w:qFormat/>
    <w:rsid w:val="00625F62"/>
    <w:pPr>
      <w:keepNext/>
      <w:numPr>
        <w:ilvl w:val="2"/>
        <w:numId w:val="21"/>
      </w:numPr>
      <w:tabs>
        <w:tab w:val="left" w:pos="2160"/>
      </w:tabs>
      <w:spacing w:after="120"/>
      <w:outlineLvl w:val="2"/>
    </w:pPr>
    <w:rPr>
      <w:b/>
    </w:rPr>
  </w:style>
  <w:style w:type="paragraph" w:styleId="Heading4">
    <w:name w:val="heading 4"/>
    <w:basedOn w:val="Normal"/>
    <w:next w:val="ParaNum"/>
    <w:qFormat/>
    <w:rsid w:val="00625F62"/>
    <w:pPr>
      <w:keepNext/>
      <w:numPr>
        <w:ilvl w:val="3"/>
        <w:numId w:val="21"/>
      </w:numPr>
      <w:tabs>
        <w:tab w:val="left" w:pos="2880"/>
      </w:tabs>
      <w:spacing w:after="120"/>
      <w:outlineLvl w:val="3"/>
    </w:pPr>
    <w:rPr>
      <w:b/>
    </w:rPr>
  </w:style>
  <w:style w:type="paragraph" w:styleId="Heading5">
    <w:name w:val="heading 5"/>
    <w:basedOn w:val="Normal"/>
    <w:next w:val="ParaNum"/>
    <w:qFormat/>
    <w:rsid w:val="00625F62"/>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625F62"/>
    <w:pPr>
      <w:numPr>
        <w:ilvl w:val="5"/>
        <w:numId w:val="21"/>
      </w:numPr>
      <w:tabs>
        <w:tab w:val="left" w:pos="4320"/>
      </w:tabs>
      <w:spacing w:after="120"/>
      <w:outlineLvl w:val="5"/>
    </w:pPr>
    <w:rPr>
      <w:b/>
    </w:rPr>
  </w:style>
  <w:style w:type="paragraph" w:styleId="Heading7">
    <w:name w:val="heading 7"/>
    <w:basedOn w:val="Normal"/>
    <w:next w:val="ParaNum"/>
    <w:qFormat/>
    <w:rsid w:val="00625F62"/>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625F62"/>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625F62"/>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0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0EA3"/>
  </w:style>
  <w:style w:type="paragraph" w:customStyle="1" w:styleId="ParaNum">
    <w:name w:val="ParaNum"/>
    <w:basedOn w:val="Normal"/>
    <w:rsid w:val="00625F62"/>
    <w:pPr>
      <w:numPr>
        <w:numId w:val="41"/>
      </w:numPr>
      <w:tabs>
        <w:tab w:val="clear" w:pos="1080"/>
        <w:tab w:val="num" w:pos="1440"/>
      </w:tabs>
      <w:spacing w:after="120"/>
    </w:pPr>
  </w:style>
  <w:style w:type="paragraph" w:styleId="EndnoteText">
    <w:name w:val="endnote text"/>
    <w:basedOn w:val="Normal"/>
    <w:semiHidden/>
    <w:rsid w:val="00625F62"/>
    <w:rPr>
      <w:sz w:val="20"/>
    </w:rPr>
  </w:style>
  <w:style w:type="character" w:styleId="EndnoteReference">
    <w:name w:val="endnote reference"/>
    <w:basedOn w:val="DefaultParagraphFont"/>
    <w:semiHidden/>
    <w:rsid w:val="00625F62"/>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
    <w:link w:val="FootnoteTextChar"/>
    <w:semiHidden/>
    <w:rsid w:val="00625F62"/>
    <w:pPr>
      <w:spacing w:after="120"/>
    </w:pPr>
  </w:style>
  <w:style w:type="character" w:styleId="FootnoteReference">
    <w:name w:val="footnote reference"/>
    <w:basedOn w:val="DefaultParagraphFont"/>
    <w:semiHidden/>
    <w:rsid w:val="00625F62"/>
    <w:rPr>
      <w:rFonts w:ascii="Times New Roman" w:hAnsi="Times New Roman"/>
      <w:dstrike w:val="0"/>
      <w:color w:val="auto"/>
      <w:sz w:val="22"/>
      <w:vertAlign w:val="superscript"/>
    </w:rPr>
  </w:style>
  <w:style w:type="paragraph" w:styleId="TOC1">
    <w:name w:val="toc 1"/>
    <w:basedOn w:val="Normal"/>
    <w:next w:val="Normal"/>
    <w:semiHidden/>
    <w:rsid w:val="00625F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5F62"/>
    <w:pPr>
      <w:tabs>
        <w:tab w:val="left" w:pos="720"/>
        <w:tab w:val="right" w:leader="dot" w:pos="9360"/>
      </w:tabs>
      <w:suppressAutoHyphens/>
      <w:ind w:left="720" w:right="720" w:hanging="360"/>
    </w:pPr>
    <w:rPr>
      <w:noProof/>
    </w:rPr>
  </w:style>
  <w:style w:type="paragraph" w:styleId="TOC3">
    <w:name w:val="toc 3"/>
    <w:basedOn w:val="Normal"/>
    <w:next w:val="Normal"/>
    <w:semiHidden/>
    <w:rsid w:val="00625F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F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F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F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F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F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F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5F62"/>
    <w:pPr>
      <w:tabs>
        <w:tab w:val="right" w:pos="9360"/>
      </w:tabs>
      <w:suppressAutoHyphens/>
    </w:pPr>
  </w:style>
  <w:style w:type="character" w:customStyle="1" w:styleId="EquationCaption">
    <w:name w:val="_Equation Caption"/>
    <w:rsid w:val="00625F62"/>
  </w:style>
  <w:style w:type="paragraph" w:styleId="Header">
    <w:name w:val="header"/>
    <w:basedOn w:val="Normal"/>
    <w:autoRedefine/>
    <w:rsid w:val="00D87812"/>
    <w:pPr>
      <w:pBdr>
        <w:bottom w:val="single" w:sz="12" w:space="1" w:color="auto"/>
      </w:pBdr>
      <w:tabs>
        <w:tab w:val="center" w:pos="4680"/>
        <w:tab w:val="right" w:pos="9360"/>
      </w:tabs>
    </w:pPr>
    <w:rPr>
      <w:rFonts w:ascii="Times New Roman" w:hAnsi="Times New Roman" w:cs="Times New Roman"/>
      <w:b/>
    </w:rPr>
  </w:style>
  <w:style w:type="paragraph" w:styleId="Footer">
    <w:name w:val="footer"/>
    <w:basedOn w:val="Normal"/>
    <w:rsid w:val="00625F62"/>
    <w:pPr>
      <w:tabs>
        <w:tab w:val="center" w:pos="4320"/>
        <w:tab w:val="right" w:pos="8640"/>
      </w:tabs>
    </w:pPr>
  </w:style>
  <w:style w:type="character" w:styleId="PageNumber">
    <w:name w:val="page number"/>
    <w:basedOn w:val="DefaultParagraphFont"/>
    <w:rsid w:val="00625F62"/>
  </w:style>
  <w:style w:type="paragraph" w:styleId="BlockText">
    <w:name w:val="Block Text"/>
    <w:basedOn w:val="Normal"/>
    <w:rsid w:val="00625F62"/>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rsid w:val="00625F62"/>
    <w:pPr>
      <w:numPr>
        <w:numId w:val="1"/>
      </w:numPr>
      <w:tabs>
        <w:tab w:val="clear" w:pos="360"/>
        <w:tab w:val="left" w:pos="2160"/>
      </w:tabs>
      <w:spacing w:after="220"/>
      <w:ind w:left="2160" w:hanging="720"/>
    </w:pPr>
  </w:style>
  <w:style w:type="paragraph" w:customStyle="1" w:styleId="TableFormat">
    <w:name w:val="TableFormat"/>
    <w:basedOn w:val="Bullet"/>
    <w:rsid w:val="00625F62"/>
    <w:pPr>
      <w:numPr>
        <w:numId w:val="0"/>
      </w:num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lang w:val="x-none" w:eastAsia="x-none"/>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886ED0"/>
  </w:style>
  <w:style w:type="paragraph" w:customStyle="1" w:styleId="Paratitle">
    <w:name w:val="Para title"/>
    <w:basedOn w:val="Normal"/>
    <w:rsid w:val="00625F62"/>
    <w:pPr>
      <w:tabs>
        <w:tab w:val="center" w:pos="9270"/>
      </w:tabs>
      <w:spacing w:after="240"/>
    </w:pPr>
    <w:rPr>
      <w:spacing w:val="-2"/>
    </w:rPr>
  </w:style>
  <w:style w:type="paragraph" w:customStyle="1" w:styleId="TOCTitle">
    <w:name w:val="TOC Title"/>
    <w:basedOn w:val="Normal"/>
    <w:rsid w:val="00625F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F62"/>
    <w:pPr>
      <w:jc w:val="center"/>
    </w:pPr>
    <w:rPr>
      <w:rFonts w:ascii="Times New Roman Bold" w:hAnsi="Times New Roman Bold"/>
      <w:b/>
      <w:bCs/>
      <w:caps/>
    </w:rPr>
  </w:style>
  <w:style w:type="character" w:styleId="Hyperlink">
    <w:name w:val="Hyperlink"/>
    <w:basedOn w:val="DefaultParagraphFont"/>
    <w:rsid w:val="00625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EA3"/>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625F62"/>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5F62"/>
    <w:pPr>
      <w:keepNext/>
      <w:numPr>
        <w:ilvl w:val="1"/>
        <w:numId w:val="21"/>
      </w:numPr>
      <w:spacing w:after="120"/>
      <w:outlineLvl w:val="1"/>
    </w:pPr>
    <w:rPr>
      <w:b/>
    </w:rPr>
  </w:style>
  <w:style w:type="paragraph" w:styleId="Heading3">
    <w:name w:val="heading 3"/>
    <w:basedOn w:val="Normal"/>
    <w:next w:val="ParaNum"/>
    <w:qFormat/>
    <w:rsid w:val="00625F62"/>
    <w:pPr>
      <w:keepNext/>
      <w:numPr>
        <w:ilvl w:val="2"/>
        <w:numId w:val="21"/>
      </w:numPr>
      <w:tabs>
        <w:tab w:val="left" w:pos="2160"/>
      </w:tabs>
      <w:spacing w:after="120"/>
      <w:outlineLvl w:val="2"/>
    </w:pPr>
    <w:rPr>
      <w:b/>
    </w:rPr>
  </w:style>
  <w:style w:type="paragraph" w:styleId="Heading4">
    <w:name w:val="heading 4"/>
    <w:basedOn w:val="Normal"/>
    <w:next w:val="ParaNum"/>
    <w:qFormat/>
    <w:rsid w:val="00625F62"/>
    <w:pPr>
      <w:keepNext/>
      <w:numPr>
        <w:ilvl w:val="3"/>
        <w:numId w:val="21"/>
      </w:numPr>
      <w:tabs>
        <w:tab w:val="left" w:pos="2880"/>
      </w:tabs>
      <w:spacing w:after="120"/>
      <w:outlineLvl w:val="3"/>
    </w:pPr>
    <w:rPr>
      <w:b/>
    </w:rPr>
  </w:style>
  <w:style w:type="paragraph" w:styleId="Heading5">
    <w:name w:val="heading 5"/>
    <w:basedOn w:val="Normal"/>
    <w:next w:val="ParaNum"/>
    <w:qFormat/>
    <w:rsid w:val="00625F62"/>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625F62"/>
    <w:pPr>
      <w:numPr>
        <w:ilvl w:val="5"/>
        <w:numId w:val="21"/>
      </w:numPr>
      <w:tabs>
        <w:tab w:val="left" w:pos="4320"/>
      </w:tabs>
      <w:spacing w:after="120"/>
      <w:outlineLvl w:val="5"/>
    </w:pPr>
    <w:rPr>
      <w:b/>
    </w:rPr>
  </w:style>
  <w:style w:type="paragraph" w:styleId="Heading7">
    <w:name w:val="heading 7"/>
    <w:basedOn w:val="Normal"/>
    <w:next w:val="ParaNum"/>
    <w:qFormat/>
    <w:rsid w:val="00625F62"/>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625F62"/>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625F62"/>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0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0EA3"/>
  </w:style>
  <w:style w:type="paragraph" w:customStyle="1" w:styleId="ParaNum">
    <w:name w:val="ParaNum"/>
    <w:basedOn w:val="Normal"/>
    <w:rsid w:val="00625F62"/>
    <w:pPr>
      <w:numPr>
        <w:numId w:val="41"/>
      </w:numPr>
      <w:tabs>
        <w:tab w:val="clear" w:pos="1080"/>
        <w:tab w:val="num" w:pos="1440"/>
      </w:tabs>
      <w:spacing w:after="120"/>
    </w:pPr>
  </w:style>
  <w:style w:type="paragraph" w:styleId="EndnoteText">
    <w:name w:val="endnote text"/>
    <w:basedOn w:val="Normal"/>
    <w:semiHidden/>
    <w:rsid w:val="00625F62"/>
    <w:rPr>
      <w:sz w:val="20"/>
    </w:rPr>
  </w:style>
  <w:style w:type="character" w:styleId="EndnoteReference">
    <w:name w:val="endnote reference"/>
    <w:basedOn w:val="DefaultParagraphFont"/>
    <w:semiHidden/>
    <w:rsid w:val="00625F62"/>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
    <w:link w:val="FootnoteTextChar"/>
    <w:semiHidden/>
    <w:rsid w:val="00625F62"/>
    <w:pPr>
      <w:spacing w:after="120"/>
    </w:pPr>
  </w:style>
  <w:style w:type="character" w:styleId="FootnoteReference">
    <w:name w:val="footnote reference"/>
    <w:basedOn w:val="DefaultParagraphFont"/>
    <w:semiHidden/>
    <w:rsid w:val="00625F62"/>
    <w:rPr>
      <w:rFonts w:ascii="Times New Roman" w:hAnsi="Times New Roman"/>
      <w:dstrike w:val="0"/>
      <w:color w:val="auto"/>
      <w:sz w:val="22"/>
      <w:vertAlign w:val="superscript"/>
    </w:rPr>
  </w:style>
  <w:style w:type="paragraph" w:styleId="TOC1">
    <w:name w:val="toc 1"/>
    <w:basedOn w:val="Normal"/>
    <w:next w:val="Normal"/>
    <w:semiHidden/>
    <w:rsid w:val="00625F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5F62"/>
    <w:pPr>
      <w:tabs>
        <w:tab w:val="left" w:pos="720"/>
        <w:tab w:val="right" w:leader="dot" w:pos="9360"/>
      </w:tabs>
      <w:suppressAutoHyphens/>
      <w:ind w:left="720" w:right="720" w:hanging="360"/>
    </w:pPr>
    <w:rPr>
      <w:noProof/>
    </w:rPr>
  </w:style>
  <w:style w:type="paragraph" w:styleId="TOC3">
    <w:name w:val="toc 3"/>
    <w:basedOn w:val="Normal"/>
    <w:next w:val="Normal"/>
    <w:semiHidden/>
    <w:rsid w:val="00625F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F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F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F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F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F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F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5F62"/>
    <w:pPr>
      <w:tabs>
        <w:tab w:val="right" w:pos="9360"/>
      </w:tabs>
      <w:suppressAutoHyphens/>
    </w:pPr>
  </w:style>
  <w:style w:type="character" w:customStyle="1" w:styleId="EquationCaption">
    <w:name w:val="_Equation Caption"/>
    <w:rsid w:val="00625F62"/>
  </w:style>
  <w:style w:type="paragraph" w:styleId="Header">
    <w:name w:val="header"/>
    <w:basedOn w:val="Normal"/>
    <w:autoRedefine/>
    <w:rsid w:val="00D87812"/>
    <w:pPr>
      <w:pBdr>
        <w:bottom w:val="single" w:sz="12" w:space="1" w:color="auto"/>
      </w:pBdr>
      <w:tabs>
        <w:tab w:val="center" w:pos="4680"/>
        <w:tab w:val="right" w:pos="9360"/>
      </w:tabs>
    </w:pPr>
    <w:rPr>
      <w:rFonts w:ascii="Times New Roman" w:hAnsi="Times New Roman" w:cs="Times New Roman"/>
      <w:b/>
    </w:rPr>
  </w:style>
  <w:style w:type="paragraph" w:styleId="Footer">
    <w:name w:val="footer"/>
    <w:basedOn w:val="Normal"/>
    <w:rsid w:val="00625F62"/>
    <w:pPr>
      <w:tabs>
        <w:tab w:val="center" w:pos="4320"/>
        <w:tab w:val="right" w:pos="8640"/>
      </w:tabs>
    </w:pPr>
  </w:style>
  <w:style w:type="character" w:styleId="PageNumber">
    <w:name w:val="page number"/>
    <w:basedOn w:val="DefaultParagraphFont"/>
    <w:rsid w:val="00625F62"/>
  </w:style>
  <w:style w:type="paragraph" w:styleId="BlockText">
    <w:name w:val="Block Text"/>
    <w:basedOn w:val="Normal"/>
    <w:rsid w:val="00625F62"/>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rsid w:val="00625F62"/>
    <w:pPr>
      <w:numPr>
        <w:numId w:val="1"/>
      </w:numPr>
      <w:tabs>
        <w:tab w:val="clear" w:pos="360"/>
        <w:tab w:val="left" w:pos="2160"/>
      </w:tabs>
      <w:spacing w:after="220"/>
      <w:ind w:left="2160" w:hanging="720"/>
    </w:pPr>
  </w:style>
  <w:style w:type="paragraph" w:customStyle="1" w:styleId="TableFormat">
    <w:name w:val="TableFormat"/>
    <w:basedOn w:val="Bullet"/>
    <w:rsid w:val="00625F62"/>
    <w:pPr>
      <w:numPr>
        <w:numId w:val="0"/>
      </w:num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lang w:val="x-none" w:eastAsia="x-none"/>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886ED0"/>
  </w:style>
  <w:style w:type="paragraph" w:customStyle="1" w:styleId="Paratitle">
    <w:name w:val="Para title"/>
    <w:basedOn w:val="Normal"/>
    <w:rsid w:val="00625F62"/>
    <w:pPr>
      <w:tabs>
        <w:tab w:val="center" w:pos="9270"/>
      </w:tabs>
      <w:spacing w:after="240"/>
    </w:pPr>
    <w:rPr>
      <w:spacing w:val="-2"/>
    </w:rPr>
  </w:style>
  <w:style w:type="paragraph" w:customStyle="1" w:styleId="TOCTitle">
    <w:name w:val="TOC Title"/>
    <w:basedOn w:val="Normal"/>
    <w:rsid w:val="00625F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F62"/>
    <w:pPr>
      <w:jc w:val="center"/>
    </w:pPr>
    <w:rPr>
      <w:rFonts w:ascii="Times New Roman Bold" w:hAnsi="Times New Roman Bold"/>
      <w:b/>
      <w:bCs/>
      <w:caps/>
    </w:rPr>
  </w:style>
  <w:style w:type="character" w:styleId="Hyperlink">
    <w:name w:val="Hyperlink"/>
    <w:basedOn w:val="DefaultParagraphFont"/>
    <w:rsid w:val="0062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58843">
      <w:bodyDiv w:val="1"/>
      <w:marLeft w:val="0"/>
      <w:marRight w:val="0"/>
      <w:marTop w:val="0"/>
      <w:marBottom w:val="0"/>
      <w:divBdr>
        <w:top w:val="none" w:sz="0" w:space="0" w:color="auto"/>
        <w:left w:val="none" w:sz="0" w:space="0" w:color="auto"/>
        <w:bottom w:val="none" w:sz="0" w:space="0" w:color="auto"/>
        <w:right w:val="none" w:sz="0" w:space="0" w:color="auto"/>
      </w:divBdr>
      <w:divsChild>
        <w:div w:id="565381153">
          <w:marLeft w:val="0"/>
          <w:marRight w:val="0"/>
          <w:marTop w:val="0"/>
          <w:marBottom w:val="0"/>
          <w:divBdr>
            <w:top w:val="none" w:sz="0" w:space="0" w:color="auto"/>
            <w:left w:val="none" w:sz="0" w:space="0" w:color="auto"/>
            <w:bottom w:val="none" w:sz="0" w:space="0" w:color="auto"/>
            <w:right w:val="none" w:sz="0" w:space="0" w:color="auto"/>
          </w:divBdr>
          <w:divsChild>
            <w:div w:id="16882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9800</Characters>
  <Application>Microsoft Office Word</Application>
  <DocSecurity>0</DocSecurity>
  <Lines>155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2013-08-16T19:21:00Z</dcterms:created>
  <dcterms:modified xsi:type="dcterms:W3CDTF">2013-08-16T19:21:00Z</dcterms:modified>
  <cp:category> </cp:category>
  <cp:contentStatus> </cp:contentStatus>
</cp:coreProperties>
</file>