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725" w:rsidRPr="001F517D" w:rsidRDefault="00236725" w:rsidP="00236725">
      <w:pPr>
        <w:jc w:val="center"/>
        <w:rPr>
          <w:b/>
          <w:sz w:val="24"/>
          <w:szCs w:val="24"/>
        </w:rPr>
      </w:pPr>
      <w:bookmarkStart w:id="0" w:name="_GoBack"/>
      <w:bookmarkEnd w:id="0"/>
      <w:r w:rsidRPr="001F517D">
        <w:rPr>
          <w:b/>
          <w:sz w:val="24"/>
          <w:szCs w:val="24"/>
        </w:rPr>
        <w:t>STATEMENT OF</w:t>
      </w:r>
    </w:p>
    <w:p w:rsidR="00236725" w:rsidRPr="001F517D" w:rsidRDefault="00163578" w:rsidP="00236725">
      <w:pPr>
        <w:jc w:val="center"/>
        <w:rPr>
          <w:b/>
          <w:sz w:val="24"/>
          <w:szCs w:val="24"/>
        </w:rPr>
      </w:pPr>
      <w:r w:rsidRPr="001F517D">
        <w:rPr>
          <w:b/>
          <w:sz w:val="24"/>
          <w:szCs w:val="24"/>
        </w:rPr>
        <w:t xml:space="preserve">ACTING </w:t>
      </w:r>
      <w:r w:rsidR="00236725" w:rsidRPr="001F517D">
        <w:rPr>
          <w:b/>
          <w:sz w:val="24"/>
          <w:szCs w:val="24"/>
        </w:rPr>
        <w:t>CHAIRWOMAN MIGNON CLYBURN</w:t>
      </w:r>
    </w:p>
    <w:p w:rsidR="00236725" w:rsidRPr="001F517D" w:rsidRDefault="00236725" w:rsidP="00236725">
      <w:pPr>
        <w:jc w:val="center"/>
        <w:rPr>
          <w:b/>
          <w:sz w:val="24"/>
          <w:szCs w:val="24"/>
        </w:rPr>
      </w:pPr>
    </w:p>
    <w:p w:rsidR="00236725" w:rsidRPr="000F53BE" w:rsidRDefault="00236725" w:rsidP="00EF38EB">
      <w:pPr>
        <w:ind w:left="720" w:right="-18" w:hanging="720"/>
        <w:rPr>
          <w:b/>
          <w:sz w:val="24"/>
          <w:szCs w:val="24"/>
        </w:rPr>
      </w:pPr>
      <w:r w:rsidRPr="000F53BE">
        <w:rPr>
          <w:b/>
          <w:sz w:val="24"/>
          <w:szCs w:val="24"/>
        </w:rPr>
        <w:t>Re:</w:t>
      </w:r>
      <w:r w:rsidRPr="000F53BE">
        <w:rPr>
          <w:b/>
          <w:sz w:val="24"/>
          <w:szCs w:val="24"/>
        </w:rPr>
        <w:tab/>
      </w:r>
      <w:r w:rsidR="00EF38EB" w:rsidRPr="000F53BE">
        <w:rPr>
          <w:b/>
          <w:i/>
          <w:sz w:val="24"/>
          <w:szCs w:val="24"/>
        </w:rPr>
        <w:t>Bloomberg L.P., Complainant v. Comcast Cable Communications, LLC, Defendant</w:t>
      </w:r>
      <w:r w:rsidRPr="000F53BE">
        <w:rPr>
          <w:b/>
          <w:sz w:val="24"/>
          <w:szCs w:val="24"/>
        </w:rPr>
        <w:t>, MB Docket No. 1</w:t>
      </w:r>
      <w:r w:rsidR="00EF38EB" w:rsidRPr="000F53BE">
        <w:rPr>
          <w:b/>
          <w:sz w:val="24"/>
          <w:szCs w:val="24"/>
        </w:rPr>
        <w:t>1</w:t>
      </w:r>
      <w:r w:rsidRPr="000F53BE">
        <w:rPr>
          <w:b/>
          <w:sz w:val="24"/>
          <w:szCs w:val="24"/>
        </w:rPr>
        <w:t>-</w:t>
      </w:r>
      <w:r w:rsidR="00EF38EB" w:rsidRPr="000F53BE">
        <w:rPr>
          <w:b/>
          <w:sz w:val="24"/>
          <w:szCs w:val="24"/>
        </w:rPr>
        <w:t>104</w:t>
      </w:r>
    </w:p>
    <w:p w:rsidR="00236725" w:rsidRPr="001F517D" w:rsidRDefault="00236725" w:rsidP="00236725">
      <w:pPr>
        <w:suppressAutoHyphens w:val="0"/>
        <w:ind w:firstLine="720"/>
        <w:rPr>
          <w:sz w:val="24"/>
          <w:szCs w:val="24"/>
          <w:lang w:eastAsia="en-US"/>
        </w:rPr>
      </w:pPr>
    </w:p>
    <w:p w:rsidR="00FC51CF" w:rsidRDefault="005646BF" w:rsidP="00585AB0">
      <w:pPr>
        <w:suppressAutoHyphens w:val="0"/>
        <w:ind w:firstLine="720"/>
        <w:rPr>
          <w:sz w:val="24"/>
          <w:szCs w:val="24"/>
          <w:lang w:eastAsia="en-US"/>
        </w:rPr>
      </w:pPr>
      <w:r>
        <w:rPr>
          <w:sz w:val="24"/>
          <w:szCs w:val="24"/>
          <w:lang w:eastAsia="en-US"/>
        </w:rPr>
        <w:t>Anyone around in early 2011 knows that I had</w:t>
      </w:r>
      <w:r w:rsidR="00502522">
        <w:rPr>
          <w:sz w:val="24"/>
          <w:szCs w:val="24"/>
          <w:lang w:eastAsia="en-US"/>
        </w:rPr>
        <w:t xml:space="preserve"> </w:t>
      </w:r>
      <w:r w:rsidR="00F726B9">
        <w:rPr>
          <w:sz w:val="24"/>
          <w:szCs w:val="24"/>
          <w:lang w:eastAsia="en-US"/>
        </w:rPr>
        <w:t xml:space="preserve">many </w:t>
      </w:r>
      <w:r w:rsidR="009923B9">
        <w:rPr>
          <w:sz w:val="24"/>
          <w:szCs w:val="24"/>
          <w:lang w:eastAsia="en-US"/>
        </w:rPr>
        <w:t>concerns</w:t>
      </w:r>
      <w:r w:rsidR="00502522">
        <w:rPr>
          <w:sz w:val="24"/>
          <w:szCs w:val="24"/>
          <w:lang w:eastAsia="en-US"/>
        </w:rPr>
        <w:t xml:space="preserve"> about the </w:t>
      </w:r>
      <w:r>
        <w:rPr>
          <w:sz w:val="24"/>
          <w:szCs w:val="24"/>
          <w:lang w:eastAsia="en-US"/>
        </w:rPr>
        <w:t>Comcast-NBC Universal deal</w:t>
      </w:r>
      <w:r w:rsidR="00502522">
        <w:rPr>
          <w:sz w:val="24"/>
          <w:szCs w:val="24"/>
          <w:lang w:eastAsia="en-US"/>
        </w:rPr>
        <w:t>, which combined</w:t>
      </w:r>
      <w:r w:rsidR="00923327" w:rsidRPr="001F517D">
        <w:rPr>
          <w:sz w:val="24"/>
          <w:szCs w:val="24"/>
          <w:lang w:eastAsia="en-US"/>
        </w:rPr>
        <w:t xml:space="preserve"> the nation’s largest cable operator with the nation’s fourth largest owner of national cable networks. </w:t>
      </w:r>
      <w:r w:rsidR="00502522">
        <w:rPr>
          <w:sz w:val="24"/>
          <w:szCs w:val="24"/>
          <w:lang w:eastAsia="en-US"/>
        </w:rPr>
        <w:t>Ultimatel</w:t>
      </w:r>
      <w:r w:rsidR="00F726B9">
        <w:rPr>
          <w:sz w:val="24"/>
          <w:szCs w:val="24"/>
          <w:lang w:eastAsia="en-US"/>
        </w:rPr>
        <w:t>y, I voted to approve the transac</w:t>
      </w:r>
      <w:r w:rsidR="00502522">
        <w:rPr>
          <w:sz w:val="24"/>
          <w:szCs w:val="24"/>
          <w:lang w:eastAsia="en-US"/>
        </w:rPr>
        <w:t>tion because I believed that if the parties lived up to their voluntary commitments and the conditions we imposed on them, the deal would result in more benefits to consumers than harms. That’s why</w:t>
      </w:r>
      <w:r w:rsidR="00923327" w:rsidRPr="001F517D">
        <w:rPr>
          <w:sz w:val="24"/>
          <w:szCs w:val="24"/>
          <w:lang w:eastAsia="en-US"/>
        </w:rPr>
        <w:t xml:space="preserve"> </w:t>
      </w:r>
      <w:r w:rsidR="00502522" w:rsidRPr="001F517D">
        <w:rPr>
          <w:sz w:val="24"/>
          <w:szCs w:val="24"/>
          <w:lang w:eastAsia="en-US"/>
        </w:rPr>
        <w:t>I am pleased that we are</w:t>
      </w:r>
      <w:r w:rsidR="00502522">
        <w:rPr>
          <w:sz w:val="24"/>
          <w:szCs w:val="24"/>
          <w:lang w:eastAsia="en-US"/>
        </w:rPr>
        <w:t xml:space="preserve"> taking this step today to</w:t>
      </w:r>
      <w:r w:rsidR="00502522" w:rsidRPr="001F517D">
        <w:rPr>
          <w:sz w:val="24"/>
          <w:szCs w:val="24"/>
          <w:lang w:eastAsia="en-US"/>
        </w:rPr>
        <w:t xml:space="preserve"> hold Comcast to </w:t>
      </w:r>
      <w:r w:rsidR="00502522">
        <w:rPr>
          <w:sz w:val="24"/>
          <w:szCs w:val="24"/>
          <w:lang w:eastAsia="en-US"/>
        </w:rPr>
        <w:t>one of its</w:t>
      </w:r>
      <w:r w:rsidR="00502522" w:rsidRPr="001F517D">
        <w:rPr>
          <w:sz w:val="24"/>
          <w:szCs w:val="24"/>
          <w:lang w:eastAsia="en-US"/>
        </w:rPr>
        <w:t xml:space="preserve"> commitments</w:t>
      </w:r>
      <w:r w:rsidR="00502522">
        <w:rPr>
          <w:sz w:val="24"/>
          <w:szCs w:val="24"/>
          <w:lang w:eastAsia="en-US"/>
        </w:rPr>
        <w:t>.</w:t>
      </w:r>
    </w:p>
    <w:p w:rsidR="000A1917" w:rsidRPr="001F517D" w:rsidRDefault="000A1917" w:rsidP="00585AB0">
      <w:pPr>
        <w:suppressAutoHyphens w:val="0"/>
        <w:ind w:firstLine="720"/>
        <w:rPr>
          <w:sz w:val="24"/>
          <w:szCs w:val="24"/>
          <w:lang w:eastAsia="en-US"/>
        </w:rPr>
      </w:pPr>
    </w:p>
    <w:p w:rsidR="00610B83" w:rsidRDefault="00F52B96" w:rsidP="00585AB0">
      <w:pPr>
        <w:suppressAutoHyphens w:val="0"/>
        <w:ind w:firstLine="720"/>
        <w:rPr>
          <w:sz w:val="24"/>
          <w:szCs w:val="24"/>
          <w:lang w:eastAsia="en-US"/>
        </w:rPr>
      </w:pPr>
      <w:r w:rsidRPr="001F517D">
        <w:rPr>
          <w:sz w:val="24"/>
          <w:szCs w:val="24"/>
          <w:lang w:eastAsia="en-US"/>
        </w:rPr>
        <w:t xml:space="preserve">In the Order approving </w:t>
      </w:r>
      <w:r w:rsidR="00577479">
        <w:rPr>
          <w:sz w:val="24"/>
          <w:szCs w:val="24"/>
          <w:lang w:eastAsia="en-US"/>
        </w:rPr>
        <w:t>Comcast-NBCU</w:t>
      </w:r>
      <w:r w:rsidRPr="001F517D">
        <w:rPr>
          <w:sz w:val="24"/>
          <w:szCs w:val="24"/>
          <w:lang w:eastAsia="en-US"/>
        </w:rPr>
        <w:t>, t</w:t>
      </w:r>
      <w:r w:rsidR="00923327" w:rsidRPr="001F517D">
        <w:rPr>
          <w:sz w:val="24"/>
          <w:szCs w:val="24"/>
          <w:lang w:eastAsia="en-US"/>
        </w:rPr>
        <w:t xml:space="preserve">he Commission recognized that </w:t>
      </w:r>
      <w:r w:rsidR="00C94868">
        <w:rPr>
          <w:sz w:val="24"/>
          <w:szCs w:val="24"/>
          <w:lang w:eastAsia="en-US"/>
        </w:rPr>
        <w:t xml:space="preserve">as a combined entity, </w:t>
      </w:r>
      <w:r w:rsidR="00577479">
        <w:rPr>
          <w:sz w:val="24"/>
          <w:szCs w:val="24"/>
          <w:lang w:eastAsia="en-US"/>
        </w:rPr>
        <w:t>they</w:t>
      </w:r>
      <w:r w:rsidR="00C94868">
        <w:rPr>
          <w:sz w:val="24"/>
          <w:szCs w:val="24"/>
          <w:lang w:eastAsia="en-US"/>
        </w:rPr>
        <w:t xml:space="preserve"> </w:t>
      </w:r>
      <w:r w:rsidR="00923327" w:rsidRPr="001F517D">
        <w:rPr>
          <w:sz w:val="24"/>
          <w:szCs w:val="24"/>
          <w:lang w:eastAsia="en-US"/>
        </w:rPr>
        <w:t>would have “</w:t>
      </w:r>
      <w:r w:rsidR="00A3238F" w:rsidRPr="00D00469">
        <w:rPr>
          <w:sz w:val="24"/>
          <w:szCs w:val="24"/>
          <w:lang w:eastAsia="en-US"/>
        </w:rPr>
        <w:t>increased ability and incentive to harm competition in video programming by engaging in foreclosure strategies or other discriminatory actions against unaffiliated video programming networks</w:t>
      </w:r>
      <w:r w:rsidR="00923327" w:rsidRPr="001F517D">
        <w:rPr>
          <w:sz w:val="24"/>
          <w:szCs w:val="24"/>
          <w:lang w:eastAsia="en-US"/>
        </w:rPr>
        <w:t>.”</w:t>
      </w:r>
      <w:r w:rsidRPr="001F517D">
        <w:rPr>
          <w:rStyle w:val="FootnoteReference"/>
          <w:sz w:val="24"/>
          <w:szCs w:val="24"/>
          <w:lang w:eastAsia="en-US"/>
        </w:rPr>
        <w:footnoteReference w:id="1"/>
      </w:r>
      <w:r w:rsidRPr="001F517D">
        <w:rPr>
          <w:sz w:val="24"/>
          <w:szCs w:val="24"/>
          <w:lang w:eastAsia="en-US"/>
        </w:rPr>
        <w:t xml:space="preserve">  </w:t>
      </w:r>
      <w:r w:rsidR="00C94868">
        <w:rPr>
          <w:sz w:val="24"/>
          <w:szCs w:val="24"/>
          <w:lang w:eastAsia="en-US"/>
        </w:rPr>
        <w:t>The Commission expressed concern that Comcast-NBCU could “</w:t>
      </w:r>
      <w:r w:rsidR="00C94868" w:rsidRPr="00C94868">
        <w:rPr>
          <w:sz w:val="24"/>
          <w:szCs w:val="24"/>
          <w:lang w:eastAsia="en-US"/>
        </w:rPr>
        <w:t>reduce the viewership of competing video programming networks, which in turn could render these networks less attractive to advertisers, thus reducing their revenues and profits.</w:t>
      </w:r>
      <w:r w:rsidR="00C94868">
        <w:rPr>
          <w:sz w:val="24"/>
          <w:szCs w:val="24"/>
          <w:lang w:eastAsia="en-US"/>
        </w:rPr>
        <w:t>”</w:t>
      </w:r>
      <w:r w:rsidR="00C94868" w:rsidRPr="001F517D">
        <w:rPr>
          <w:rStyle w:val="FootnoteReference"/>
          <w:sz w:val="24"/>
          <w:szCs w:val="24"/>
          <w:lang w:eastAsia="en-US"/>
        </w:rPr>
        <w:footnoteReference w:id="2"/>
      </w:r>
      <w:r w:rsidR="00C94868">
        <w:rPr>
          <w:sz w:val="24"/>
          <w:szCs w:val="24"/>
          <w:lang w:eastAsia="en-US"/>
        </w:rPr>
        <w:t xml:space="preserve">  </w:t>
      </w:r>
      <w:r w:rsidR="00420C9D">
        <w:rPr>
          <w:sz w:val="24"/>
          <w:szCs w:val="24"/>
          <w:lang w:eastAsia="en-US"/>
        </w:rPr>
        <w:t>T</w:t>
      </w:r>
      <w:r w:rsidR="00FB128C">
        <w:rPr>
          <w:sz w:val="24"/>
          <w:szCs w:val="24"/>
          <w:lang w:eastAsia="en-US"/>
        </w:rPr>
        <w:t xml:space="preserve">he Commission </w:t>
      </w:r>
      <w:r w:rsidR="00420C9D">
        <w:rPr>
          <w:sz w:val="24"/>
          <w:szCs w:val="24"/>
          <w:lang w:eastAsia="en-US"/>
        </w:rPr>
        <w:t xml:space="preserve">recognized that news programming is particularly important to the public interest.  </w:t>
      </w:r>
      <w:r w:rsidRPr="001F517D">
        <w:rPr>
          <w:sz w:val="24"/>
          <w:szCs w:val="24"/>
          <w:lang w:eastAsia="en-US"/>
        </w:rPr>
        <w:t>Th</w:t>
      </w:r>
      <w:r w:rsidR="00610B83" w:rsidRPr="001F517D">
        <w:rPr>
          <w:sz w:val="24"/>
          <w:szCs w:val="24"/>
          <w:lang w:eastAsia="en-US"/>
        </w:rPr>
        <w:t>e</w:t>
      </w:r>
      <w:r w:rsidR="00D00469">
        <w:rPr>
          <w:sz w:val="24"/>
          <w:szCs w:val="24"/>
          <w:lang w:eastAsia="en-US"/>
        </w:rPr>
        <w:t>refore,</w:t>
      </w:r>
      <w:r w:rsidR="00610B83" w:rsidRPr="001F517D">
        <w:rPr>
          <w:sz w:val="24"/>
          <w:szCs w:val="24"/>
          <w:lang w:eastAsia="en-US"/>
        </w:rPr>
        <w:t xml:space="preserve"> </w:t>
      </w:r>
      <w:r w:rsidRPr="001F517D">
        <w:rPr>
          <w:sz w:val="24"/>
          <w:szCs w:val="24"/>
          <w:lang w:eastAsia="en-US"/>
        </w:rPr>
        <w:t>t</w:t>
      </w:r>
      <w:r w:rsidR="00610B83" w:rsidRPr="001F517D">
        <w:rPr>
          <w:sz w:val="24"/>
          <w:szCs w:val="24"/>
          <w:lang w:eastAsia="en-US"/>
        </w:rPr>
        <w:t xml:space="preserve">he </w:t>
      </w:r>
      <w:r w:rsidRPr="001F517D">
        <w:rPr>
          <w:sz w:val="24"/>
          <w:szCs w:val="24"/>
          <w:lang w:eastAsia="en-US"/>
        </w:rPr>
        <w:t xml:space="preserve">Commission adopted the news </w:t>
      </w:r>
      <w:r w:rsidR="00463757">
        <w:rPr>
          <w:sz w:val="24"/>
          <w:szCs w:val="24"/>
          <w:lang w:eastAsia="en-US"/>
        </w:rPr>
        <w:t>“</w:t>
      </w:r>
      <w:r w:rsidRPr="001F517D">
        <w:rPr>
          <w:sz w:val="24"/>
          <w:szCs w:val="24"/>
          <w:lang w:eastAsia="en-US"/>
        </w:rPr>
        <w:t>neighborhooding</w:t>
      </w:r>
      <w:r w:rsidR="00463757">
        <w:rPr>
          <w:sz w:val="24"/>
          <w:szCs w:val="24"/>
          <w:lang w:eastAsia="en-US"/>
        </w:rPr>
        <w:t>”</w:t>
      </w:r>
      <w:r w:rsidRPr="001F517D">
        <w:rPr>
          <w:sz w:val="24"/>
          <w:szCs w:val="24"/>
          <w:lang w:eastAsia="en-US"/>
        </w:rPr>
        <w:t xml:space="preserve"> </w:t>
      </w:r>
      <w:r w:rsidR="00610B83" w:rsidRPr="001F517D">
        <w:rPr>
          <w:sz w:val="24"/>
          <w:szCs w:val="24"/>
          <w:lang w:eastAsia="en-US"/>
        </w:rPr>
        <w:t xml:space="preserve">condition </w:t>
      </w:r>
      <w:r w:rsidRPr="001F517D">
        <w:rPr>
          <w:sz w:val="24"/>
          <w:szCs w:val="24"/>
          <w:lang w:eastAsia="en-US"/>
        </w:rPr>
        <w:t xml:space="preserve">to </w:t>
      </w:r>
      <w:r w:rsidR="00610B83" w:rsidRPr="001F517D">
        <w:rPr>
          <w:sz w:val="24"/>
          <w:szCs w:val="24"/>
          <w:lang w:eastAsia="en-US"/>
        </w:rPr>
        <w:t>guard independent news channel</w:t>
      </w:r>
      <w:r w:rsidR="00EA5E2E">
        <w:rPr>
          <w:sz w:val="24"/>
          <w:szCs w:val="24"/>
          <w:lang w:eastAsia="en-US"/>
        </w:rPr>
        <w:t>s from anticompetitive behavior</w:t>
      </w:r>
      <w:r w:rsidR="00610B83" w:rsidRPr="001F517D">
        <w:rPr>
          <w:sz w:val="24"/>
          <w:szCs w:val="24"/>
          <w:lang w:eastAsia="en-US"/>
        </w:rPr>
        <w:t xml:space="preserve"> and </w:t>
      </w:r>
      <w:r w:rsidR="00B43A0C">
        <w:rPr>
          <w:sz w:val="24"/>
          <w:szCs w:val="24"/>
          <w:lang w:eastAsia="en-US"/>
        </w:rPr>
        <w:t xml:space="preserve">to </w:t>
      </w:r>
      <w:r w:rsidR="00610B83" w:rsidRPr="001F517D">
        <w:rPr>
          <w:sz w:val="24"/>
          <w:szCs w:val="24"/>
          <w:lang w:eastAsia="en-US"/>
        </w:rPr>
        <w:t>help ensure a vibrant marketplace of ideas</w:t>
      </w:r>
      <w:r w:rsidR="00EF38EB" w:rsidRPr="001F517D">
        <w:rPr>
          <w:sz w:val="24"/>
          <w:szCs w:val="24"/>
          <w:lang w:eastAsia="en-US"/>
        </w:rPr>
        <w:t xml:space="preserve">. </w:t>
      </w:r>
    </w:p>
    <w:p w:rsidR="0067043F" w:rsidRDefault="0067043F" w:rsidP="00585AB0">
      <w:pPr>
        <w:suppressAutoHyphens w:val="0"/>
        <w:ind w:firstLine="720"/>
        <w:rPr>
          <w:sz w:val="24"/>
          <w:szCs w:val="24"/>
          <w:lang w:eastAsia="en-US"/>
        </w:rPr>
      </w:pPr>
    </w:p>
    <w:p w:rsidR="00EF38EB" w:rsidRDefault="0066370B" w:rsidP="000A1917">
      <w:pPr>
        <w:suppressAutoHyphens w:val="0"/>
        <w:ind w:firstLine="720"/>
        <w:rPr>
          <w:sz w:val="24"/>
          <w:szCs w:val="24"/>
          <w:lang w:eastAsia="en-US"/>
        </w:rPr>
      </w:pPr>
      <w:r>
        <w:rPr>
          <w:sz w:val="24"/>
          <w:szCs w:val="24"/>
          <w:lang w:eastAsia="en-US"/>
        </w:rPr>
        <w:t>In general terms, “neighborhooding” refers to the practice of grouping similarly themed TV channels together, such as sports</w:t>
      </w:r>
      <w:r w:rsidR="00E07077">
        <w:rPr>
          <w:sz w:val="24"/>
          <w:szCs w:val="24"/>
          <w:lang w:eastAsia="en-US"/>
        </w:rPr>
        <w:t>, children’s programming</w:t>
      </w:r>
      <w:r w:rsidR="00D4463A">
        <w:rPr>
          <w:sz w:val="24"/>
          <w:szCs w:val="24"/>
          <w:lang w:eastAsia="en-US"/>
        </w:rPr>
        <w:t>,</w:t>
      </w:r>
      <w:r w:rsidR="00E07077">
        <w:rPr>
          <w:sz w:val="24"/>
          <w:szCs w:val="24"/>
          <w:lang w:eastAsia="en-US"/>
        </w:rPr>
        <w:t xml:space="preserve"> or news</w:t>
      </w:r>
      <w:r>
        <w:rPr>
          <w:sz w:val="24"/>
          <w:szCs w:val="24"/>
          <w:lang w:eastAsia="en-US"/>
        </w:rPr>
        <w:t>.</w:t>
      </w:r>
      <w:r w:rsidR="00610B83" w:rsidRPr="001F517D">
        <w:rPr>
          <w:sz w:val="24"/>
          <w:szCs w:val="24"/>
          <w:lang w:eastAsia="en-US"/>
        </w:rPr>
        <w:t xml:space="preserve"> </w:t>
      </w:r>
      <w:r w:rsidR="00F52B96" w:rsidRPr="001F517D">
        <w:rPr>
          <w:sz w:val="24"/>
          <w:szCs w:val="24"/>
          <w:lang w:eastAsia="en-US"/>
        </w:rPr>
        <w:t>Today’s decision interprets the news neighborhooding condition in the most</w:t>
      </w:r>
      <w:r w:rsidR="00956CD7" w:rsidRPr="001F517D">
        <w:rPr>
          <w:sz w:val="24"/>
          <w:szCs w:val="24"/>
          <w:lang w:eastAsia="en-US"/>
        </w:rPr>
        <w:t xml:space="preserve"> reasonable way</w:t>
      </w:r>
      <w:r w:rsidR="00F52B96" w:rsidRPr="001F517D">
        <w:rPr>
          <w:sz w:val="24"/>
          <w:szCs w:val="24"/>
          <w:lang w:eastAsia="en-US"/>
        </w:rPr>
        <w:t xml:space="preserve">.  </w:t>
      </w:r>
      <w:r w:rsidR="003B1723" w:rsidRPr="001F517D">
        <w:rPr>
          <w:sz w:val="24"/>
          <w:szCs w:val="24"/>
          <w:lang w:eastAsia="en-US"/>
        </w:rPr>
        <w:t>It is an interpretation that is supported by the record.  It is an interpretation that</w:t>
      </w:r>
      <w:r w:rsidR="00F52B96" w:rsidRPr="001F517D">
        <w:rPr>
          <w:sz w:val="24"/>
          <w:szCs w:val="24"/>
          <w:lang w:eastAsia="en-US"/>
        </w:rPr>
        <w:t xml:space="preserve"> aligns with</w:t>
      </w:r>
      <w:r w:rsidR="00956CD7" w:rsidRPr="001F517D">
        <w:rPr>
          <w:sz w:val="24"/>
          <w:szCs w:val="24"/>
          <w:lang w:eastAsia="en-US"/>
        </w:rPr>
        <w:t xml:space="preserve"> industry</w:t>
      </w:r>
      <w:r w:rsidR="005320C9">
        <w:rPr>
          <w:sz w:val="24"/>
          <w:szCs w:val="24"/>
          <w:lang w:eastAsia="en-US"/>
        </w:rPr>
        <w:t xml:space="preserve"> and consumer</w:t>
      </w:r>
      <w:r w:rsidR="00956CD7" w:rsidRPr="001F517D">
        <w:rPr>
          <w:sz w:val="24"/>
          <w:szCs w:val="24"/>
          <w:lang w:eastAsia="en-US"/>
        </w:rPr>
        <w:t xml:space="preserve"> practices.  </w:t>
      </w:r>
      <w:r w:rsidR="003B1723" w:rsidRPr="001F517D">
        <w:rPr>
          <w:sz w:val="24"/>
          <w:szCs w:val="24"/>
          <w:lang w:eastAsia="en-US"/>
        </w:rPr>
        <w:t>And most importantly, it is an interpretation that protects independent news channels from anticompetitive harms</w:t>
      </w:r>
      <w:r w:rsidR="00EA5E2E">
        <w:rPr>
          <w:sz w:val="24"/>
          <w:szCs w:val="24"/>
          <w:lang w:eastAsia="en-US"/>
        </w:rPr>
        <w:t>,</w:t>
      </w:r>
      <w:r w:rsidR="003B1723" w:rsidRPr="001F517D">
        <w:rPr>
          <w:sz w:val="24"/>
          <w:szCs w:val="24"/>
          <w:lang w:eastAsia="en-US"/>
        </w:rPr>
        <w:t xml:space="preserve"> as the Commission intended.</w:t>
      </w:r>
    </w:p>
    <w:p w:rsidR="00D00469" w:rsidRDefault="00D00469" w:rsidP="00585AB0">
      <w:pPr>
        <w:suppressAutoHyphens w:val="0"/>
        <w:ind w:firstLine="720"/>
        <w:rPr>
          <w:sz w:val="24"/>
          <w:szCs w:val="24"/>
          <w:lang w:eastAsia="en-US"/>
        </w:rPr>
      </w:pPr>
    </w:p>
    <w:p w:rsidR="00D00469" w:rsidRDefault="00D00469" w:rsidP="00D00469">
      <w:pPr>
        <w:suppressAutoHyphens w:val="0"/>
        <w:ind w:firstLine="720"/>
        <w:rPr>
          <w:sz w:val="24"/>
          <w:szCs w:val="24"/>
          <w:lang w:eastAsia="en-US"/>
        </w:rPr>
      </w:pPr>
      <w:r>
        <w:rPr>
          <w:sz w:val="24"/>
          <w:szCs w:val="24"/>
          <w:lang w:eastAsia="en-US"/>
        </w:rPr>
        <w:t>When the Commission adopted this condition, my colleagues and I were concerned that Comcast-NBCU would include its affiliated programming in news neighborhoods and leave an independent news channel on an island to itself.  The record in this proceeding corroborates our concern</w:t>
      </w:r>
      <w:r w:rsidR="0066370B">
        <w:rPr>
          <w:sz w:val="24"/>
          <w:szCs w:val="24"/>
          <w:lang w:eastAsia="en-US"/>
        </w:rPr>
        <w:t>.</w:t>
      </w:r>
      <w:r>
        <w:rPr>
          <w:sz w:val="24"/>
          <w:szCs w:val="24"/>
          <w:lang w:eastAsia="en-US"/>
        </w:rPr>
        <w:t xml:space="preserve">  Comcast overwhelmingly includes affiliated programming in neighborhoods of four news channels in five adjacent channel positions.  CNBC is included in a news neighborhood in 99 percent of lineups</w:t>
      </w:r>
      <w:r w:rsidR="00F726B9">
        <w:rPr>
          <w:sz w:val="24"/>
          <w:szCs w:val="24"/>
          <w:lang w:eastAsia="en-US"/>
        </w:rPr>
        <w:t xml:space="preserve"> </w:t>
      </w:r>
      <w:r>
        <w:rPr>
          <w:sz w:val="24"/>
          <w:szCs w:val="24"/>
          <w:lang w:eastAsia="en-US"/>
        </w:rPr>
        <w:t>that have news neighborhoods</w:t>
      </w:r>
      <w:r w:rsidR="0066370B">
        <w:rPr>
          <w:sz w:val="24"/>
          <w:szCs w:val="24"/>
          <w:lang w:eastAsia="en-US"/>
        </w:rPr>
        <w:t>. For MSNBC, it’s 98 percent</w:t>
      </w:r>
      <w:r>
        <w:rPr>
          <w:sz w:val="24"/>
          <w:szCs w:val="24"/>
          <w:lang w:eastAsia="en-US"/>
        </w:rPr>
        <w:t>.</w:t>
      </w:r>
      <w:r>
        <w:rPr>
          <w:rStyle w:val="FootnoteReference"/>
          <w:sz w:val="24"/>
          <w:szCs w:val="24"/>
          <w:lang w:eastAsia="en-US"/>
        </w:rPr>
        <w:footnoteReference w:id="3"/>
      </w:r>
      <w:r>
        <w:rPr>
          <w:sz w:val="24"/>
          <w:szCs w:val="24"/>
          <w:lang w:eastAsia="en-US"/>
        </w:rPr>
        <w:t xml:space="preserve">  This is for good reason:  the record also </w:t>
      </w:r>
      <w:r>
        <w:rPr>
          <w:sz w:val="24"/>
          <w:szCs w:val="24"/>
          <w:lang w:eastAsia="en-US"/>
        </w:rPr>
        <w:lastRenderedPageBreak/>
        <w:t>reflects that consumers tend to “flip” between channels, particularly during breaking news events.</w:t>
      </w:r>
      <w:r>
        <w:rPr>
          <w:rStyle w:val="FootnoteReference"/>
          <w:sz w:val="24"/>
          <w:szCs w:val="24"/>
          <w:lang w:eastAsia="en-US"/>
        </w:rPr>
        <w:footnoteReference w:id="4"/>
      </w:r>
      <w:r>
        <w:rPr>
          <w:sz w:val="24"/>
          <w:szCs w:val="24"/>
          <w:lang w:eastAsia="en-US"/>
        </w:rPr>
        <w:t xml:space="preserve">  Consumers’ tendency to “flip” also explains why a grouping of four news channels in five adjacent channel positions is so significant.  Once a viewer finds a channel grouping like that, she is unlikely to hunt around the dial for other news channels</w:t>
      </w:r>
      <w:r w:rsidR="00E07077">
        <w:rPr>
          <w:sz w:val="24"/>
          <w:szCs w:val="24"/>
          <w:lang w:eastAsia="en-US"/>
        </w:rPr>
        <w:t xml:space="preserve">. </w:t>
      </w:r>
      <w:r w:rsidR="000A1917">
        <w:rPr>
          <w:sz w:val="24"/>
          <w:szCs w:val="24"/>
          <w:lang w:eastAsia="en-US"/>
        </w:rPr>
        <w:t xml:space="preserve"> </w:t>
      </w:r>
      <w:r w:rsidR="00B8691D">
        <w:rPr>
          <w:sz w:val="24"/>
          <w:szCs w:val="24"/>
          <w:lang w:eastAsia="en-US"/>
        </w:rPr>
        <w:t>So, to sum up, if you are a news channel, you’d better be located in the “news neighborhood</w:t>
      </w:r>
      <w:r w:rsidR="00577479">
        <w:rPr>
          <w:sz w:val="24"/>
          <w:szCs w:val="24"/>
          <w:lang w:eastAsia="en-US"/>
        </w:rPr>
        <w:t>,</w:t>
      </w:r>
      <w:r w:rsidR="00B8691D">
        <w:rPr>
          <w:sz w:val="24"/>
          <w:szCs w:val="24"/>
          <w:lang w:eastAsia="en-US"/>
        </w:rPr>
        <w:t xml:space="preserve">” or viewers are going to be significantly less likely to find you. And </w:t>
      </w:r>
      <w:r w:rsidR="000A1917">
        <w:rPr>
          <w:sz w:val="24"/>
          <w:szCs w:val="24"/>
          <w:lang w:eastAsia="en-US"/>
        </w:rPr>
        <w:t>C</w:t>
      </w:r>
      <w:r>
        <w:rPr>
          <w:sz w:val="24"/>
          <w:szCs w:val="24"/>
          <w:lang w:eastAsia="en-US"/>
        </w:rPr>
        <w:t>omcast now has an incentive to keep its competit</w:t>
      </w:r>
      <w:r w:rsidR="00577479">
        <w:rPr>
          <w:sz w:val="24"/>
          <w:szCs w:val="24"/>
          <w:lang w:eastAsia="en-US"/>
        </w:rPr>
        <w:t xml:space="preserve">ors, like Bloomberg Television, </w:t>
      </w:r>
      <w:r>
        <w:rPr>
          <w:sz w:val="24"/>
          <w:szCs w:val="24"/>
          <w:lang w:eastAsia="en-US"/>
        </w:rPr>
        <w:t xml:space="preserve">out of those news neighborhoods to deter viewers from flipping to them.  With this Order, we ensure that Comcast treats Bloomberg Television comparably to its affiliated news channels.  This will allow Bloomberg </w:t>
      </w:r>
      <w:r w:rsidR="005C796A">
        <w:rPr>
          <w:sz w:val="24"/>
          <w:szCs w:val="24"/>
          <w:lang w:eastAsia="en-US"/>
        </w:rPr>
        <w:t xml:space="preserve">Television </w:t>
      </w:r>
      <w:r>
        <w:rPr>
          <w:sz w:val="24"/>
          <w:szCs w:val="24"/>
          <w:lang w:eastAsia="en-US"/>
        </w:rPr>
        <w:t>to compete on an equal footing with its Comcast-affiliated competitors.</w:t>
      </w:r>
    </w:p>
    <w:p w:rsidR="00D00469" w:rsidRPr="00D00469" w:rsidRDefault="00D00469" w:rsidP="00585AB0">
      <w:pPr>
        <w:suppressAutoHyphens w:val="0"/>
        <w:ind w:firstLine="720"/>
        <w:rPr>
          <w:color w:val="333333"/>
          <w:sz w:val="24"/>
          <w:szCs w:val="24"/>
          <w:shd w:val="clear" w:color="auto" w:fill="FFFFFF"/>
        </w:rPr>
      </w:pPr>
    </w:p>
    <w:p w:rsidR="00956CD7" w:rsidRDefault="00420C9D" w:rsidP="00956CD7">
      <w:pPr>
        <w:suppressAutoHyphens w:val="0"/>
        <w:ind w:firstLine="720"/>
        <w:rPr>
          <w:sz w:val="24"/>
          <w:szCs w:val="24"/>
          <w:lang w:eastAsia="en-US"/>
        </w:rPr>
      </w:pPr>
      <w:r>
        <w:rPr>
          <w:sz w:val="24"/>
          <w:szCs w:val="24"/>
          <w:lang w:eastAsia="en-US"/>
        </w:rPr>
        <w:t xml:space="preserve">As a final note, my colleagues and I frequently stress that it </w:t>
      </w:r>
      <w:r w:rsidR="00FB128C">
        <w:rPr>
          <w:sz w:val="24"/>
          <w:szCs w:val="24"/>
          <w:lang w:eastAsia="en-US"/>
        </w:rPr>
        <w:t>is always important for the Commission to act swiftly on complaints.</w:t>
      </w:r>
      <w:r>
        <w:rPr>
          <w:sz w:val="24"/>
          <w:szCs w:val="24"/>
          <w:lang w:eastAsia="en-US"/>
        </w:rPr>
        <w:t xml:space="preserve">  </w:t>
      </w:r>
      <w:r w:rsidR="00956CD7" w:rsidRPr="001F517D">
        <w:rPr>
          <w:sz w:val="24"/>
          <w:szCs w:val="24"/>
          <w:lang w:eastAsia="en-US"/>
        </w:rPr>
        <w:t xml:space="preserve">It is </w:t>
      </w:r>
      <w:r w:rsidR="006058CA">
        <w:rPr>
          <w:sz w:val="24"/>
          <w:szCs w:val="24"/>
          <w:lang w:eastAsia="en-US"/>
        </w:rPr>
        <w:t>particularly</w:t>
      </w:r>
      <w:r w:rsidR="00C94868">
        <w:rPr>
          <w:sz w:val="24"/>
          <w:szCs w:val="24"/>
          <w:lang w:eastAsia="en-US"/>
        </w:rPr>
        <w:t xml:space="preserve"> </w:t>
      </w:r>
      <w:r w:rsidR="00956CD7" w:rsidRPr="001F517D">
        <w:rPr>
          <w:sz w:val="24"/>
          <w:szCs w:val="24"/>
          <w:lang w:eastAsia="en-US"/>
        </w:rPr>
        <w:t xml:space="preserve">important for us to </w:t>
      </w:r>
      <w:r w:rsidR="00FB128C">
        <w:rPr>
          <w:sz w:val="24"/>
          <w:szCs w:val="24"/>
          <w:lang w:eastAsia="en-US"/>
        </w:rPr>
        <w:t>resolve</w:t>
      </w:r>
      <w:r w:rsidR="00956CD7" w:rsidRPr="001F517D">
        <w:rPr>
          <w:sz w:val="24"/>
          <w:szCs w:val="24"/>
          <w:lang w:eastAsia="en-US"/>
        </w:rPr>
        <w:t xml:space="preserve"> </w:t>
      </w:r>
      <w:r w:rsidR="001F517D" w:rsidRPr="001F517D">
        <w:rPr>
          <w:sz w:val="24"/>
          <w:szCs w:val="24"/>
          <w:lang w:eastAsia="en-US"/>
        </w:rPr>
        <w:t xml:space="preserve">news neighborhooding </w:t>
      </w:r>
      <w:r w:rsidR="00956CD7" w:rsidRPr="001F517D">
        <w:rPr>
          <w:sz w:val="24"/>
          <w:szCs w:val="24"/>
          <w:lang w:eastAsia="en-US"/>
        </w:rPr>
        <w:t xml:space="preserve">complaints in a timely manner </w:t>
      </w:r>
      <w:r w:rsidR="00FC51CF" w:rsidRPr="001F517D">
        <w:rPr>
          <w:sz w:val="24"/>
          <w:szCs w:val="24"/>
          <w:lang w:eastAsia="en-US"/>
        </w:rPr>
        <w:t xml:space="preserve">because the </w:t>
      </w:r>
      <w:r w:rsidR="00956CD7" w:rsidRPr="001F517D">
        <w:rPr>
          <w:sz w:val="24"/>
          <w:szCs w:val="24"/>
          <w:lang w:eastAsia="en-US"/>
        </w:rPr>
        <w:t>condition</w:t>
      </w:r>
      <w:r w:rsidR="00FC51CF" w:rsidRPr="001F517D">
        <w:rPr>
          <w:sz w:val="24"/>
          <w:szCs w:val="24"/>
          <w:lang w:eastAsia="en-US"/>
        </w:rPr>
        <w:t xml:space="preserve"> will expire in less than four and a half years</w:t>
      </w:r>
      <w:r w:rsidR="00956CD7" w:rsidRPr="001F517D">
        <w:rPr>
          <w:sz w:val="24"/>
          <w:szCs w:val="24"/>
          <w:lang w:eastAsia="en-US"/>
        </w:rPr>
        <w:t xml:space="preserve">.  This was a complex proceeding with an extensive record, and </w:t>
      </w:r>
      <w:r w:rsidR="002C2A3C">
        <w:rPr>
          <w:sz w:val="24"/>
          <w:szCs w:val="24"/>
          <w:lang w:eastAsia="en-US"/>
        </w:rPr>
        <w:t>it is unusual to receive four applications for review in a proceeding with only two parties</w:t>
      </w:r>
      <w:r w:rsidR="00956CD7" w:rsidRPr="001F517D">
        <w:rPr>
          <w:sz w:val="24"/>
          <w:szCs w:val="24"/>
          <w:lang w:eastAsia="en-US"/>
        </w:rPr>
        <w:t xml:space="preserve">.  </w:t>
      </w:r>
      <w:r w:rsidR="001F517D" w:rsidRPr="001F517D">
        <w:rPr>
          <w:sz w:val="24"/>
          <w:szCs w:val="24"/>
          <w:lang w:eastAsia="en-US"/>
        </w:rPr>
        <w:t>But i</w:t>
      </w:r>
      <w:r w:rsidR="00956CD7" w:rsidRPr="001F517D">
        <w:rPr>
          <w:sz w:val="24"/>
          <w:szCs w:val="24"/>
          <w:lang w:eastAsia="en-US"/>
        </w:rPr>
        <w:t xml:space="preserve">f the Commission receives </w:t>
      </w:r>
      <w:r w:rsidR="002C2A3C">
        <w:rPr>
          <w:sz w:val="24"/>
          <w:szCs w:val="24"/>
          <w:lang w:eastAsia="en-US"/>
        </w:rPr>
        <w:t xml:space="preserve">additional </w:t>
      </w:r>
      <w:r w:rsidR="00956CD7" w:rsidRPr="001F517D">
        <w:rPr>
          <w:sz w:val="24"/>
          <w:szCs w:val="24"/>
          <w:lang w:eastAsia="en-US"/>
        </w:rPr>
        <w:t>complaints that allege violation of the news neighborhooding condition</w:t>
      </w:r>
      <w:r w:rsidR="00956CD7" w:rsidRPr="001F517D">
        <w:rPr>
          <w:sz w:val="24"/>
          <w:szCs w:val="24"/>
        </w:rPr>
        <w:t>, the groundwork laid in resolving this complaint</w:t>
      </w:r>
      <w:r w:rsidR="00956CD7" w:rsidRPr="001F517D">
        <w:rPr>
          <w:sz w:val="24"/>
          <w:szCs w:val="24"/>
          <w:lang w:eastAsia="en-US"/>
        </w:rPr>
        <w:t xml:space="preserve"> should allow us to act on those more swiftly.  Moreover, I hope that my colleagues will act quickly on other matters involving conditions adopted in connection with this transaction.  </w:t>
      </w:r>
      <w:r w:rsidR="001F517D" w:rsidRPr="001F517D">
        <w:rPr>
          <w:sz w:val="24"/>
          <w:szCs w:val="24"/>
          <w:lang w:eastAsia="en-US"/>
        </w:rPr>
        <w:t>Doing so will help safeguard the public as the Commission intended when it adopted the conditions in 2011.</w:t>
      </w:r>
    </w:p>
    <w:p w:rsidR="00B8691D" w:rsidRDefault="00B8691D" w:rsidP="00956CD7">
      <w:pPr>
        <w:suppressAutoHyphens w:val="0"/>
        <w:ind w:firstLine="720"/>
        <w:rPr>
          <w:sz w:val="24"/>
          <w:szCs w:val="24"/>
          <w:lang w:eastAsia="en-US"/>
        </w:rPr>
      </w:pPr>
    </w:p>
    <w:p w:rsidR="00B8691D" w:rsidRPr="001F517D" w:rsidRDefault="00F726B9" w:rsidP="00956CD7">
      <w:pPr>
        <w:suppressAutoHyphens w:val="0"/>
        <w:ind w:firstLine="720"/>
        <w:rPr>
          <w:sz w:val="24"/>
          <w:szCs w:val="24"/>
          <w:lang w:eastAsia="en-US"/>
        </w:rPr>
      </w:pPr>
      <w:r>
        <w:rPr>
          <w:sz w:val="24"/>
          <w:szCs w:val="24"/>
          <w:lang w:eastAsia="en-US"/>
        </w:rPr>
        <w:t>I wish to thank</w:t>
      </w:r>
      <w:r w:rsidR="00B8691D">
        <w:rPr>
          <w:sz w:val="24"/>
          <w:szCs w:val="24"/>
          <w:lang w:eastAsia="en-US"/>
        </w:rPr>
        <w:t xml:space="preserve"> the Media Bureau </w:t>
      </w:r>
      <w:r w:rsidR="000A1917">
        <w:rPr>
          <w:sz w:val="24"/>
          <w:szCs w:val="24"/>
          <w:lang w:eastAsia="en-US"/>
        </w:rPr>
        <w:t xml:space="preserve">staff </w:t>
      </w:r>
      <w:r w:rsidR="00B8691D">
        <w:rPr>
          <w:sz w:val="24"/>
          <w:szCs w:val="24"/>
          <w:lang w:eastAsia="en-US"/>
        </w:rPr>
        <w:t xml:space="preserve">for their work on this item. </w:t>
      </w:r>
    </w:p>
    <w:p w:rsidR="00956CD7" w:rsidRPr="00D00469" w:rsidRDefault="00956CD7" w:rsidP="00585AB0">
      <w:pPr>
        <w:suppressAutoHyphens w:val="0"/>
        <w:ind w:firstLine="720"/>
        <w:rPr>
          <w:color w:val="333333"/>
          <w:sz w:val="24"/>
          <w:szCs w:val="24"/>
          <w:shd w:val="clear" w:color="auto" w:fill="FFFFFF"/>
        </w:rPr>
      </w:pPr>
    </w:p>
    <w:sectPr w:rsidR="00956CD7" w:rsidRPr="00D00469" w:rsidSect="00A3238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C8" w:rsidRDefault="00E874C8" w:rsidP="00236725">
      <w:r>
        <w:separator/>
      </w:r>
    </w:p>
  </w:endnote>
  <w:endnote w:type="continuationSeparator" w:id="0">
    <w:p w:rsidR="00E874C8" w:rsidRDefault="00E874C8" w:rsidP="0023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C8" w:rsidRDefault="00E874C8" w:rsidP="00236725">
      <w:r>
        <w:separator/>
      </w:r>
    </w:p>
  </w:footnote>
  <w:footnote w:type="continuationSeparator" w:id="0">
    <w:p w:rsidR="00E874C8" w:rsidRDefault="00E874C8" w:rsidP="00236725">
      <w:r>
        <w:continuationSeparator/>
      </w:r>
    </w:p>
  </w:footnote>
  <w:footnote w:id="1">
    <w:p w:rsidR="00F52B96" w:rsidRDefault="00F52B96" w:rsidP="00F52B96">
      <w:pPr>
        <w:pStyle w:val="FootnoteText"/>
      </w:pPr>
      <w:r>
        <w:rPr>
          <w:rStyle w:val="FootnoteReference"/>
        </w:rPr>
        <w:footnoteRef/>
      </w:r>
      <w:r>
        <w:t xml:space="preserve"> </w:t>
      </w:r>
      <w:r>
        <w:rPr>
          <w:i/>
        </w:rPr>
        <w:t>Applications of Comcast Corporation, General Electric Company and NBC Universal, Inc. For Consent to Assign Licenses and Transfer Control of Licensees</w:t>
      </w:r>
      <w:r>
        <w:t>, 26 FCC Rcd 4238, 4284, ¶ 116 (2011).</w:t>
      </w:r>
    </w:p>
  </w:footnote>
  <w:footnote w:id="2">
    <w:p w:rsidR="00C94868" w:rsidRDefault="00C94868" w:rsidP="00C94868">
      <w:pPr>
        <w:pStyle w:val="FootnoteText"/>
      </w:pPr>
      <w:r>
        <w:rPr>
          <w:rStyle w:val="FootnoteReference"/>
        </w:rPr>
        <w:footnoteRef/>
      </w:r>
      <w:r>
        <w:t xml:space="preserve"> </w:t>
      </w:r>
      <w:r>
        <w:rPr>
          <w:i/>
        </w:rPr>
        <w:t>Id.</w:t>
      </w:r>
      <w:r>
        <w:t xml:space="preserve"> at 4285, ¶ 116.</w:t>
      </w:r>
    </w:p>
  </w:footnote>
  <w:footnote w:id="3">
    <w:p w:rsidR="00D00469" w:rsidRDefault="00D00469" w:rsidP="00D00469">
      <w:pPr>
        <w:pStyle w:val="FootnoteText"/>
      </w:pPr>
      <w:r>
        <w:rPr>
          <w:rStyle w:val="FootnoteReference"/>
        </w:rPr>
        <w:footnoteRef/>
      </w:r>
      <w:r>
        <w:t xml:space="preserve"> Letter from David H. Solomon and J. Wade Lindsay, Counsel for Comcast Cable Communications, LLC, to William T. Lake, Chief, Media Bureau, Federal Communications Commission, at Attachment A, page 2 (filed June 21, 2012).</w:t>
      </w:r>
    </w:p>
  </w:footnote>
  <w:footnote w:id="4">
    <w:p w:rsidR="00D00469" w:rsidRDefault="00D00469" w:rsidP="00D00469">
      <w:pPr>
        <w:pStyle w:val="FootnoteText"/>
      </w:pPr>
      <w:r>
        <w:rPr>
          <w:rStyle w:val="FootnoteReference"/>
        </w:rPr>
        <w:footnoteRef/>
      </w:r>
      <w:r>
        <w:t xml:space="preserve"> </w:t>
      </w:r>
      <w:r w:rsidRPr="009D0479">
        <w:t>Bloomberg’s June 18 Opposition at 9-10 (citing Reply of Bloomberg at Exhibit B, ¶ 18; Exhibit C, ¶¶ 14, 15; Exhibit E, ¶ 19; Exhibit F, ¶¶ 13, 15, 17 (filed Aug. 30,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0DE" w:rsidRDefault="00894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725"/>
    <w:rsid w:val="00030D04"/>
    <w:rsid w:val="00032CF7"/>
    <w:rsid w:val="00072965"/>
    <w:rsid w:val="000A1917"/>
    <w:rsid w:val="000A793B"/>
    <w:rsid w:val="000E49FD"/>
    <w:rsid w:val="000F53BE"/>
    <w:rsid w:val="0011547A"/>
    <w:rsid w:val="00132236"/>
    <w:rsid w:val="00146855"/>
    <w:rsid w:val="00150E51"/>
    <w:rsid w:val="0016343D"/>
    <w:rsid w:val="00163578"/>
    <w:rsid w:val="001657B6"/>
    <w:rsid w:val="001A0BE0"/>
    <w:rsid w:val="001F517D"/>
    <w:rsid w:val="0020276C"/>
    <w:rsid w:val="00223D67"/>
    <w:rsid w:val="00236725"/>
    <w:rsid w:val="00252153"/>
    <w:rsid w:val="002A2965"/>
    <w:rsid w:val="002C2A3C"/>
    <w:rsid w:val="002F71F2"/>
    <w:rsid w:val="00321918"/>
    <w:rsid w:val="003B1723"/>
    <w:rsid w:val="003B1ABD"/>
    <w:rsid w:val="003F737B"/>
    <w:rsid w:val="00420C9D"/>
    <w:rsid w:val="00463757"/>
    <w:rsid w:val="004754ED"/>
    <w:rsid w:val="0049297C"/>
    <w:rsid w:val="004C09EE"/>
    <w:rsid w:val="004C66BF"/>
    <w:rsid w:val="00502522"/>
    <w:rsid w:val="00530B91"/>
    <w:rsid w:val="005320C9"/>
    <w:rsid w:val="00562C7A"/>
    <w:rsid w:val="005646BF"/>
    <w:rsid w:val="00577479"/>
    <w:rsid w:val="005819D5"/>
    <w:rsid w:val="00585AB0"/>
    <w:rsid w:val="005871E2"/>
    <w:rsid w:val="005950C2"/>
    <w:rsid w:val="005A40A0"/>
    <w:rsid w:val="005B3A0D"/>
    <w:rsid w:val="005C06A9"/>
    <w:rsid w:val="005C796A"/>
    <w:rsid w:val="006058CA"/>
    <w:rsid w:val="00610B83"/>
    <w:rsid w:val="0066370B"/>
    <w:rsid w:val="0067043F"/>
    <w:rsid w:val="006C497E"/>
    <w:rsid w:val="0071607D"/>
    <w:rsid w:val="00716287"/>
    <w:rsid w:val="00746FAB"/>
    <w:rsid w:val="00750576"/>
    <w:rsid w:val="008469E7"/>
    <w:rsid w:val="00857467"/>
    <w:rsid w:val="008940DE"/>
    <w:rsid w:val="008B0898"/>
    <w:rsid w:val="00923327"/>
    <w:rsid w:val="00956CD7"/>
    <w:rsid w:val="00960403"/>
    <w:rsid w:val="00976CAA"/>
    <w:rsid w:val="009923B9"/>
    <w:rsid w:val="00995ACC"/>
    <w:rsid w:val="009D6C5F"/>
    <w:rsid w:val="009E65FF"/>
    <w:rsid w:val="00A12CE0"/>
    <w:rsid w:val="00A304DA"/>
    <w:rsid w:val="00A3238F"/>
    <w:rsid w:val="00A67388"/>
    <w:rsid w:val="00A82B45"/>
    <w:rsid w:val="00A9302F"/>
    <w:rsid w:val="00AA2BD4"/>
    <w:rsid w:val="00AC0BCC"/>
    <w:rsid w:val="00AF0144"/>
    <w:rsid w:val="00AF1457"/>
    <w:rsid w:val="00AF202D"/>
    <w:rsid w:val="00B14ACA"/>
    <w:rsid w:val="00B43A0C"/>
    <w:rsid w:val="00B73AB0"/>
    <w:rsid w:val="00B8691D"/>
    <w:rsid w:val="00B93BCB"/>
    <w:rsid w:val="00B9724F"/>
    <w:rsid w:val="00BA52B2"/>
    <w:rsid w:val="00C27CBA"/>
    <w:rsid w:val="00C531E0"/>
    <w:rsid w:val="00C61176"/>
    <w:rsid w:val="00C837E1"/>
    <w:rsid w:val="00C94868"/>
    <w:rsid w:val="00CA4BB4"/>
    <w:rsid w:val="00CC19EE"/>
    <w:rsid w:val="00CE2ACD"/>
    <w:rsid w:val="00CE2F4E"/>
    <w:rsid w:val="00D00469"/>
    <w:rsid w:val="00D4463A"/>
    <w:rsid w:val="00D8774F"/>
    <w:rsid w:val="00DB1F38"/>
    <w:rsid w:val="00DD7355"/>
    <w:rsid w:val="00DF064F"/>
    <w:rsid w:val="00E07077"/>
    <w:rsid w:val="00E24536"/>
    <w:rsid w:val="00E50D8C"/>
    <w:rsid w:val="00E66B73"/>
    <w:rsid w:val="00E84F07"/>
    <w:rsid w:val="00E874C8"/>
    <w:rsid w:val="00EA5E2E"/>
    <w:rsid w:val="00EF38EB"/>
    <w:rsid w:val="00F01C4F"/>
    <w:rsid w:val="00F10C13"/>
    <w:rsid w:val="00F52B96"/>
    <w:rsid w:val="00F650AE"/>
    <w:rsid w:val="00F726B9"/>
    <w:rsid w:val="00F973D9"/>
    <w:rsid w:val="00FB128C"/>
    <w:rsid w:val="00FC51CF"/>
    <w:rsid w:val="00FE5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2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o,fr,Style 3,Appel note de bas de p,Style 12,Style 124,Style 13"/>
    <w:rsid w:val="00236725"/>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
    <w:basedOn w:val="Normal"/>
    <w:link w:val="FootnoteTextChar2"/>
    <w:rsid w:val="0023672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36725"/>
    <w:rPr>
      <w:lang w:eastAsia="ar-SA"/>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locked/>
    <w:rsid w:val="00236725"/>
    <w:rPr>
      <w:lang w:eastAsia="ar-SA"/>
    </w:rPr>
  </w:style>
  <w:style w:type="paragraph" w:styleId="BalloonText">
    <w:name w:val="Balloon Text"/>
    <w:basedOn w:val="Normal"/>
    <w:link w:val="BalloonTextChar"/>
    <w:uiPriority w:val="99"/>
    <w:semiHidden/>
    <w:unhideWhenUsed/>
    <w:rsid w:val="0011547A"/>
    <w:rPr>
      <w:rFonts w:ascii="Tahoma" w:hAnsi="Tahoma" w:cs="Tahoma"/>
      <w:sz w:val="16"/>
      <w:szCs w:val="16"/>
    </w:rPr>
  </w:style>
  <w:style w:type="character" w:customStyle="1" w:styleId="BalloonTextChar">
    <w:name w:val="Balloon Text Char"/>
    <w:basedOn w:val="DefaultParagraphFont"/>
    <w:link w:val="BalloonText"/>
    <w:uiPriority w:val="99"/>
    <w:semiHidden/>
    <w:rsid w:val="0011547A"/>
    <w:rPr>
      <w:rFonts w:ascii="Tahoma" w:hAnsi="Tahoma" w:cs="Tahoma"/>
      <w:sz w:val="16"/>
      <w:szCs w:val="16"/>
      <w:lang w:eastAsia="ar-SA"/>
    </w:rPr>
  </w:style>
  <w:style w:type="paragraph" w:styleId="Header">
    <w:name w:val="header"/>
    <w:basedOn w:val="Normal"/>
    <w:link w:val="HeaderChar"/>
    <w:uiPriority w:val="99"/>
    <w:unhideWhenUsed/>
    <w:rsid w:val="00585AB0"/>
    <w:pPr>
      <w:tabs>
        <w:tab w:val="center" w:pos="4680"/>
        <w:tab w:val="right" w:pos="9360"/>
      </w:tabs>
    </w:pPr>
  </w:style>
  <w:style w:type="character" w:customStyle="1" w:styleId="HeaderChar">
    <w:name w:val="Header Char"/>
    <w:basedOn w:val="DefaultParagraphFont"/>
    <w:link w:val="Header"/>
    <w:uiPriority w:val="99"/>
    <w:rsid w:val="00585AB0"/>
    <w:rPr>
      <w:lang w:eastAsia="ar-SA"/>
    </w:rPr>
  </w:style>
  <w:style w:type="paragraph" w:styleId="Footer">
    <w:name w:val="footer"/>
    <w:basedOn w:val="Normal"/>
    <w:link w:val="FooterChar"/>
    <w:uiPriority w:val="99"/>
    <w:unhideWhenUsed/>
    <w:rsid w:val="00585AB0"/>
    <w:pPr>
      <w:tabs>
        <w:tab w:val="center" w:pos="4680"/>
        <w:tab w:val="right" w:pos="9360"/>
      </w:tabs>
    </w:pPr>
  </w:style>
  <w:style w:type="character" w:customStyle="1" w:styleId="FooterChar">
    <w:name w:val="Footer Char"/>
    <w:basedOn w:val="DefaultParagraphFont"/>
    <w:link w:val="Footer"/>
    <w:uiPriority w:val="99"/>
    <w:rsid w:val="00585AB0"/>
    <w:rPr>
      <w:lang w:eastAsia="ar-SA"/>
    </w:rPr>
  </w:style>
  <w:style w:type="character" w:customStyle="1" w:styleId="apple-converted-space">
    <w:name w:val="apple-converted-space"/>
    <w:basedOn w:val="DefaultParagraphFont"/>
    <w:rsid w:val="00EF3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25"/>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ECG) Footnote Reference,o,fr,Style 3,Appel note de bas de p,Style 12,Style 124,Style 13"/>
    <w:rsid w:val="00236725"/>
    <w:rPr>
      <w:vertAlign w:val="superscript"/>
    </w:rPr>
  </w:style>
  <w:style w:type="paragraph" w:styleId="FootnoteText">
    <w:name w:val="footnote text"/>
    <w:aliases w:val="Footnote Text Char5,Footnote Text Char1 Char,Footnote Text Char3 Char Char1,Footnote Text Char2 Char1 Char Char1,Footnote Text Char1 Char Char Char Char,Footnote Text Char2 Char Char Char Char Char1,Footnote Text Char1,f"/>
    <w:basedOn w:val="Normal"/>
    <w:link w:val="FootnoteTextChar2"/>
    <w:rsid w:val="00236725"/>
    <w:pPr>
      <w:tabs>
        <w:tab w:val="left" w:pos="180"/>
        <w:tab w:val="left" w:pos="720"/>
        <w:tab w:val="left" w:pos="1440"/>
        <w:tab w:val="left" w:pos="2160"/>
      </w:tabs>
      <w:spacing w:after="120"/>
      <w:jc w:val="both"/>
    </w:pPr>
  </w:style>
  <w:style w:type="character" w:customStyle="1" w:styleId="FootnoteTextChar">
    <w:name w:val="Footnote Text Char"/>
    <w:basedOn w:val="DefaultParagraphFont"/>
    <w:uiPriority w:val="99"/>
    <w:semiHidden/>
    <w:rsid w:val="00236725"/>
    <w:rPr>
      <w:lang w:eastAsia="ar-SA"/>
    </w:rPr>
  </w:style>
  <w:style w:type="character" w:customStyle="1" w:styleId="FootnoteTextChar2">
    <w:name w:val="Footnote Text Char2"/>
    <w:aliases w:val="Footnote Text Char5 Char,Footnote Text Char1 Char Char,Footnote Text Char3 Char Char1 Char,Footnote Text Char2 Char1 Char Char1 Char,Footnote Text Char1 Char Char Char Char Char,Footnote Text Char2 Char Char Char Char Char1 Char"/>
    <w:link w:val="FootnoteText"/>
    <w:locked/>
    <w:rsid w:val="00236725"/>
    <w:rPr>
      <w:lang w:eastAsia="ar-SA"/>
    </w:rPr>
  </w:style>
  <w:style w:type="paragraph" w:styleId="BalloonText">
    <w:name w:val="Balloon Text"/>
    <w:basedOn w:val="Normal"/>
    <w:link w:val="BalloonTextChar"/>
    <w:uiPriority w:val="99"/>
    <w:semiHidden/>
    <w:unhideWhenUsed/>
    <w:rsid w:val="0011547A"/>
    <w:rPr>
      <w:rFonts w:ascii="Tahoma" w:hAnsi="Tahoma" w:cs="Tahoma"/>
      <w:sz w:val="16"/>
      <w:szCs w:val="16"/>
    </w:rPr>
  </w:style>
  <w:style w:type="character" w:customStyle="1" w:styleId="BalloonTextChar">
    <w:name w:val="Balloon Text Char"/>
    <w:basedOn w:val="DefaultParagraphFont"/>
    <w:link w:val="BalloonText"/>
    <w:uiPriority w:val="99"/>
    <w:semiHidden/>
    <w:rsid w:val="0011547A"/>
    <w:rPr>
      <w:rFonts w:ascii="Tahoma" w:hAnsi="Tahoma" w:cs="Tahoma"/>
      <w:sz w:val="16"/>
      <w:szCs w:val="16"/>
      <w:lang w:eastAsia="ar-SA"/>
    </w:rPr>
  </w:style>
  <w:style w:type="paragraph" w:styleId="Header">
    <w:name w:val="header"/>
    <w:basedOn w:val="Normal"/>
    <w:link w:val="HeaderChar"/>
    <w:uiPriority w:val="99"/>
    <w:unhideWhenUsed/>
    <w:rsid w:val="00585AB0"/>
    <w:pPr>
      <w:tabs>
        <w:tab w:val="center" w:pos="4680"/>
        <w:tab w:val="right" w:pos="9360"/>
      </w:tabs>
    </w:pPr>
  </w:style>
  <w:style w:type="character" w:customStyle="1" w:styleId="HeaderChar">
    <w:name w:val="Header Char"/>
    <w:basedOn w:val="DefaultParagraphFont"/>
    <w:link w:val="Header"/>
    <w:uiPriority w:val="99"/>
    <w:rsid w:val="00585AB0"/>
    <w:rPr>
      <w:lang w:eastAsia="ar-SA"/>
    </w:rPr>
  </w:style>
  <w:style w:type="paragraph" w:styleId="Footer">
    <w:name w:val="footer"/>
    <w:basedOn w:val="Normal"/>
    <w:link w:val="FooterChar"/>
    <w:uiPriority w:val="99"/>
    <w:unhideWhenUsed/>
    <w:rsid w:val="00585AB0"/>
    <w:pPr>
      <w:tabs>
        <w:tab w:val="center" w:pos="4680"/>
        <w:tab w:val="right" w:pos="9360"/>
      </w:tabs>
    </w:pPr>
  </w:style>
  <w:style w:type="character" w:customStyle="1" w:styleId="FooterChar">
    <w:name w:val="Footer Char"/>
    <w:basedOn w:val="DefaultParagraphFont"/>
    <w:link w:val="Footer"/>
    <w:uiPriority w:val="99"/>
    <w:rsid w:val="00585AB0"/>
    <w:rPr>
      <w:lang w:eastAsia="ar-SA"/>
    </w:rPr>
  </w:style>
  <w:style w:type="character" w:customStyle="1" w:styleId="apple-converted-space">
    <w:name w:val="apple-converted-space"/>
    <w:basedOn w:val="DefaultParagraphFont"/>
    <w:rsid w:val="00EF3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3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3793</Characters>
  <Application>Microsoft Office Word</Application>
  <DocSecurity>0</DocSecurity>
  <Lines>65</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2013-09-24T13:10:00Z</cp:lastPrinted>
  <dcterms:created xsi:type="dcterms:W3CDTF">2013-09-26T21:34:00Z</dcterms:created>
  <dcterms:modified xsi:type="dcterms:W3CDTF">2013-09-26T21:34:00Z</dcterms:modified>
  <cp:category> </cp:category>
  <cp:contentStatus> </cp:contentStatus>
</cp:coreProperties>
</file>