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253A2" w14:textId="77777777" w:rsidR="0077433A" w:rsidRPr="000520BF" w:rsidRDefault="0077433A" w:rsidP="001B561D">
      <w:pPr>
        <w:widowControl/>
        <w:tabs>
          <w:tab w:val="center" w:pos="4770"/>
        </w:tabs>
        <w:suppressAutoHyphens/>
        <w:spacing w:line="240" w:lineRule="atLeast"/>
        <w:jc w:val="center"/>
        <w:outlineLvl w:val="0"/>
        <w:rPr>
          <w:b/>
          <w:spacing w:val="-2"/>
        </w:rPr>
      </w:pPr>
      <w:bookmarkStart w:id="0" w:name="_GoBack"/>
      <w:bookmarkEnd w:id="0"/>
      <w:r w:rsidRPr="000520BF">
        <w:rPr>
          <w:b/>
          <w:spacing w:val="-2"/>
        </w:rPr>
        <w:t>Before the</w:t>
      </w:r>
    </w:p>
    <w:p w14:paraId="09AF490B" w14:textId="77777777" w:rsidR="0077433A" w:rsidRPr="00F941FA" w:rsidRDefault="0077433A" w:rsidP="001B561D">
      <w:pPr>
        <w:widowControl/>
        <w:tabs>
          <w:tab w:val="center" w:pos="4770"/>
        </w:tabs>
        <w:suppressAutoHyphens/>
        <w:spacing w:line="240" w:lineRule="atLeast"/>
        <w:jc w:val="center"/>
        <w:outlineLvl w:val="0"/>
        <w:rPr>
          <w:b/>
          <w:spacing w:val="-2"/>
        </w:rPr>
      </w:pPr>
      <w:r w:rsidRPr="00F941FA">
        <w:rPr>
          <w:b/>
          <w:spacing w:val="-2"/>
        </w:rPr>
        <w:t>Federal Communications Commission</w:t>
      </w:r>
    </w:p>
    <w:p w14:paraId="2491E0A6" w14:textId="77777777" w:rsidR="0077433A" w:rsidRPr="00F941FA" w:rsidRDefault="0077433A" w:rsidP="001B561D">
      <w:pPr>
        <w:widowControl/>
        <w:tabs>
          <w:tab w:val="center" w:pos="4770"/>
        </w:tabs>
        <w:suppressAutoHyphens/>
        <w:spacing w:line="240" w:lineRule="atLeast"/>
        <w:jc w:val="center"/>
        <w:outlineLvl w:val="0"/>
        <w:rPr>
          <w:b/>
        </w:rPr>
      </w:pPr>
      <w:r w:rsidRPr="00F941FA">
        <w:rPr>
          <w:b/>
        </w:rPr>
        <w:t>Washington, D.C. 20554</w:t>
      </w:r>
    </w:p>
    <w:p w14:paraId="0B63F5E2" w14:textId="77777777" w:rsidR="0077433A" w:rsidRPr="00F941FA" w:rsidRDefault="0077433A" w:rsidP="006A1021">
      <w:pPr>
        <w:widowControl/>
        <w:tabs>
          <w:tab w:val="center" w:pos="4680"/>
        </w:tabs>
        <w:suppressAutoHyphens/>
        <w:spacing w:line="240" w:lineRule="atLeast"/>
        <w:jc w:val="both"/>
        <w:outlineLvl w:val="0"/>
        <w:rPr>
          <w:b/>
          <w:spacing w:val="-2"/>
        </w:rPr>
      </w:pPr>
    </w:p>
    <w:tbl>
      <w:tblPr>
        <w:tblW w:w="9720" w:type="dxa"/>
        <w:tblInd w:w="108" w:type="dxa"/>
        <w:tblLayout w:type="fixed"/>
        <w:tblLook w:val="0000" w:firstRow="0" w:lastRow="0" w:firstColumn="0" w:lastColumn="0" w:noHBand="0" w:noVBand="0"/>
      </w:tblPr>
      <w:tblGrid>
        <w:gridCol w:w="4500"/>
        <w:gridCol w:w="540"/>
        <w:gridCol w:w="4680"/>
      </w:tblGrid>
      <w:tr w:rsidR="0077433A" w:rsidRPr="00870696" w14:paraId="42A12F12" w14:textId="77777777" w:rsidTr="00021C81">
        <w:tc>
          <w:tcPr>
            <w:tcW w:w="4500" w:type="dxa"/>
          </w:tcPr>
          <w:p w14:paraId="14DC8DB6" w14:textId="77777777" w:rsidR="0077433A" w:rsidRPr="00EA5AEB" w:rsidRDefault="0077433A" w:rsidP="001B561D">
            <w:pPr>
              <w:widowControl/>
              <w:spacing w:line="240" w:lineRule="atLeast"/>
            </w:pPr>
            <w:r w:rsidRPr="00F941FA">
              <w:rPr>
                <w:spacing w:val="-2"/>
              </w:rPr>
              <w:t>In the Matter of</w:t>
            </w:r>
            <w:r w:rsidRPr="00F941FA">
              <w:t xml:space="preserve"> </w:t>
            </w:r>
          </w:p>
          <w:p w14:paraId="6C3531D7" w14:textId="77777777" w:rsidR="0077433A" w:rsidRPr="00EA5AEB" w:rsidRDefault="0077433A" w:rsidP="001B561D">
            <w:pPr>
              <w:widowControl/>
              <w:spacing w:line="240" w:lineRule="atLeast"/>
            </w:pPr>
          </w:p>
          <w:p w14:paraId="4FC6042F" w14:textId="77777777" w:rsidR="0077433A" w:rsidRPr="00EA5AEB" w:rsidRDefault="00F44F16" w:rsidP="001B561D">
            <w:pPr>
              <w:widowControl/>
              <w:spacing w:line="240" w:lineRule="atLeast"/>
            </w:pPr>
            <w:r w:rsidRPr="00F941FA">
              <w:rPr>
                <w:spacing w:val="-2"/>
              </w:rPr>
              <w:t>Easy Telephone Services d/b/a Easy Wireless</w:t>
            </w:r>
          </w:p>
          <w:p w14:paraId="7A9B5B4F" w14:textId="77777777" w:rsidR="0077433A" w:rsidRPr="00EA5AEB" w:rsidRDefault="0077433A" w:rsidP="001B561D">
            <w:pPr>
              <w:widowControl/>
              <w:spacing w:line="240" w:lineRule="atLeast"/>
            </w:pPr>
          </w:p>
          <w:p w14:paraId="350AD68B" w14:textId="77777777" w:rsidR="0077433A" w:rsidRPr="00EA5AEB" w:rsidRDefault="0077433A" w:rsidP="001B561D">
            <w:pPr>
              <w:widowControl/>
              <w:spacing w:line="240" w:lineRule="atLeast"/>
              <w:rPr>
                <w:spacing w:val="-2"/>
              </w:rPr>
            </w:pPr>
          </w:p>
        </w:tc>
        <w:tc>
          <w:tcPr>
            <w:tcW w:w="540" w:type="dxa"/>
          </w:tcPr>
          <w:p w14:paraId="7BD55B19" w14:textId="77777777" w:rsidR="0077433A" w:rsidRPr="00F941FA" w:rsidRDefault="0077433A" w:rsidP="006A1021">
            <w:pPr>
              <w:widowControl/>
              <w:tabs>
                <w:tab w:val="center" w:pos="4680"/>
              </w:tabs>
              <w:suppressAutoHyphens/>
              <w:spacing w:line="240" w:lineRule="atLeast"/>
              <w:jc w:val="both"/>
              <w:outlineLvl w:val="0"/>
              <w:rPr>
                <w:color w:val="000000"/>
              </w:rPr>
            </w:pPr>
            <w:r w:rsidRPr="00F941FA">
              <w:rPr>
                <w:color w:val="000000"/>
              </w:rPr>
              <w:t>)</w:t>
            </w:r>
          </w:p>
          <w:p w14:paraId="4314CEA9" w14:textId="77777777" w:rsidR="0077433A" w:rsidRPr="00EA5AEB" w:rsidRDefault="0077433A" w:rsidP="001B561D">
            <w:pPr>
              <w:widowControl/>
              <w:tabs>
                <w:tab w:val="center" w:pos="4680"/>
              </w:tabs>
              <w:suppressAutoHyphens/>
              <w:spacing w:line="240" w:lineRule="atLeast"/>
              <w:jc w:val="both"/>
              <w:outlineLvl w:val="0"/>
              <w:rPr>
                <w:color w:val="000000"/>
              </w:rPr>
            </w:pPr>
            <w:r w:rsidRPr="00F941FA">
              <w:rPr>
                <w:color w:val="000000"/>
              </w:rPr>
              <w:t>)</w:t>
            </w:r>
          </w:p>
          <w:p w14:paraId="1048F78C" w14:textId="77777777" w:rsidR="0077433A" w:rsidRPr="00EA5AEB" w:rsidRDefault="0077433A" w:rsidP="001B561D">
            <w:pPr>
              <w:widowControl/>
              <w:tabs>
                <w:tab w:val="center" w:pos="4680"/>
              </w:tabs>
              <w:suppressAutoHyphens/>
              <w:spacing w:line="240" w:lineRule="atLeast"/>
              <w:jc w:val="both"/>
              <w:outlineLvl w:val="0"/>
              <w:rPr>
                <w:color w:val="000000"/>
              </w:rPr>
            </w:pPr>
            <w:r w:rsidRPr="00F941FA">
              <w:rPr>
                <w:color w:val="000000"/>
              </w:rPr>
              <w:t>)</w:t>
            </w:r>
          </w:p>
          <w:p w14:paraId="5A4D7AA4" w14:textId="77777777" w:rsidR="0077433A" w:rsidRPr="00EA5AEB" w:rsidRDefault="0077433A" w:rsidP="001B561D">
            <w:pPr>
              <w:widowControl/>
              <w:tabs>
                <w:tab w:val="center" w:pos="4680"/>
              </w:tabs>
              <w:suppressAutoHyphens/>
              <w:spacing w:line="240" w:lineRule="atLeast"/>
              <w:jc w:val="both"/>
              <w:outlineLvl w:val="0"/>
              <w:rPr>
                <w:color w:val="000000"/>
              </w:rPr>
            </w:pPr>
            <w:r w:rsidRPr="00F941FA">
              <w:rPr>
                <w:color w:val="000000"/>
              </w:rPr>
              <w:t>)</w:t>
            </w:r>
          </w:p>
          <w:p w14:paraId="6966DC0A" w14:textId="77777777" w:rsidR="00626981" w:rsidRPr="00EA5AEB" w:rsidRDefault="0077433A" w:rsidP="001B561D">
            <w:pPr>
              <w:widowControl/>
              <w:tabs>
                <w:tab w:val="center" w:pos="4680"/>
              </w:tabs>
              <w:suppressAutoHyphens/>
              <w:spacing w:line="240" w:lineRule="atLeast"/>
              <w:jc w:val="both"/>
              <w:outlineLvl w:val="0"/>
              <w:rPr>
                <w:color w:val="000000"/>
              </w:rPr>
            </w:pPr>
            <w:r w:rsidRPr="00F941FA">
              <w:rPr>
                <w:color w:val="000000"/>
              </w:rPr>
              <w:t>)</w:t>
            </w:r>
          </w:p>
          <w:p w14:paraId="2A144C24" w14:textId="2D35DB7A" w:rsidR="003E4BBC" w:rsidRPr="000520BF" w:rsidRDefault="003E4BBC" w:rsidP="001B561D">
            <w:pPr>
              <w:widowControl/>
              <w:tabs>
                <w:tab w:val="center" w:pos="4680"/>
              </w:tabs>
              <w:suppressAutoHyphens/>
              <w:spacing w:line="240" w:lineRule="atLeast"/>
              <w:jc w:val="both"/>
              <w:outlineLvl w:val="0"/>
              <w:rPr>
                <w:color w:val="000000"/>
              </w:rPr>
            </w:pPr>
          </w:p>
        </w:tc>
        <w:tc>
          <w:tcPr>
            <w:tcW w:w="4680" w:type="dxa"/>
          </w:tcPr>
          <w:p w14:paraId="67B9D91E" w14:textId="77777777" w:rsidR="003E4BBC" w:rsidRPr="000520BF" w:rsidRDefault="000718C4" w:rsidP="004F7EAF">
            <w:pPr>
              <w:widowControl/>
              <w:tabs>
                <w:tab w:val="left" w:pos="1422"/>
              </w:tabs>
              <w:spacing w:line="240" w:lineRule="atLeast"/>
              <w:ind w:left="-18"/>
              <w:rPr>
                <w:color w:val="000000"/>
              </w:rPr>
            </w:pPr>
            <w:r w:rsidRPr="000520BF">
              <w:rPr>
                <w:color w:val="000000"/>
              </w:rPr>
              <w:t xml:space="preserve">File No.:  </w:t>
            </w:r>
            <w:r w:rsidR="00DC2B13" w:rsidRPr="000520BF">
              <w:rPr>
                <w:color w:val="000000"/>
              </w:rPr>
              <w:t>EB-IHD-13-00010590</w:t>
            </w:r>
            <w:r w:rsidR="00DC2B13" w:rsidRPr="00EB5E44">
              <w:rPr>
                <w:rStyle w:val="FootnoteReference"/>
                <w:color w:val="000000"/>
                <w:sz w:val="22"/>
                <w:szCs w:val="22"/>
              </w:rPr>
              <w:footnoteReference w:id="2"/>
            </w:r>
            <w:r w:rsidRPr="000520BF">
              <w:rPr>
                <w:color w:val="000000"/>
              </w:rPr>
              <w:t xml:space="preserve">    </w:t>
            </w:r>
          </w:p>
          <w:p w14:paraId="5FCB3E25" w14:textId="77777777" w:rsidR="00DC2B13" w:rsidRPr="00F941FA" w:rsidRDefault="00DC2B13" w:rsidP="004F7EAF">
            <w:pPr>
              <w:widowControl/>
              <w:tabs>
                <w:tab w:val="left" w:pos="1422"/>
              </w:tabs>
              <w:spacing w:line="240" w:lineRule="atLeast"/>
              <w:rPr>
                <w:color w:val="000000"/>
              </w:rPr>
            </w:pPr>
          </w:p>
          <w:p w14:paraId="131C0103" w14:textId="58C1A7C3" w:rsidR="003E4BBC" w:rsidRPr="00EA5AEB" w:rsidRDefault="000718C4" w:rsidP="004F7EAF">
            <w:pPr>
              <w:widowControl/>
              <w:tabs>
                <w:tab w:val="left" w:pos="1422"/>
              </w:tabs>
              <w:spacing w:line="240" w:lineRule="atLeast"/>
              <w:rPr>
                <w:color w:val="000000"/>
              </w:rPr>
            </w:pPr>
            <w:r w:rsidRPr="00F941FA">
              <w:rPr>
                <w:color w:val="000000"/>
              </w:rPr>
              <w:t>NAL/Acct. No.:</w:t>
            </w:r>
            <w:r w:rsidRPr="00F941FA">
              <w:rPr>
                <w:b/>
                <w:color w:val="000000"/>
              </w:rPr>
              <w:t xml:space="preserve">  </w:t>
            </w:r>
            <w:r w:rsidR="00DC2B13" w:rsidRPr="00F941FA">
              <w:rPr>
                <w:color w:val="000000"/>
              </w:rPr>
              <w:t>2013320800</w:t>
            </w:r>
            <w:r w:rsidR="00BD0ADC">
              <w:rPr>
                <w:color w:val="000000"/>
              </w:rPr>
              <w:t>33</w:t>
            </w:r>
          </w:p>
          <w:p w14:paraId="345F9553" w14:textId="77777777" w:rsidR="00DC2B13" w:rsidRPr="00EA5AEB" w:rsidRDefault="00DC2B13" w:rsidP="004F7EAF">
            <w:pPr>
              <w:widowControl/>
              <w:tabs>
                <w:tab w:val="left" w:pos="1422"/>
              </w:tabs>
              <w:spacing w:line="240" w:lineRule="atLeast"/>
              <w:rPr>
                <w:color w:val="000000"/>
              </w:rPr>
            </w:pPr>
          </w:p>
          <w:p w14:paraId="51F064B2" w14:textId="77777777" w:rsidR="000718C4" w:rsidRPr="00EA5AEB" w:rsidRDefault="000718C4" w:rsidP="004F7EAF">
            <w:pPr>
              <w:widowControl/>
              <w:tabs>
                <w:tab w:val="left" w:pos="1422"/>
              </w:tabs>
              <w:spacing w:line="240" w:lineRule="atLeast"/>
              <w:rPr>
                <w:color w:val="000000"/>
              </w:rPr>
            </w:pPr>
            <w:r w:rsidRPr="00F941FA">
              <w:rPr>
                <w:color w:val="000000"/>
              </w:rPr>
              <w:t>FRN:  0016344368</w:t>
            </w:r>
          </w:p>
          <w:p w14:paraId="0E53EED0" w14:textId="77777777" w:rsidR="0077433A" w:rsidRPr="00EA5AEB" w:rsidRDefault="0077433A" w:rsidP="001B561D">
            <w:pPr>
              <w:widowControl/>
              <w:spacing w:line="240" w:lineRule="atLeast"/>
              <w:rPr>
                <w:color w:val="000000"/>
                <w:spacing w:val="-2"/>
              </w:rPr>
            </w:pPr>
          </w:p>
          <w:p w14:paraId="44FD557D" w14:textId="77777777" w:rsidR="00F44F16" w:rsidRPr="00EA5AEB" w:rsidRDefault="00F44F16" w:rsidP="001B561D">
            <w:pPr>
              <w:widowControl/>
              <w:spacing w:line="240" w:lineRule="atLeast"/>
              <w:ind w:left="702"/>
              <w:rPr>
                <w:color w:val="000000"/>
              </w:rPr>
            </w:pPr>
          </w:p>
          <w:p w14:paraId="45C57187" w14:textId="77777777" w:rsidR="0077433A" w:rsidRPr="00EA5AEB" w:rsidRDefault="0077433A" w:rsidP="004F7EAF">
            <w:pPr>
              <w:widowControl/>
              <w:spacing w:line="240" w:lineRule="atLeast"/>
              <w:ind w:left="702"/>
              <w:rPr>
                <w:color w:val="000000"/>
              </w:rPr>
            </w:pPr>
          </w:p>
        </w:tc>
      </w:tr>
    </w:tbl>
    <w:p w14:paraId="3C979603" w14:textId="77777777" w:rsidR="0077433A" w:rsidRPr="000520BF" w:rsidRDefault="00412984" w:rsidP="001B561D">
      <w:pPr>
        <w:widowControl/>
        <w:spacing w:line="240" w:lineRule="atLeast"/>
        <w:jc w:val="center"/>
        <w:rPr>
          <w:b/>
        </w:rPr>
      </w:pPr>
      <w:r w:rsidRPr="000520BF">
        <w:rPr>
          <w:b/>
        </w:rPr>
        <w:t xml:space="preserve">NOTICE OF APPARENT LIABILITY FOR FORFEITURE </w:t>
      </w:r>
    </w:p>
    <w:p w14:paraId="1E62CE14" w14:textId="77777777" w:rsidR="00412984" w:rsidRPr="00F941FA" w:rsidRDefault="00412984" w:rsidP="001B561D">
      <w:pPr>
        <w:widowControl/>
        <w:spacing w:line="240" w:lineRule="atLeast"/>
        <w:jc w:val="center"/>
        <w:rPr>
          <w:b/>
        </w:rPr>
      </w:pPr>
    </w:p>
    <w:p w14:paraId="4F8898B3" w14:textId="47F6D696" w:rsidR="0077433A" w:rsidRPr="000520BF" w:rsidRDefault="0077433A" w:rsidP="001B561D">
      <w:pPr>
        <w:widowControl/>
        <w:spacing w:line="240" w:lineRule="atLeast"/>
        <w:rPr>
          <w:b/>
          <w:color w:val="FF0000"/>
          <w:spacing w:val="-2"/>
        </w:rPr>
      </w:pPr>
      <w:r w:rsidRPr="00EA5AEB">
        <w:rPr>
          <w:b/>
        </w:rPr>
        <w:t xml:space="preserve">Adopted:  </w:t>
      </w:r>
      <w:r w:rsidR="001333A7" w:rsidRPr="00EA5AEB">
        <w:rPr>
          <w:b/>
        </w:rPr>
        <w:t>September</w:t>
      </w:r>
      <w:r w:rsidR="002D6398" w:rsidRPr="000520BF">
        <w:rPr>
          <w:b/>
        </w:rPr>
        <w:t xml:space="preserve"> </w:t>
      </w:r>
      <w:r w:rsidR="00A5160C">
        <w:rPr>
          <w:b/>
        </w:rPr>
        <w:t>30</w:t>
      </w:r>
      <w:r w:rsidR="00021C81" w:rsidRPr="00EA5AEB">
        <w:rPr>
          <w:b/>
        </w:rPr>
        <w:t>, 2013</w:t>
      </w:r>
      <w:r w:rsidR="00852FA6" w:rsidRPr="00EA5AEB">
        <w:rPr>
          <w:b/>
        </w:rPr>
        <w:tab/>
      </w:r>
      <w:r w:rsidR="00852FA6" w:rsidRPr="00EA5AEB">
        <w:rPr>
          <w:b/>
        </w:rPr>
        <w:tab/>
      </w:r>
      <w:r w:rsidR="00852FA6" w:rsidRPr="00EA5AEB">
        <w:rPr>
          <w:b/>
        </w:rPr>
        <w:tab/>
      </w:r>
      <w:r w:rsidR="00852FA6">
        <w:rPr>
          <w:b/>
          <w:szCs w:val="22"/>
        </w:rPr>
        <w:t xml:space="preserve">      </w:t>
      </w:r>
      <w:r w:rsidR="00852FA6">
        <w:rPr>
          <w:b/>
          <w:szCs w:val="22"/>
        </w:rPr>
        <w:tab/>
      </w:r>
      <w:r w:rsidR="00852FA6" w:rsidRPr="00EA5AEB">
        <w:rPr>
          <w:b/>
        </w:rPr>
        <w:t xml:space="preserve">           </w:t>
      </w:r>
      <w:r w:rsidRPr="00EA5AEB">
        <w:rPr>
          <w:b/>
        </w:rPr>
        <w:t>Released</w:t>
      </w:r>
      <w:r w:rsidR="00021C81" w:rsidRPr="00EA5AEB">
        <w:rPr>
          <w:b/>
        </w:rPr>
        <w:t xml:space="preserve">:  </w:t>
      </w:r>
      <w:r w:rsidR="001333A7" w:rsidRPr="00EA5AEB">
        <w:rPr>
          <w:b/>
        </w:rPr>
        <w:t xml:space="preserve">September </w:t>
      </w:r>
      <w:r w:rsidR="00A5160C">
        <w:rPr>
          <w:b/>
        </w:rPr>
        <w:t>30</w:t>
      </w:r>
      <w:r w:rsidR="00021C81" w:rsidRPr="000520BF">
        <w:rPr>
          <w:b/>
        </w:rPr>
        <w:t>,</w:t>
      </w:r>
      <w:r w:rsidR="00021C81" w:rsidRPr="00EA5AEB">
        <w:rPr>
          <w:b/>
        </w:rPr>
        <w:t xml:space="preserve"> 2013</w:t>
      </w:r>
    </w:p>
    <w:p w14:paraId="4656F726" w14:textId="77777777" w:rsidR="0077433A" w:rsidRPr="00F941FA" w:rsidRDefault="0077433A" w:rsidP="006A1021">
      <w:pPr>
        <w:widowControl/>
        <w:tabs>
          <w:tab w:val="left" w:pos="0"/>
          <w:tab w:val="left" w:pos="720"/>
          <w:tab w:val="left" w:pos="5760"/>
        </w:tabs>
        <w:suppressAutoHyphens/>
        <w:spacing w:line="240" w:lineRule="atLeast"/>
        <w:jc w:val="both"/>
        <w:rPr>
          <w:spacing w:val="-2"/>
        </w:rPr>
      </w:pPr>
    </w:p>
    <w:p w14:paraId="4306B276" w14:textId="77777777" w:rsidR="00AC6E28" w:rsidRDefault="00AC6E28" w:rsidP="00AC6E28">
      <w:r>
        <w:t>By the Commission:  Acting Chairwoman Clyburn and Commissioner Pai issuing separate statements.</w:t>
      </w:r>
    </w:p>
    <w:p w14:paraId="69C51280" w14:textId="77777777" w:rsidR="0077433A" w:rsidRPr="00F941FA" w:rsidRDefault="0077433A" w:rsidP="001B561D">
      <w:pPr>
        <w:widowControl/>
        <w:tabs>
          <w:tab w:val="left" w:pos="0"/>
        </w:tabs>
        <w:suppressAutoHyphens/>
        <w:spacing w:line="240" w:lineRule="atLeast"/>
        <w:jc w:val="both"/>
      </w:pPr>
    </w:p>
    <w:p w14:paraId="48639569" w14:textId="77777777" w:rsidR="0077433A" w:rsidRPr="00F941FA" w:rsidRDefault="0077433A" w:rsidP="001B561D">
      <w:pPr>
        <w:pStyle w:val="Heading1"/>
        <w:widowControl/>
        <w:spacing w:line="240" w:lineRule="atLeast"/>
      </w:pPr>
      <w:r w:rsidRPr="00F941FA">
        <w:t>INTRODUCTION</w:t>
      </w:r>
    </w:p>
    <w:p w14:paraId="2F67BFFA" w14:textId="0DD89231" w:rsidR="00E40707" w:rsidRPr="000520BF" w:rsidRDefault="0077433A" w:rsidP="00EA5AEB">
      <w:pPr>
        <w:pStyle w:val="ParaNum"/>
      </w:pPr>
      <w:r w:rsidRPr="00F941FA">
        <w:t xml:space="preserve">In this Notice of Apparent Liability for Forfeiture (NAL), we </w:t>
      </w:r>
      <w:r w:rsidR="00852FA6">
        <w:t>continue our commi</w:t>
      </w:r>
      <w:r w:rsidR="00885695">
        <w:t xml:space="preserve">tment to </w:t>
      </w:r>
      <w:r w:rsidR="00885695" w:rsidRPr="000520BF">
        <w:t xml:space="preserve">combat </w:t>
      </w:r>
      <w:r w:rsidR="00885695">
        <w:t>waste, f</w:t>
      </w:r>
      <w:r w:rsidR="00852FA6">
        <w:t>r</w:t>
      </w:r>
      <w:r w:rsidR="00885695">
        <w:t>a</w:t>
      </w:r>
      <w:r w:rsidR="00852FA6">
        <w:t xml:space="preserve">ud, and </w:t>
      </w:r>
      <w:r w:rsidR="0005495E" w:rsidRPr="000520BF">
        <w:t xml:space="preserve">abuse of </w:t>
      </w:r>
      <w:r w:rsidR="00E65663" w:rsidRPr="00F34496">
        <w:t>the</w:t>
      </w:r>
      <w:r w:rsidR="0005495E" w:rsidRPr="000520BF">
        <w:t xml:space="preserve"> Lifeline program </w:t>
      </w:r>
      <w:r w:rsidR="00E65663" w:rsidRPr="00F941FA">
        <w:t xml:space="preserve">(Lifeline) </w:t>
      </w:r>
      <w:r w:rsidR="0005495E" w:rsidRPr="000520BF">
        <w:t>by</w:t>
      </w:r>
      <w:r w:rsidR="00541E99" w:rsidRPr="000520BF">
        <w:t xml:space="preserve"> taking action </w:t>
      </w:r>
      <w:r w:rsidR="00852FA6">
        <w:t>and proposing</w:t>
      </w:r>
      <w:r w:rsidR="00852FA6" w:rsidRPr="000520BF">
        <w:t xml:space="preserve"> monetary forfeitures</w:t>
      </w:r>
      <w:r w:rsidR="00852FA6" w:rsidRPr="00F34496">
        <w:t xml:space="preserve"> </w:t>
      </w:r>
      <w:r w:rsidR="00541E99">
        <w:t>against a</w:t>
      </w:r>
      <w:r w:rsidR="008D7797">
        <w:t xml:space="preserve"> </w:t>
      </w:r>
      <w:r w:rsidR="00852FA6">
        <w:t xml:space="preserve">company that has </w:t>
      </w:r>
      <w:r w:rsidR="00982FA6">
        <w:t xml:space="preserve">apparently </w:t>
      </w:r>
      <w:r w:rsidR="00852FA6">
        <w:t>ignored our rules and exploited a program dedicated to providing low-income Americans with basic telephone service</w:t>
      </w:r>
      <w:r w:rsidR="0005495E" w:rsidRPr="00F34496">
        <w:t>.</w:t>
      </w:r>
      <w:r w:rsidR="0005495E" w:rsidRPr="000520BF">
        <w:t xml:space="preserve">  Specifically, we </w:t>
      </w:r>
      <w:r w:rsidRPr="000520BF">
        <w:t xml:space="preserve">find that </w:t>
      </w:r>
      <w:r w:rsidR="00F44F16" w:rsidRPr="000520BF">
        <w:t>Easy Telephone Services d/b/a/ Easy Wireless (Easy</w:t>
      </w:r>
      <w:r w:rsidR="00266640" w:rsidRPr="00F941FA">
        <w:t xml:space="preserve"> Wireless</w:t>
      </w:r>
      <w:r w:rsidR="00F44F16" w:rsidRPr="00F941FA">
        <w:t>)</w:t>
      </w:r>
      <w:r w:rsidRPr="000520BF">
        <w:t xml:space="preserve"> apparently willfully and repeatedly violated </w:t>
      </w:r>
      <w:r w:rsidR="00870696" w:rsidRPr="000520BF">
        <w:t xml:space="preserve">Sections </w:t>
      </w:r>
      <w:r w:rsidR="006044E7" w:rsidRPr="000520BF">
        <w:t>54.</w:t>
      </w:r>
      <w:r w:rsidR="006044E7" w:rsidRPr="00F941FA">
        <w:t xml:space="preserve">407, </w:t>
      </w:r>
      <w:r w:rsidR="00ED2162" w:rsidRPr="00F941FA">
        <w:t>54.</w:t>
      </w:r>
      <w:r w:rsidR="00ED2162" w:rsidRPr="000520BF">
        <w:t>409</w:t>
      </w:r>
      <w:r w:rsidR="00852FA6">
        <w:t>,</w:t>
      </w:r>
      <w:r w:rsidR="00870696" w:rsidRPr="000520BF">
        <w:t xml:space="preserve"> </w:t>
      </w:r>
      <w:r w:rsidR="0094610B" w:rsidRPr="000520BF">
        <w:t>and 54.410</w:t>
      </w:r>
      <w:r w:rsidR="003368C7" w:rsidRPr="000520BF">
        <w:t xml:space="preserve"> </w:t>
      </w:r>
      <w:r w:rsidRPr="000520BF">
        <w:t>of the Commission’s rules</w:t>
      </w:r>
      <w:r w:rsidRPr="00870696">
        <w:rPr>
          <w:rStyle w:val="FootnoteReference"/>
          <w:sz w:val="22"/>
          <w:szCs w:val="22"/>
        </w:rPr>
        <w:footnoteReference w:id="3"/>
      </w:r>
      <w:r w:rsidRPr="000520BF">
        <w:t xml:space="preserve"> by</w:t>
      </w:r>
      <w:r w:rsidR="006D67FD" w:rsidRPr="000520BF">
        <w:t xml:space="preserve"> requesting </w:t>
      </w:r>
      <w:r w:rsidR="006044E7" w:rsidRPr="00F941FA">
        <w:t>and/or receiving</w:t>
      </w:r>
      <w:r w:rsidR="006044E7" w:rsidRPr="000520BF">
        <w:t xml:space="preserve"> </w:t>
      </w:r>
      <w:r w:rsidR="006D67FD" w:rsidRPr="000520BF">
        <w:t xml:space="preserve">support </w:t>
      </w:r>
      <w:r w:rsidR="00A5718D" w:rsidRPr="000520BF">
        <w:t xml:space="preserve">from the Lifeline </w:t>
      </w:r>
      <w:r w:rsidR="001144B1" w:rsidRPr="000520BF">
        <w:t xml:space="preserve">program </w:t>
      </w:r>
      <w:r w:rsidR="00A5718D" w:rsidRPr="000520BF">
        <w:t>of the Universal Service Fund (USF</w:t>
      </w:r>
      <w:r w:rsidR="009539C8" w:rsidRPr="000520BF">
        <w:t xml:space="preserve"> or Fund</w:t>
      </w:r>
      <w:r w:rsidR="00A5718D" w:rsidRPr="000520BF">
        <w:t xml:space="preserve">) </w:t>
      </w:r>
      <w:r w:rsidR="004B7CC9" w:rsidRPr="00F941FA">
        <w:t xml:space="preserve">for </w:t>
      </w:r>
      <w:r w:rsidR="00126E02" w:rsidRPr="000520BF">
        <w:t xml:space="preserve">307 </w:t>
      </w:r>
      <w:r w:rsidR="004B7CC9" w:rsidRPr="00F941FA">
        <w:t>ineligible consumers for</w:t>
      </w:r>
      <w:r w:rsidR="004B7CC9" w:rsidRPr="000520BF">
        <w:t xml:space="preserve"> </w:t>
      </w:r>
      <w:r w:rsidR="00126E02" w:rsidRPr="000520BF">
        <w:t>the month of September 2012</w:t>
      </w:r>
      <w:r w:rsidRPr="000520BF">
        <w:t>.</w:t>
      </w:r>
      <w:r w:rsidR="00E051F0" w:rsidRPr="000520BF">
        <w:t xml:space="preserve"> </w:t>
      </w:r>
      <w:r w:rsidRPr="00F941FA">
        <w:t xml:space="preserve"> </w:t>
      </w:r>
      <w:r w:rsidR="00B969CB" w:rsidRPr="00F941FA">
        <w:t>Based on our review of the facts and circumstances surrounding these apparent violations, we propose a monetary</w:t>
      </w:r>
      <w:r w:rsidRPr="00F941FA">
        <w:t xml:space="preserve"> forfeiture in the amount of </w:t>
      </w:r>
      <w:r w:rsidR="00437ED7" w:rsidRPr="000520BF">
        <w:t xml:space="preserve">one </w:t>
      </w:r>
      <w:r w:rsidR="00437ED7">
        <w:t xml:space="preserve">million, five hundred eighty-six </w:t>
      </w:r>
      <w:r w:rsidR="00437ED7" w:rsidRPr="000520BF">
        <w:t>thousand</w:t>
      </w:r>
      <w:r w:rsidR="00437ED7">
        <w:t>,</w:t>
      </w:r>
      <w:r w:rsidR="00437ED7" w:rsidRPr="000520BF">
        <w:t xml:space="preserve"> five hundred forty-five</w:t>
      </w:r>
      <w:r w:rsidR="006044E7" w:rsidRPr="000520BF">
        <w:t xml:space="preserve"> dollars</w:t>
      </w:r>
      <w:r w:rsidR="00FD35FF" w:rsidRPr="000520BF">
        <w:t xml:space="preserve"> </w:t>
      </w:r>
      <w:r w:rsidR="006204C3" w:rsidRPr="000520BF">
        <w:t>(</w:t>
      </w:r>
      <w:r w:rsidR="006044E7" w:rsidRPr="00F941FA">
        <w:t>$</w:t>
      </w:r>
      <w:r w:rsidR="00437ED7">
        <w:t>1,586</w:t>
      </w:r>
      <w:r w:rsidR="00437ED7" w:rsidRPr="000520BF">
        <w:t>,545</w:t>
      </w:r>
      <w:r w:rsidR="006204C3" w:rsidRPr="000520BF">
        <w:t>)</w:t>
      </w:r>
      <w:r w:rsidRPr="000520BF">
        <w:t xml:space="preserve">.  </w:t>
      </w:r>
      <w:r w:rsidR="00F44F16" w:rsidRPr="000520BF">
        <w:t xml:space="preserve"> </w:t>
      </w:r>
    </w:p>
    <w:p w14:paraId="3A3CA3B3" w14:textId="77777777" w:rsidR="0077433A" w:rsidRPr="00F941FA" w:rsidRDefault="0077433A" w:rsidP="001B561D">
      <w:pPr>
        <w:pStyle w:val="Heading1"/>
        <w:widowControl/>
        <w:spacing w:line="240" w:lineRule="atLeast"/>
      </w:pPr>
      <w:r w:rsidRPr="00F941FA">
        <w:t>BACKGROUND</w:t>
      </w:r>
      <w:r w:rsidR="001951AF" w:rsidRPr="00F941FA">
        <w:t xml:space="preserve"> </w:t>
      </w:r>
      <w:r w:rsidR="00CA5412" w:rsidRPr="00F941FA">
        <w:t xml:space="preserve"> </w:t>
      </w:r>
    </w:p>
    <w:p w14:paraId="4360E79D" w14:textId="77777777" w:rsidR="00587C78" w:rsidRPr="000520BF" w:rsidRDefault="00AD3CC2" w:rsidP="00EA5AEB">
      <w:pPr>
        <w:pStyle w:val="ParaNum"/>
      </w:pPr>
      <w:r w:rsidRPr="00F941FA">
        <w:rPr>
          <w:i/>
        </w:rPr>
        <w:t>Lifeline Service</w:t>
      </w:r>
      <w:r w:rsidRPr="00F941FA">
        <w:t xml:space="preserve">. </w:t>
      </w:r>
      <w:r w:rsidR="008F3135" w:rsidRPr="00F941FA">
        <w:t xml:space="preserve"> </w:t>
      </w:r>
      <w:r w:rsidR="00587C78" w:rsidRPr="00F941FA">
        <w:t xml:space="preserve">Lifeline </w:t>
      </w:r>
      <w:r w:rsidR="00174522" w:rsidRPr="00F941FA">
        <w:t>is</w:t>
      </w:r>
      <w:r w:rsidR="00587C78" w:rsidRPr="00F941FA">
        <w:t xml:space="preserve"> part of the </w:t>
      </w:r>
      <w:r w:rsidR="00896071" w:rsidRPr="00F941FA">
        <w:t>U</w:t>
      </w:r>
      <w:r w:rsidR="00587C78" w:rsidRPr="00F941FA">
        <w:t>SF and help</w:t>
      </w:r>
      <w:r w:rsidR="00174522" w:rsidRPr="00F941FA">
        <w:t>s</w:t>
      </w:r>
      <w:r w:rsidR="00587C78" w:rsidRPr="00F941FA">
        <w:t xml:space="preserve"> qualifying consumers have the opportunities and security that phone service brings, including being able to connect to jobs, family members, and emergency services.</w:t>
      </w:r>
      <w:r w:rsidR="008044CE">
        <w:rPr>
          <w:rStyle w:val="FootnoteReference"/>
          <w:sz w:val="22"/>
          <w:szCs w:val="22"/>
        </w:rPr>
        <w:footnoteReference w:id="4"/>
      </w:r>
      <w:r w:rsidR="00587C78" w:rsidRPr="000520BF">
        <w:t xml:space="preserve">  </w:t>
      </w:r>
      <w:r w:rsidR="008044CE" w:rsidRPr="000520BF">
        <w:t xml:space="preserve">Lifeline </w:t>
      </w:r>
      <w:r w:rsidR="001144B1" w:rsidRPr="000520BF">
        <w:t xml:space="preserve">service </w:t>
      </w:r>
      <w:r w:rsidR="008044CE" w:rsidRPr="000520BF">
        <w:t xml:space="preserve">is provided by </w:t>
      </w:r>
      <w:r w:rsidR="006D67FD" w:rsidRPr="00F941FA">
        <w:t>Eligible Telecommunications Carrier</w:t>
      </w:r>
      <w:r w:rsidR="00BD7492" w:rsidRPr="00F941FA">
        <w:t>s</w:t>
      </w:r>
      <w:r w:rsidR="006D67FD" w:rsidRPr="00F941FA">
        <w:t xml:space="preserve"> (</w:t>
      </w:r>
      <w:r w:rsidR="00587C78" w:rsidRPr="00F941FA">
        <w:t>ETC</w:t>
      </w:r>
      <w:r w:rsidR="00BD7492" w:rsidRPr="00F941FA">
        <w:t>s</w:t>
      </w:r>
      <w:r w:rsidR="006D67FD" w:rsidRPr="00F941FA">
        <w:t>)</w:t>
      </w:r>
      <w:r w:rsidR="00587C78" w:rsidRPr="00F941FA">
        <w:t xml:space="preserve"> designated </w:t>
      </w:r>
      <w:r w:rsidR="008044CE" w:rsidRPr="00F941FA">
        <w:t>pursuant to</w:t>
      </w:r>
      <w:r w:rsidR="00587C78" w:rsidRPr="00F941FA">
        <w:t xml:space="preserve"> the </w:t>
      </w:r>
      <w:r w:rsidR="00774130" w:rsidRPr="00F941FA">
        <w:t>Communications Act of 1934, as amended (Act)</w:t>
      </w:r>
      <w:r w:rsidR="008044CE" w:rsidRPr="00F941FA">
        <w:t>.</w:t>
      </w:r>
      <w:r w:rsidR="00587C78" w:rsidRPr="00F941FA">
        <w:rPr>
          <w:vertAlign w:val="superscript"/>
        </w:rPr>
        <w:footnoteReference w:id="5"/>
      </w:r>
      <w:r w:rsidR="00587C78" w:rsidRPr="00F941FA">
        <w:t xml:space="preserve"> </w:t>
      </w:r>
      <w:r w:rsidR="008044CE" w:rsidRPr="00F941FA">
        <w:t xml:space="preserve"> </w:t>
      </w:r>
      <w:r w:rsidR="001041FF" w:rsidRPr="00F941FA">
        <w:t xml:space="preserve">An </w:t>
      </w:r>
      <w:r w:rsidR="008044CE" w:rsidRPr="00F941FA">
        <w:t xml:space="preserve">ETC </w:t>
      </w:r>
      <w:r w:rsidR="00587C78" w:rsidRPr="00F941FA">
        <w:t>may seek and receive reimbursement from the USF for revenues it forgoes in providing the discounted services to eligible customers</w:t>
      </w:r>
      <w:r w:rsidR="001041FF" w:rsidRPr="00F941FA">
        <w:t xml:space="preserve"> in accordance with the </w:t>
      </w:r>
      <w:r w:rsidR="00C3179D" w:rsidRPr="00F941FA">
        <w:t>r</w:t>
      </w:r>
      <w:r w:rsidR="001041FF" w:rsidRPr="00F941FA">
        <w:t>ules</w:t>
      </w:r>
      <w:r w:rsidR="00587C78" w:rsidRPr="00F941FA">
        <w:t>.</w:t>
      </w:r>
      <w:r w:rsidR="00587C78" w:rsidRPr="00F941FA">
        <w:rPr>
          <w:vertAlign w:val="superscript"/>
        </w:rPr>
        <w:footnoteReference w:id="6"/>
      </w:r>
      <w:r w:rsidR="00587C78" w:rsidRPr="00F941FA">
        <w:t xml:space="preserve">  </w:t>
      </w:r>
      <w:r w:rsidR="007B4F04" w:rsidRPr="00F941FA">
        <w:t xml:space="preserve">Section 54.403(a) of the </w:t>
      </w:r>
      <w:r w:rsidR="00E71B71" w:rsidRPr="00F941FA">
        <w:t>Commission’s r</w:t>
      </w:r>
      <w:r w:rsidR="007B4F04" w:rsidRPr="00F941FA">
        <w:t xml:space="preserve">ules specifies that an ETC may receive $9.25 per month for each qualifying low-income consumer receiving Lifeline </w:t>
      </w:r>
      <w:r w:rsidR="007B4F04" w:rsidRPr="00F941FA">
        <w:lastRenderedPageBreak/>
        <w:t>service</w:t>
      </w:r>
      <w:r w:rsidR="00542485" w:rsidRPr="00F941FA">
        <w:t>,</w:t>
      </w:r>
      <w:r w:rsidR="009E1A48">
        <w:rPr>
          <w:rStyle w:val="FootnoteReference"/>
          <w:sz w:val="22"/>
          <w:szCs w:val="22"/>
        </w:rPr>
        <w:footnoteReference w:id="7"/>
      </w:r>
      <w:r w:rsidR="007B4F04" w:rsidRPr="000520BF">
        <w:t xml:space="preserve"> and up to an additional $25 per month if the qualifying</w:t>
      </w:r>
      <w:r w:rsidR="007B4F04" w:rsidRPr="00F941FA">
        <w:t xml:space="preserve"> low-income consumer resides on Tribal lands.</w:t>
      </w:r>
      <w:r w:rsidR="007B4F04" w:rsidRPr="00BA2123">
        <w:rPr>
          <w:rStyle w:val="FootnoteReference"/>
          <w:sz w:val="22"/>
          <w:szCs w:val="22"/>
        </w:rPr>
        <w:footnoteReference w:id="8"/>
      </w:r>
      <w:r w:rsidR="007B4F04" w:rsidRPr="000520BF">
        <w:t xml:space="preserve">  ETCs are required to pass these discounts along to eligible low-income consumers.</w:t>
      </w:r>
      <w:r w:rsidR="007B4F04">
        <w:rPr>
          <w:rStyle w:val="FootnoteReference"/>
          <w:sz w:val="22"/>
          <w:szCs w:val="22"/>
        </w:rPr>
        <w:footnoteReference w:id="9"/>
      </w:r>
      <w:r w:rsidR="007B4F04" w:rsidRPr="000520BF">
        <w:t xml:space="preserve">  </w:t>
      </w:r>
    </w:p>
    <w:p w14:paraId="77A246DA" w14:textId="19EC7F70" w:rsidR="00587C78" w:rsidRPr="000520BF" w:rsidRDefault="00587C78" w:rsidP="00EA5AEB">
      <w:pPr>
        <w:pStyle w:val="ParaNum"/>
      </w:pPr>
      <w:r w:rsidRPr="00F941FA">
        <w:t xml:space="preserve">The </w:t>
      </w:r>
      <w:r w:rsidR="00E71B71" w:rsidRPr="00F941FA">
        <w:t xml:space="preserve">Commission’s </w:t>
      </w:r>
      <w:r w:rsidRPr="00F941FA">
        <w:t xml:space="preserve">Lifeline </w:t>
      </w:r>
      <w:r w:rsidR="00E71B71" w:rsidRPr="00F941FA">
        <w:t>r</w:t>
      </w:r>
      <w:r w:rsidRPr="00F941FA">
        <w:t xml:space="preserve">ules establish explicit requirements that ETCs must meet to receive federal </w:t>
      </w:r>
      <w:r w:rsidR="00E71B71" w:rsidRPr="00F941FA">
        <w:t xml:space="preserve">Lifeline </w:t>
      </w:r>
      <w:r w:rsidRPr="00F941FA">
        <w:t>support.</w:t>
      </w:r>
      <w:r w:rsidRPr="00BA2123">
        <w:rPr>
          <w:rStyle w:val="FootnoteReference"/>
          <w:sz w:val="22"/>
          <w:szCs w:val="22"/>
        </w:rPr>
        <w:footnoteReference w:id="10"/>
      </w:r>
      <w:r w:rsidRPr="000520BF">
        <w:t xml:space="preserve">  Section 54.407(a) of the </w:t>
      </w:r>
      <w:r w:rsidR="00E71B71" w:rsidRPr="000520BF">
        <w:t>r</w:t>
      </w:r>
      <w:r w:rsidRPr="00F941FA">
        <w:t xml:space="preserve">ules </w:t>
      </w:r>
      <w:r w:rsidR="00E71B71" w:rsidRPr="00F941FA">
        <w:t xml:space="preserve">requires </w:t>
      </w:r>
      <w:r w:rsidRPr="00F941FA">
        <w:t>that Lifeline support “shall be provided directly to an eligible telecommunications carrier, based on the number of actual qualifying low-income consumers it serves</w:t>
      </w:r>
      <w:r w:rsidR="007654E0" w:rsidRPr="00F941FA">
        <w:t>.</w:t>
      </w:r>
      <w:r w:rsidR="001675CF" w:rsidRPr="00F941FA">
        <w:t>”</w:t>
      </w:r>
      <w:r w:rsidR="001675CF" w:rsidRPr="00BA2123">
        <w:rPr>
          <w:rStyle w:val="FootnoteReference"/>
          <w:sz w:val="22"/>
          <w:szCs w:val="22"/>
        </w:rPr>
        <w:footnoteReference w:id="11"/>
      </w:r>
      <w:r w:rsidR="001675CF" w:rsidRPr="000520BF">
        <w:t xml:space="preserve"> </w:t>
      </w:r>
      <w:r w:rsidR="008A154B" w:rsidRPr="000520BF">
        <w:t xml:space="preserve"> </w:t>
      </w:r>
      <w:r w:rsidR="006044E7" w:rsidRPr="00F941FA">
        <w:t>Pursuant to Section 54.407(b)</w:t>
      </w:r>
      <w:r w:rsidR="000D12B4" w:rsidRPr="00F941FA">
        <w:t xml:space="preserve"> of the rules</w:t>
      </w:r>
      <w:r w:rsidR="006044E7" w:rsidRPr="00F941FA">
        <w:t>, a</w:t>
      </w:r>
      <w:r w:rsidR="007654E0" w:rsidRPr="00F941FA">
        <w:t>n</w:t>
      </w:r>
      <w:r w:rsidR="007654E0" w:rsidRPr="000520BF">
        <w:t xml:space="preserve"> ETC </w:t>
      </w:r>
      <w:r w:rsidR="001675CF" w:rsidRPr="000520BF">
        <w:t xml:space="preserve">may receive </w:t>
      </w:r>
      <w:r w:rsidR="006A5CD4" w:rsidRPr="000520BF">
        <w:t xml:space="preserve">Lifeline </w:t>
      </w:r>
      <w:r w:rsidR="001675CF" w:rsidRPr="000520BF">
        <w:t xml:space="preserve">support </w:t>
      </w:r>
      <w:r w:rsidR="004B7CC9" w:rsidRPr="00F941FA">
        <w:t>only</w:t>
      </w:r>
      <w:r w:rsidR="004B7CC9" w:rsidRPr="000520BF">
        <w:t xml:space="preserve"> </w:t>
      </w:r>
      <w:r w:rsidR="001675CF" w:rsidRPr="000520BF">
        <w:t>for qual</w:t>
      </w:r>
      <w:r w:rsidR="001675CF" w:rsidRPr="00F941FA">
        <w:t>ifying low-income consumer</w:t>
      </w:r>
      <w:r w:rsidR="006A5CD4" w:rsidRPr="00F941FA">
        <w:t>s.</w:t>
      </w:r>
      <w:r w:rsidRPr="00BA2123">
        <w:rPr>
          <w:rStyle w:val="FootnoteReference"/>
          <w:sz w:val="22"/>
          <w:szCs w:val="22"/>
        </w:rPr>
        <w:footnoteReference w:id="12"/>
      </w:r>
      <w:r w:rsidRPr="000520BF">
        <w:t xml:space="preserve">  </w:t>
      </w:r>
      <w:r w:rsidR="000A2BD8" w:rsidRPr="000520BF">
        <w:t xml:space="preserve">A “qualifying low-income consumer” must meet the eligibility criteria set forth in Section 54.409 </w:t>
      </w:r>
      <w:r w:rsidR="000A2BD8" w:rsidRPr="00F941FA">
        <w:t xml:space="preserve">of the </w:t>
      </w:r>
      <w:r w:rsidR="00C3179D" w:rsidRPr="00F941FA">
        <w:t>r</w:t>
      </w:r>
      <w:r w:rsidR="000A2BD8" w:rsidRPr="00F941FA">
        <w:t>ules</w:t>
      </w:r>
      <w:r w:rsidR="00680E12" w:rsidRPr="00F941FA">
        <w:t xml:space="preserve">, including the requirement that he or she </w:t>
      </w:r>
      <w:r w:rsidRPr="00F941FA">
        <w:t>“must not already be receiving a Lifeline service</w:t>
      </w:r>
      <w:r w:rsidR="007B4F04" w:rsidRPr="00F941FA">
        <w:t>,</w:t>
      </w:r>
      <w:r w:rsidRPr="00F941FA">
        <w:t>”</w:t>
      </w:r>
      <w:r w:rsidRPr="00BA2123">
        <w:rPr>
          <w:rStyle w:val="FootnoteReference"/>
          <w:sz w:val="22"/>
          <w:szCs w:val="22"/>
        </w:rPr>
        <w:footnoteReference w:id="13"/>
      </w:r>
      <w:r w:rsidR="00906745" w:rsidRPr="000520BF">
        <w:t xml:space="preserve"> </w:t>
      </w:r>
      <w:r w:rsidR="007B4F04" w:rsidRPr="000520BF">
        <w:t xml:space="preserve">and </w:t>
      </w:r>
      <w:r w:rsidR="00B61752" w:rsidRPr="00F941FA">
        <w:t xml:space="preserve">must, </w:t>
      </w:r>
      <w:r w:rsidR="007B4F04" w:rsidRPr="00F941FA">
        <w:t xml:space="preserve">pursuant to Section 54.410(d) of the </w:t>
      </w:r>
      <w:r w:rsidR="00C3179D" w:rsidRPr="00F941FA">
        <w:t>r</w:t>
      </w:r>
      <w:r w:rsidR="007B4F04" w:rsidRPr="00F941FA">
        <w:t>ules, certify his/her eligibility</w:t>
      </w:r>
      <w:r w:rsidR="007E114D" w:rsidRPr="00F941FA">
        <w:t xml:space="preserve"> to receive Lifeline service</w:t>
      </w:r>
      <w:r w:rsidR="007B4F04" w:rsidRPr="00F941FA">
        <w:t>.</w:t>
      </w:r>
      <w:r w:rsidR="007B4F04">
        <w:rPr>
          <w:rStyle w:val="FootnoteReference"/>
          <w:sz w:val="22"/>
          <w:szCs w:val="22"/>
        </w:rPr>
        <w:footnoteReference w:id="14"/>
      </w:r>
      <w:r w:rsidRPr="000520BF">
        <w:t xml:space="preserve"> </w:t>
      </w:r>
    </w:p>
    <w:p w14:paraId="27850AB7" w14:textId="2FE98CEA" w:rsidR="00E00C42" w:rsidRPr="000520BF" w:rsidRDefault="004B7CC9" w:rsidP="00EA5AEB">
      <w:pPr>
        <w:pStyle w:val="ParaNum"/>
      </w:pPr>
      <w:r w:rsidRPr="00F941FA">
        <w:t>Section 54.410(a) of t</w:t>
      </w:r>
      <w:r w:rsidR="0039355B" w:rsidRPr="00F941FA">
        <w:t xml:space="preserve">he </w:t>
      </w:r>
      <w:r w:rsidR="0039355B" w:rsidRPr="000520BF">
        <w:t xml:space="preserve">Commission’s rules </w:t>
      </w:r>
      <w:r w:rsidR="0039355B" w:rsidRPr="00F941FA">
        <w:t>require</w:t>
      </w:r>
      <w:r w:rsidRPr="00F941FA">
        <w:t>s further</w:t>
      </w:r>
      <w:r w:rsidR="0039355B" w:rsidRPr="000520BF">
        <w:t xml:space="preserve"> that </w:t>
      </w:r>
      <w:r w:rsidR="000A2BD8" w:rsidRPr="00F941FA">
        <w:t>ETC</w:t>
      </w:r>
      <w:r w:rsidRPr="00F941FA">
        <w:t>s</w:t>
      </w:r>
      <w:r w:rsidR="000A2BD8" w:rsidRPr="000520BF">
        <w:t xml:space="preserve"> have procedures in place </w:t>
      </w:r>
      <w:r w:rsidR="007B4F04" w:rsidRPr="00F941FA">
        <w:t>“</w:t>
      </w:r>
      <w:r w:rsidR="00E65663" w:rsidRPr="000520BF">
        <w:t xml:space="preserve">to </w:t>
      </w:r>
      <w:r w:rsidR="007B4F04" w:rsidRPr="00F941FA">
        <w:t>ensur</w:t>
      </w:r>
      <w:r w:rsidR="00E65663" w:rsidRPr="00F941FA">
        <w:t>e</w:t>
      </w:r>
      <w:r w:rsidR="007B4F04" w:rsidRPr="000520BF">
        <w:t xml:space="preserve"> that their Lifeline subscribers are eligible to receive Lifeline services</w:t>
      </w:r>
      <w:r w:rsidR="00E65663" w:rsidRPr="00F941FA">
        <w:t>.</w:t>
      </w:r>
      <w:r w:rsidR="007B4F04" w:rsidRPr="00F941FA">
        <w:t>”</w:t>
      </w:r>
      <w:r w:rsidR="007B4F04">
        <w:rPr>
          <w:rStyle w:val="FootnoteReference"/>
          <w:sz w:val="22"/>
          <w:szCs w:val="22"/>
        </w:rPr>
        <w:footnoteReference w:id="15"/>
      </w:r>
      <w:r w:rsidRPr="00F34496">
        <w:t xml:space="preserve">  </w:t>
      </w:r>
      <w:r w:rsidR="00E65663" w:rsidRPr="00F941FA">
        <w:t>A</w:t>
      </w:r>
      <w:r w:rsidRPr="00F941FA">
        <w:t xml:space="preserve">s explained above, </w:t>
      </w:r>
      <w:r w:rsidR="00E65663" w:rsidRPr="00F941FA">
        <w:t xml:space="preserve">such eligibility requires that </w:t>
      </w:r>
      <w:r w:rsidRPr="00F941FA">
        <w:t xml:space="preserve">a consumer </w:t>
      </w:r>
      <w:r w:rsidR="00E65663" w:rsidRPr="00F941FA">
        <w:t>seeking Lifeline service</w:t>
      </w:r>
      <w:r w:rsidR="006204C3" w:rsidRPr="00F941FA">
        <w:t xml:space="preserve"> may</w:t>
      </w:r>
      <w:r w:rsidR="00E65663" w:rsidRPr="000520BF">
        <w:t xml:space="preserve"> </w:t>
      </w:r>
      <w:r w:rsidRPr="000520BF">
        <w:t xml:space="preserve">not already </w:t>
      </w:r>
      <w:r w:rsidRPr="00F941FA">
        <w:t>receiv</w:t>
      </w:r>
      <w:r w:rsidR="006204C3" w:rsidRPr="00F941FA">
        <w:t>e</w:t>
      </w:r>
      <w:r w:rsidRPr="000520BF">
        <w:t xml:space="preserve"> Lifeline service.</w:t>
      </w:r>
      <w:r w:rsidR="007B4F04" w:rsidRPr="000520BF">
        <w:t xml:space="preserve"> </w:t>
      </w:r>
      <w:r w:rsidR="00AE2D27" w:rsidRPr="000520BF">
        <w:t xml:space="preserve"> </w:t>
      </w:r>
      <w:r w:rsidR="00B61752" w:rsidRPr="00F941FA">
        <w:t xml:space="preserve">This obligation </w:t>
      </w:r>
      <w:r w:rsidRPr="00F941FA">
        <w:t>therefore</w:t>
      </w:r>
      <w:r w:rsidRPr="000520BF">
        <w:t xml:space="preserve"> </w:t>
      </w:r>
      <w:r w:rsidR="00B61752" w:rsidRPr="000520BF">
        <w:t>requires, among other steps, that an ETC search its own internal rec</w:t>
      </w:r>
      <w:r w:rsidR="00B61752" w:rsidRPr="00F941FA">
        <w:t xml:space="preserve">ords to ensure that the ETC does not </w:t>
      </w:r>
      <w:r w:rsidR="00B61752" w:rsidRPr="000520BF">
        <w:t xml:space="preserve">provide </w:t>
      </w:r>
      <w:r w:rsidRPr="00F941FA">
        <w:t xml:space="preserve">duplicate </w:t>
      </w:r>
      <w:r w:rsidR="00B61752" w:rsidRPr="000520BF">
        <w:t xml:space="preserve">Lifeline service to </w:t>
      </w:r>
      <w:r w:rsidRPr="00F941FA">
        <w:t>any subscriber</w:t>
      </w:r>
      <w:r w:rsidR="00B61752" w:rsidRPr="00F941FA">
        <w:t xml:space="preserve"> (</w:t>
      </w:r>
      <w:r w:rsidRPr="00F941FA">
        <w:t>an “</w:t>
      </w:r>
      <w:r w:rsidR="00B61752" w:rsidRPr="000520BF">
        <w:t>intra-company duplicate</w:t>
      </w:r>
      <w:r w:rsidRPr="00F941FA">
        <w:t>”</w:t>
      </w:r>
      <w:r w:rsidR="00B61752" w:rsidRPr="00F941FA">
        <w:t>).</w:t>
      </w:r>
      <w:r w:rsidR="00B61752" w:rsidRPr="00BA2123">
        <w:rPr>
          <w:rStyle w:val="FootnoteReference"/>
          <w:sz w:val="22"/>
          <w:szCs w:val="22"/>
        </w:rPr>
        <w:footnoteReference w:id="16"/>
      </w:r>
      <w:r w:rsidR="00B61752" w:rsidRPr="000520BF">
        <w:t xml:space="preserve">  </w:t>
      </w:r>
    </w:p>
    <w:p w14:paraId="35F8C926" w14:textId="7353487C" w:rsidR="005B492F" w:rsidRPr="00F941FA" w:rsidRDefault="00463A51" w:rsidP="00EA5AEB">
      <w:pPr>
        <w:pStyle w:val="ParaNum"/>
      </w:pPr>
      <w:r w:rsidRPr="00F941FA">
        <w:t xml:space="preserve">The </w:t>
      </w:r>
      <w:r w:rsidR="0039355B" w:rsidRPr="00F941FA">
        <w:t>Commission’s r</w:t>
      </w:r>
      <w:r w:rsidRPr="00F941FA">
        <w:t xml:space="preserve">ules </w:t>
      </w:r>
      <w:r w:rsidR="00E00C42" w:rsidRPr="00F941FA">
        <w:t xml:space="preserve">further </w:t>
      </w:r>
      <w:r w:rsidRPr="00F941FA">
        <w:t>prohibit an ETC from seeking reimbursement for providing Lifeline service to a subscriber unless the ETC has confirmed the subscriber’s eligibility</w:t>
      </w:r>
      <w:r w:rsidR="00B61752" w:rsidRPr="00F941FA">
        <w:t xml:space="preserve"> to receive </w:t>
      </w:r>
      <w:r w:rsidR="00E00C42" w:rsidRPr="00F941FA">
        <w:t>Lifeline service.</w:t>
      </w:r>
      <w:r w:rsidR="00E00C42">
        <w:rPr>
          <w:rStyle w:val="FootnoteReference"/>
          <w:sz w:val="22"/>
          <w:szCs w:val="22"/>
        </w:rPr>
        <w:footnoteReference w:id="17"/>
      </w:r>
      <w:r w:rsidR="00E00C42" w:rsidRPr="000520BF">
        <w:t xml:space="preserve"> </w:t>
      </w:r>
      <w:r w:rsidR="00E00C42" w:rsidRPr="00F941FA">
        <w:t xml:space="preserve"> In accordance with Section 54.410,</w:t>
      </w:r>
      <w:r w:rsidR="00E00C42" w:rsidRPr="000520BF">
        <w:t xml:space="preserve"> </w:t>
      </w:r>
      <w:r w:rsidR="00633212" w:rsidRPr="00F941FA">
        <w:t xml:space="preserve">before an ETC may seek reimbursement, it </w:t>
      </w:r>
      <w:r w:rsidR="00E00C42" w:rsidRPr="00F941FA">
        <w:t>must receive</w:t>
      </w:r>
      <w:r w:rsidR="00B84F2B" w:rsidRPr="00F941FA">
        <w:t xml:space="preserve"> </w:t>
      </w:r>
      <w:r w:rsidR="00E00C42" w:rsidRPr="00F941FA">
        <w:t>a c</w:t>
      </w:r>
      <w:r w:rsidR="007953DE" w:rsidRPr="00F941FA">
        <w:t>ertification of eligibility</w:t>
      </w:r>
      <w:r w:rsidR="00E00C42" w:rsidRPr="00F941FA">
        <w:t xml:space="preserve"> from the prospective subscriber</w:t>
      </w:r>
      <w:r w:rsidR="007953DE" w:rsidRPr="00F941FA">
        <w:t xml:space="preserve"> that demonstrates </w:t>
      </w:r>
      <w:r w:rsidR="007339A1" w:rsidRPr="00F941FA">
        <w:t xml:space="preserve">that </w:t>
      </w:r>
      <w:r w:rsidR="007953DE" w:rsidRPr="000520BF">
        <w:t>the subscriber meets the income-based and program-based eligibility criteria</w:t>
      </w:r>
      <w:r w:rsidR="00E00C42" w:rsidRPr="00F941FA">
        <w:t xml:space="preserve"> for receiving Lifeline service, </w:t>
      </w:r>
      <w:r w:rsidR="007339A1" w:rsidRPr="00F941FA">
        <w:t>and</w:t>
      </w:r>
      <w:r w:rsidR="00E00C42" w:rsidRPr="000520BF">
        <w:t xml:space="preserve"> that the subscriber is not </w:t>
      </w:r>
      <w:r w:rsidR="00E00C42" w:rsidRPr="00F941FA">
        <w:t>already receiving Lifeline service</w:t>
      </w:r>
      <w:r w:rsidRPr="00F941FA">
        <w:t>.</w:t>
      </w:r>
      <w:r>
        <w:rPr>
          <w:rStyle w:val="FootnoteReference"/>
          <w:sz w:val="22"/>
          <w:szCs w:val="22"/>
        </w:rPr>
        <w:footnoteReference w:id="18"/>
      </w:r>
      <w:r w:rsidRPr="000520BF">
        <w:t xml:space="preserve">  </w:t>
      </w:r>
      <w:r w:rsidR="0012719E" w:rsidRPr="00F941FA">
        <w:t>As the for</w:t>
      </w:r>
      <w:r w:rsidR="002D54BB" w:rsidRPr="00F941FA">
        <w:t>e</w:t>
      </w:r>
      <w:r w:rsidR="0012719E" w:rsidRPr="00F941FA">
        <w:t>going</w:t>
      </w:r>
      <w:r w:rsidR="0012719E" w:rsidRPr="000520BF">
        <w:t xml:space="preserve"> discussion reveals, w</w:t>
      </w:r>
      <w:r w:rsidR="000A2BD8" w:rsidRPr="00F941FA">
        <w:t xml:space="preserve">hen an ETC seeks Lifeline service support reimbursement for a low-income consumer who already receives Lifeline service from that </w:t>
      </w:r>
      <w:r w:rsidR="00542485" w:rsidRPr="00F941FA">
        <w:t xml:space="preserve">same </w:t>
      </w:r>
      <w:r w:rsidR="000A2BD8" w:rsidRPr="00F941FA">
        <w:t>ETC</w:t>
      </w:r>
      <w:r w:rsidR="000A2BD8" w:rsidRPr="000520BF">
        <w:t xml:space="preserve">, that ETC has </w:t>
      </w:r>
      <w:r w:rsidR="00AD3CC2" w:rsidRPr="00F941FA">
        <w:t xml:space="preserve">violated </w:t>
      </w:r>
      <w:r w:rsidR="000A2BD8" w:rsidRPr="00F941FA">
        <w:t xml:space="preserve">its obligation </w:t>
      </w:r>
      <w:r w:rsidR="00AD3CC2" w:rsidRPr="00F941FA">
        <w:t>in</w:t>
      </w:r>
      <w:r w:rsidR="00AD3CC2" w:rsidRPr="000520BF">
        <w:t xml:space="preserve"> </w:t>
      </w:r>
      <w:r w:rsidR="00542485" w:rsidRPr="00F941FA">
        <w:t xml:space="preserve">the </w:t>
      </w:r>
      <w:r w:rsidR="00AD3CC2" w:rsidRPr="00F941FA">
        <w:t>Commission’s r</w:t>
      </w:r>
      <w:r w:rsidR="00542485" w:rsidRPr="00F941FA">
        <w:t xml:space="preserve">ules </w:t>
      </w:r>
      <w:r w:rsidR="000A2BD8" w:rsidRPr="00F941FA">
        <w:t>to confirm the subscriber’s eligibility for Lifeline service.</w:t>
      </w:r>
      <w:r w:rsidR="00906745" w:rsidRPr="00F941FA">
        <w:t xml:space="preserve">  </w:t>
      </w:r>
    </w:p>
    <w:p w14:paraId="24499943" w14:textId="77777777" w:rsidR="001951AF" w:rsidRPr="00F941FA" w:rsidRDefault="00587C78" w:rsidP="00F941FA">
      <w:pPr>
        <w:pStyle w:val="ParaNum"/>
      </w:pPr>
      <w:r w:rsidRPr="00F941FA">
        <w:t xml:space="preserve">ETCs that provide qualifying low-income consumers with Lifeline discounts file </w:t>
      </w:r>
      <w:r w:rsidR="008044CE" w:rsidRPr="00F941FA">
        <w:t xml:space="preserve">an </w:t>
      </w:r>
      <w:r w:rsidRPr="00F941FA">
        <w:t xml:space="preserve">FCC Form 497 with </w:t>
      </w:r>
      <w:r w:rsidR="00516541" w:rsidRPr="00885C8C">
        <w:rPr>
          <w:rStyle w:val="documentbody1"/>
          <w:rFonts w:ascii="Times New Roman" w:hAnsi="Times New Roman"/>
          <w:bCs/>
          <w:color w:val="000000"/>
          <w:sz w:val="22"/>
          <w:szCs w:val="22"/>
        </w:rPr>
        <w:t xml:space="preserve">the </w:t>
      </w:r>
      <w:r w:rsidR="00516541" w:rsidRPr="000520BF">
        <w:t>Universal Service Administrative Company (USAC)</w:t>
      </w:r>
      <w:r w:rsidRPr="00F941FA">
        <w:t xml:space="preserve">, either quarterly or monthly, to request support that reimburses them for providing service at the discounted rates.  An ETC’s FCC Form 497 documents the number of </w:t>
      </w:r>
      <w:r w:rsidR="008044CE" w:rsidRPr="00F941FA">
        <w:t xml:space="preserve">qualifying </w:t>
      </w:r>
      <w:r w:rsidRPr="00F941FA">
        <w:t xml:space="preserve">low-income customers served and the total amount of Lifeline support claimed by the ETC during the specified time period.  </w:t>
      </w:r>
      <w:r w:rsidR="005B492F" w:rsidRPr="00F941FA">
        <w:t>Section 54.407(d) provides that an ETC may receive reimbursement from the Fund, however, only if it certifies as part of its reimbursement request that it is in compliance with the Lifeline rules.</w:t>
      </w:r>
      <w:r w:rsidR="005B492F">
        <w:rPr>
          <w:rStyle w:val="FootnoteReference"/>
          <w:sz w:val="22"/>
          <w:szCs w:val="22"/>
        </w:rPr>
        <w:footnoteReference w:id="19"/>
      </w:r>
      <w:r w:rsidR="005B492F" w:rsidRPr="00F34496">
        <w:t xml:space="preserve">  </w:t>
      </w:r>
      <w:r w:rsidRPr="000520BF">
        <w:t xml:space="preserve">An ETC may revise its Form 497 data within 12 months after </w:t>
      </w:r>
      <w:r w:rsidR="001A2AAC" w:rsidRPr="00F941FA">
        <w:t>the data</w:t>
      </w:r>
      <w:r w:rsidRPr="00F941FA">
        <w:t xml:space="preserve"> is submitted.</w:t>
      </w:r>
      <w:r w:rsidR="00A61037">
        <w:rPr>
          <w:rStyle w:val="FootnoteReference"/>
          <w:sz w:val="22"/>
          <w:szCs w:val="22"/>
        </w:rPr>
        <w:footnoteReference w:id="20"/>
      </w:r>
      <w:r w:rsidRPr="000520BF">
        <w:t xml:space="preserve">  </w:t>
      </w:r>
    </w:p>
    <w:p w14:paraId="36896CBE" w14:textId="311B0CF3" w:rsidR="00516541" w:rsidRPr="00EA5AEB" w:rsidRDefault="005B492F" w:rsidP="00EA5AEB">
      <w:pPr>
        <w:pStyle w:val="ParaNum"/>
        <w:rPr>
          <w:rStyle w:val="documentbody1"/>
          <w:rFonts w:ascii="Times New Roman" w:hAnsi="Times New Roman"/>
          <w:sz w:val="22"/>
        </w:rPr>
      </w:pPr>
      <w:r w:rsidRPr="000520BF">
        <w:t>In addition to reviewing claims su</w:t>
      </w:r>
      <w:r w:rsidRPr="00F941FA">
        <w:t>bmitted by ETCs, USAC conducts in-depth data validations (IDVs) to further ensure compliance with the Lifeline rules.</w:t>
      </w:r>
      <w:r w:rsidRPr="00BA2123">
        <w:rPr>
          <w:rStyle w:val="FootnoteReference"/>
          <w:sz w:val="22"/>
          <w:szCs w:val="22"/>
        </w:rPr>
        <w:footnoteReference w:id="21"/>
      </w:r>
      <w:r w:rsidRPr="00F34496">
        <w:t xml:space="preserve">  </w:t>
      </w:r>
      <w:r w:rsidR="00516541" w:rsidRPr="004C5FB1">
        <w:rPr>
          <w:rStyle w:val="documentbody1"/>
          <w:rFonts w:ascii="Times New Roman" w:hAnsi="Times New Roman"/>
          <w:bCs/>
          <w:color w:val="000000"/>
          <w:sz w:val="22"/>
          <w:szCs w:val="22"/>
        </w:rPr>
        <w:t xml:space="preserve">When a company is selected for an IDV, USAC </w:t>
      </w:r>
      <w:r w:rsidR="00345281" w:rsidRPr="004C5FB1">
        <w:rPr>
          <w:rStyle w:val="documentbody1"/>
          <w:rFonts w:ascii="Times New Roman" w:hAnsi="Times New Roman"/>
          <w:bCs/>
          <w:color w:val="000000"/>
          <w:sz w:val="22"/>
          <w:szCs w:val="22"/>
        </w:rPr>
        <w:t>will send</w:t>
      </w:r>
      <w:r w:rsidR="00516541" w:rsidRPr="00885C8C">
        <w:rPr>
          <w:rStyle w:val="documentbody1"/>
          <w:rFonts w:ascii="Times New Roman" w:hAnsi="Times New Roman"/>
          <w:bCs/>
          <w:color w:val="000000"/>
          <w:sz w:val="22"/>
          <w:szCs w:val="22"/>
        </w:rPr>
        <w:t xml:space="preserve"> the company a letter requesting subscriber data for a prior month or months.</w:t>
      </w:r>
      <w:r w:rsidR="00A61037">
        <w:rPr>
          <w:rStyle w:val="FootnoteReference"/>
          <w:bCs/>
          <w:color w:val="000000"/>
          <w:sz w:val="22"/>
          <w:szCs w:val="22"/>
        </w:rPr>
        <w:footnoteReference w:id="22"/>
      </w:r>
      <w:r w:rsidR="00516541" w:rsidRPr="00885C8C">
        <w:rPr>
          <w:rStyle w:val="documentbody1"/>
          <w:rFonts w:ascii="Times New Roman" w:hAnsi="Times New Roman"/>
          <w:bCs/>
          <w:color w:val="000000"/>
          <w:sz w:val="22"/>
          <w:szCs w:val="22"/>
        </w:rPr>
        <w:t xml:space="preserve"> </w:t>
      </w:r>
      <w:r w:rsidR="00345281" w:rsidRPr="006A7EA1">
        <w:rPr>
          <w:rStyle w:val="documentbody1"/>
          <w:rFonts w:ascii="Times New Roman" w:hAnsi="Times New Roman"/>
          <w:bCs/>
          <w:color w:val="000000"/>
          <w:sz w:val="22"/>
          <w:szCs w:val="22"/>
        </w:rPr>
        <w:t xml:space="preserve"> </w:t>
      </w:r>
      <w:r w:rsidR="00516541" w:rsidRPr="006A7EA1">
        <w:rPr>
          <w:rStyle w:val="documentbody1"/>
          <w:rFonts w:ascii="Times New Roman" w:hAnsi="Times New Roman"/>
          <w:bCs/>
          <w:color w:val="000000"/>
          <w:sz w:val="22"/>
          <w:szCs w:val="22"/>
        </w:rPr>
        <w:t xml:space="preserve">Once </w:t>
      </w:r>
      <w:r w:rsidR="00123FF1">
        <w:rPr>
          <w:rStyle w:val="documentbody1"/>
          <w:rFonts w:ascii="Times New Roman" w:hAnsi="Times New Roman"/>
          <w:bCs/>
          <w:color w:val="000000"/>
          <w:sz w:val="22"/>
          <w:szCs w:val="22"/>
        </w:rPr>
        <w:t xml:space="preserve">USAC receives the company’s data, it </w:t>
      </w:r>
      <w:r w:rsidR="006204C3">
        <w:rPr>
          <w:rStyle w:val="documentbody1"/>
          <w:rFonts w:ascii="Times New Roman" w:hAnsi="Times New Roman"/>
          <w:bCs/>
          <w:color w:val="000000"/>
          <w:sz w:val="22"/>
          <w:szCs w:val="22"/>
        </w:rPr>
        <w:t>analyzes</w:t>
      </w:r>
      <w:r w:rsidR="00123FF1">
        <w:rPr>
          <w:rStyle w:val="documentbody1"/>
          <w:rFonts w:ascii="Times New Roman" w:hAnsi="Times New Roman"/>
          <w:bCs/>
          <w:color w:val="000000"/>
          <w:sz w:val="22"/>
          <w:szCs w:val="22"/>
        </w:rPr>
        <w:t xml:space="preserve"> the </w:t>
      </w:r>
      <w:r w:rsidR="00E00C42">
        <w:rPr>
          <w:rStyle w:val="documentbody1"/>
          <w:rFonts w:ascii="Times New Roman" w:hAnsi="Times New Roman"/>
          <w:bCs/>
          <w:color w:val="000000"/>
          <w:sz w:val="22"/>
          <w:szCs w:val="22"/>
        </w:rPr>
        <w:t xml:space="preserve">company’s </w:t>
      </w:r>
      <w:r w:rsidR="00123FF1">
        <w:rPr>
          <w:rStyle w:val="documentbody1"/>
          <w:rFonts w:ascii="Times New Roman" w:hAnsi="Times New Roman"/>
          <w:bCs/>
          <w:color w:val="000000"/>
          <w:sz w:val="22"/>
          <w:szCs w:val="22"/>
        </w:rPr>
        <w:t>subscriber information to determine whether there are any duplicate subscribers and</w:t>
      </w:r>
      <w:r w:rsidR="00516541" w:rsidRPr="007F649B">
        <w:rPr>
          <w:rStyle w:val="documentbody1"/>
          <w:rFonts w:ascii="Times New Roman" w:hAnsi="Times New Roman"/>
          <w:bCs/>
          <w:color w:val="000000"/>
          <w:sz w:val="22"/>
          <w:szCs w:val="22"/>
        </w:rPr>
        <w:t xml:space="preserve"> send</w:t>
      </w:r>
      <w:r w:rsidR="001836A8">
        <w:rPr>
          <w:rStyle w:val="documentbody1"/>
          <w:rFonts w:ascii="Times New Roman" w:hAnsi="Times New Roman"/>
          <w:bCs/>
          <w:color w:val="000000"/>
          <w:sz w:val="22"/>
          <w:szCs w:val="22"/>
        </w:rPr>
        <w:t>s</w:t>
      </w:r>
      <w:r w:rsidR="00516541" w:rsidRPr="007F649B">
        <w:rPr>
          <w:rStyle w:val="documentbody1"/>
          <w:rFonts w:ascii="Times New Roman" w:hAnsi="Times New Roman"/>
          <w:bCs/>
          <w:color w:val="000000"/>
          <w:sz w:val="22"/>
          <w:szCs w:val="22"/>
        </w:rPr>
        <w:t xml:space="preserve"> the company another letter with its initial result</w:t>
      </w:r>
      <w:r w:rsidR="00263131">
        <w:rPr>
          <w:rStyle w:val="documentbody1"/>
          <w:rFonts w:ascii="Times New Roman" w:hAnsi="Times New Roman"/>
          <w:bCs/>
          <w:color w:val="000000"/>
          <w:sz w:val="22"/>
          <w:szCs w:val="22"/>
        </w:rPr>
        <w:t>s</w:t>
      </w:r>
      <w:r w:rsidR="00123FF1">
        <w:rPr>
          <w:rStyle w:val="documentbody1"/>
          <w:rFonts w:ascii="Times New Roman" w:hAnsi="Times New Roman"/>
          <w:bCs/>
          <w:color w:val="000000"/>
          <w:sz w:val="22"/>
          <w:szCs w:val="22"/>
        </w:rPr>
        <w:t xml:space="preserve">.  USAC </w:t>
      </w:r>
      <w:r w:rsidR="00516541" w:rsidRPr="007F649B">
        <w:rPr>
          <w:rStyle w:val="documentbody1"/>
          <w:rFonts w:ascii="Times New Roman" w:hAnsi="Times New Roman"/>
          <w:bCs/>
          <w:color w:val="000000"/>
          <w:sz w:val="22"/>
          <w:szCs w:val="22"/>
        </w:rPr>
        <w:t xml:space="preserve">provides the company with an opportunity </w:t>
      </w:r>
      <w:r w:rsidR="001A2AAC">
        <w:rPr>
          <w:rStyle w:val="documentbody1"/>
          <w:rFonts w:ascii="Times New Roman" w:hAnsi="Times New Roman"/>
          <w:bCs/>
          <w:color w:val="000000"/>
          <w:sz w:val="22"/>
          <w:szCs w:val="22"/>
        </w:rPr>
        <w:t xml:space="preserve">to </w:t>
      </w:r>
      <w:r w:rsidR="007C6FAB">
        <w:rPr>
          <w:rStyle w:val="documentbody1"/>
          <w:rFonts w:ascii="Times New Roman" w:hAnsi="Times New Roman"/>
          <w:bCs/>
          <w:color w:val="000000"/>
          <w:sz w:val="22"/>
          <w:szCs w:val="22"/>
        </w:rPr>
        <w:t>submit</w:t>
      </w:r>
      <w:r w:rsidR="007C6FAB" w:rsidRPr="007F649B">
        <w:rPr>
          <w:rStyle w:val="documentbody1"/>
          <w:rFonts w:ascii="Times New Roman" w:hAnsi="Times New Roman"/>
          <w:bCs/>
          <w:color w:val="000000"/>
          <w:sz w:val="22"/>
          <w:szCs w:val="22"/>
        </w:rPr>
        <w:t xml:space="preserve"> </w:t>
      </w:r>
      <w:r w:rsidR="00516541" w:rsidRPr="007F649B">
        <w:rPr>
          <w:rStyle w:val="documentbody1"/>
          <w:rFonts w:ascii="Times New Roman" w:hAnsi="Times New Roman"/>
          <w:bCs/>
          <w:color w:val="000000"/>
          <w:sz w:val="22"/>
          <w:szCs w:val="22"/>
        </w:rPr>
        <w:t>a revised subscriber list</w:t>
      </w:r>
      <w:r w:rsidR="008044CE">
        <w:rPr>
          <w:rStyle w:val="documentbody1"/>
          <w:rFonts w:ascii="Times New Roman" w:hAnsi="Times New Roman"/>
          <w:bCs/>
          <w:color w:val="000000"/>
          <w:sz w:val="22"/>
          <w:szCs w:val="22"/>
        </w:rPr>
        <w:t xml:space="preserve"> to correct subscriber data or </w:t>
      </w:r>
      <w:r w:rsidR="00123FF1">
        <w:rPr>
          <w:rStyle w:val="documentbody1"/>
          <w:rFonts w:ascii="Times New Roman" w:hAnsi="Times New Roman"/>
          <w:bCs/>
          <w:color w:val="000000"/>
          <w:sz w:val="22"/>
          <w:szCs w:val="22"/>
        </w:rPr>
        <w:t xml:space="preserve">to </w:t>
      </w:r>
      <w:r w:rsidR="008044CE">
        <w:rPr>
          <w:rStyle w:val="documentbody1"/>
          <w:rFonts w:ascii="Times New Roman" w:hAnsi="Times New Roman"/>
          <w:bCs/>
          <w:color w:val="000000"/>
          <w:sz w:val="22"/>
          <w:szCs w:val="22"/>
        </w:rPr>
        <w:t>remove subscribers that are no longer receiving service</w:t>
      </w:r>
      <w:r w:rsidR="00516541" w:rsidRPr="007F649B">
        <w:rPr>
          <w:rStyle w:val="documentbody1"/>
          <w:rFonts w:ascii="Times New Roman" w:hAnsi="Times New Roman"/>
          <w:bCs/>
          <w:color w:val="000000"/>
          <w:sz w:val="22"/>
          <w:szCs w:val="22"/>
        </w:rPr>
        <w:t>.  I</w:t>
      </w:r>
      <w:r w:rsidR="00516541" w:rsidRPr="00A265C7">
        <w:rPr>
          <w:rStyle w:val="documentbody1"/>
          <w:rFonts w:ascii="Times New Roman" w:hAnsi="Times New Roman"/>
          <w:bCs/>
          <w:color w:val="000000"/>
          <w:sz w:val="22"/>
          <w:szCs w:val="22"/>
        </w:rPr>
        <w:t xml:space="preserve">f </w:t>
      </w:r>
      <w:r w:rsidR="00516541" w:rsidRPr="000520BF">
        <w:t xml:space="preserve">USAC determines that </w:t>
      </w:r>
      <w:r w:rsidR="00516541" w:rsidRPr="00A265C7">
        <w:rPr>
          <w:rStyle w:val="documentbody1"/>
          <w:rFonts w:ascii="Times New Roman" w:hAnsi="Times New Roman"/>
          <w:bCs/>
          <w:color w:val="000000"/>
          <w:sz w:val="22"/>
          <w:szCs w:val="22"/>
        </w:rPr>
        <w:t>a low-income consumer is the recipient of multipl</w:t>
      </w:r>
      <w:r w:rsidR="00516541" w:rsidRPr="005B3CE9">
        <w:rPr>
          <w:rStyle w:val="documentbody1"/>
          <w:rFonts w:ascii="Times New Roman" w:hAnsi="Times New Roman"/>
          <w:bCs/>
          <w:color w:val="000000"/>
          <w:sz w:val="22"/>
          <w:szCs w:val="22"/>
        </w:rPr>
        <w:t xml:space="preserve">e Lifeline </w:t>
      </w:r>
      <w:r w:rsidR="001A6909">
        <w:rPr>
          <w:rStyle w:val="documentbody1"/>
          <w:rFonts w:ascii="Times New Roman" w:hAnsi="Times New Roman"/>
          <w:bCs/>
          <w:color w:val="000000"/>
          <w:sz w:val="22"/>
          <w:szCs w:val="22"/>
        </w:rPr>
        <w:t>benefits</w:t>
      </w:r>
      <w:r w:rsidR="00516541" w:rsidRPr="005B3CE9">
        <w:rPr>
          <w:rStyle w:val="documentbody1"/>
          <w:rFonts w:ascii="Times New Roman" w:hAnsi="Times New Roman"/>
          <w:bCs/>
          <w:color w:val="000000"/>
          <w:sz w:val="22"/>
          <w:szCs w:val="22"/>
        </w:rPr>
        <w:t xml:space="preserve"> from </w:t>
      </w:r>
      <w:r w:rsidR="008044CE">
        <w:rPr>
          <w:rStyle w:val="documentbody1"/>
          <w:rFonts w:ascii="Times New Roman" w:hAnsi="Times New Roman"/>
          <w:bCs/>
          <w:color w:val="000000"/>
          <w:sz w:val="22"/>
          <w:szCs w:val="22"/>
        </w:rPr>
        <w:t>th</w:t>
      </w:r>
      <w:r w:rsidR="00255383">
        <w:rPr>
          <w:rStyle w:val="documentbody1"/>
          <w:rFonts w:ascii="Times New Roman" w:hAnsi="Times New Roman"/>
          <w:bCs/>
          <w:color w:val="000000"/>
          <w:sz w:val="22"/>
          <w:szCs w:val="22"/>
        </w:rPr>
        <w:t>at</w:t>
      </w:r>
      <w:r w:rsidR="008044CE">
        <w:rPr>
          <w:rStyle w:val="documentbody1"/>
          <w:rFonts w:ascii="Times New Roman" w:hAnsi="Times New Roman"/>
          <w:bCs/>
          <w:color w:val="000000"/>
          <w:sz w:val="22"/>
          <w:szCs w:val="22"/>
        </w:rPr>
        <w:t xml:space="preserve"> same </w:t>
      </w:r>
      <w:r w:rsidR="00516541" w:rsidRPr="00BA17AB">
        <w:rPr>
          <w:rStyle w:val="documentbody1"/>
          <w:rFonts w:ascii="Times New Roman" w:hAnsi="Times New Roman"/>
          <w:bCs/>
          <w:color w:val="000000"/>
          <w:sz w:val="22"/>
          <w:szCs w:val="22"/>
        </w:rPr>
        <w:t xml:space="preserve">ETC, it will send another letter to the </w:t>
      </w:r>
      <w:r w:rsidR="008044CE">
        <w:rPr>
          <w:rStyle w:val="documentbody1"/>
          <w:rFonts w:ascii="Times New Roman" w:hAnsi="Times New Roman"/>
          <w:bCs/>
          <w:color w:val="000000"/>
          <w:sz w:val="22"/>
          <w:szCs w:val="22"/>
        </w:rPr>
        <w:t>ETC</w:t>
      </w:r>
      <w:r w:rsidR="00516541" w:rsidRPr="00BA17AB">
        <w:rPr>
          <w:rStyle w:val="documentbody1"/>
          <w:rFonts w:ascii="Times New Roman" w:hAnsi="Times New Roman"/>
          <w:bCs/>
          <w:color w:val="000000"/>
          <w:sz w:val="22"/>
          <w:szCs w:val="22"/>
        </w:rPr>
        <w:t xml:space="preserve"> identifying the instances of </w:t>
      </w:r>
      <w:r w:rsidR="00123FF1" w:rsidRPr="00BA17AB">
        <w:rPr>
          <w:rStyle w:val="documentbody1"/>
          <w:rFonts w:ascii="Times New Roman" w:hAnsi="Times New Roman"/>
          <w:bCs/>
          <w:color w:val="000000"/>
          <w:sz w:val="22"/>
          <w:szCs w:val="22"/>
        </w:rPr>
        <w:t xml:space="preserve">intra-company </w:t>
      </w:r>
      <w:r w:rsidR="00516541" w:rsidRPr="00BA17AB">
        <w:rPr>
          <w:rStyle w:val="documentbody1"/>
          <w:rFonts w:ascii="Times New Roman" w:hAnsi="Times New Roman"/>
          <w:bCs/>
          <w:color w:val="000000"/>
          <w:sz w:val="22"/>
          <w:szCs w:val="22"/>
        </w:rPr>
        <w:t>duplicative support</w:t>
      </w:r>
      <w:r w:rsidR="00D27904">
        <w:rPr>
          <w:rStyle w:val="documentbody1"/>
          <w:rFonts w:ascii="Times New Roman" w:hAnsi="Times New Roman"/>
          <w:bCs/>
          <w:color w:val="000000"/>
          <w:sz w:val="22"/>
          <w:szCs w:val="22"/>
        </w:rPr>
        <w:t>,</w:t>
      </w:r>
      <w:r w:rsidR="007C6FAB">
        <w:rPr>
          <w:rStyle w:val="documentbody1"/>
          <w:rFonts w:ascii="Times New Roman" w:hAnsi="Times New Roman"/>
          <w:bCs/>
          <w:color w:val="000000"/>
          <w:sz w:val="22"/>
          <w:szCs w:val="22"/>
        </w:rPr>
        <w:t xml:space="preserve"> seek a recovery</w:t>
      </w:r>
      <w:r w:rsidR="00D27904">
        <w:rPr>
          <w:rStyle w:val="documentbody1"/>
          <w:rFonts w:ascii="Times New Roman" w:hAnsi="Times New Roman"/>
          <w:bCs/>
          <w:color w:val="000000"/>
          <w:sz w:val="22"/>
          <w:szCs w:val="22"/>
        </w:rPr>
        <w:t>, and notify the ETC that it must commence the deenrollment process for those duplicates.</w:t>
      </w:r>
      <w:r w:rsidR="00D27904">
        <w:rPr>
          <w:rStyle w:val="FootnoteReference"/>
          <w:bCs/>
          <w:szCs w:val="22"/>
        </w:rPr>
        <w:footnoteReference w:id="23"/>
      </w:r>
      <w:r w:rsidR="00516541" w:rsidRPr="00BA17AB">
        <w:rPr>
          <w:rStyle w:val="documentbody1"/>
          <w:rFonts w:ascii="Times New Roman" w:hAnsi="Times New Roman"/>
          <w:bCs/>
          <w:color w:val="000000"/>
          <w:sz w:val="22"/>
          <w:szCs w:val="22"/>
        </w:rPr>
        <w:t xml:space="preserve"> </w:t>
      </w:r>
    </w:p>
    <w:p w14:paraId="511D80DA" w14:textId="6B0A999B" w:rsidR="004945B5" w:rsidRPr="00F941FA" w:rsidRDefault="00CE5006" w:rsidP="00EA5AEB">
      <w:pPr>
        <w:pStyle w:val="ParaNum"/>
      </w:pPr>
      <w:r>
        <w:rPr>
          <w:i/>
        </w:rPr>
        <w:br w:type="page"/>
      </w:r>
      <w:r w:rsidR="00AD3CC2" w:rsidRPr="000520BF">
        <w:rPr>
          <w:i/>
        </w:rPr>
        <w:t xml:space="preserve">Easy </w:t>
      </w:r>
      <w:r w:rsidR="00AD3CC2" w:rsidRPr="006F1DC3">
        <w:rPr>
          <w:i/>
        </w:rPr>
        <w:t>Wireless</w:t>
      </w:r>
      <w:r w:rsidR="00AD3CC2" w:rsidRPr="00F941FA">
        <w:t xml:space="preserve">.  </w:t>
      </w:r>
      <w:r w:rsidR="004945B5" w:rsidRPr="00F941FA">
        <w:t>Easy</w:t>
      </w:r>
      <w:r w:rsidR="00266640" w:rsidRPr="00F941FA">
        <w:t xml:space="preserve"> Wireless</w:t>
      </w:r>
      <w:r w:rsidR="004945B5" w:rsidRPr="00F941FA">
        <w:t xml:space="preserve"> is a </w:t>
      </w:r>
      <w:r w:rsidR="0094610B" w:rsidRPr="00F941FA">
        <w:t>Florida corporation</w:t>
      </w:r>
      <w:r w:rsidR="0094610B" w:rsidRPr="00BA2123">
        <w:rPr>
          <w:rStyle w:val="FootnoteReference"/>
          <w:sz w:val="22"/>
          <w:szCs w:val="22"/>
        </w:rPr>
        <w:footnoteReference w:id="24"/>
      </w:r>
      <w:r w:rsidR="0094610B" w:rsidRPr="000520BF">
        <w:t xml:space="preserve"> that </w:t>
      </w:r>
      <w:r w:rsidR="00C3179D" w:rsidRPr="00F941FA">
        <w:t xml:space="preserve">provides </w:t>
      </w:r>
      <w:r w:rsidR="00440402" w:rsidRPr="00F941FA">
        <w:t>wireless</w:t>
      </w:r>
      <w:r w:rsidR="004945B5" w:rsidRPr="00F941FA">
        <w:t xml:space="preserve"> telephone services, predominantly to Lifeline customers.  On November 17, 2011, the Oklahoma Corporation Commission (Oklahoma Commission) designated Easy </w:t>
      </w:r>
      <w:r w:rsidR="00266640" w:rsidRPr="00F941FA">
        <w:t xml:space="preserve">Wireless </w:t>
      </w:r>
      <w:r w:rsidR="004945B5" w:rsidRPr="00F941FA">
        <w:t xml:space="preserve">as an ETC to provide wireless </w:t>
      </w:r>
      <w:r w:rsidR="0005495E" w:rsidRPr="00F941FA">
        <w:t>L</w:t>
      </w:r>
      <w:r w:rsidR="004945B5" w:rsidRPr="00F941FA">
        <w:t>ifeline service in Oklahoma.</w:t>
      </w:r>
      <w:r w:rsidR="004945B5" w:rsidRPr="00BA2123">
        <w:rPr>
          <w:rStyle w:val="FootnoteReference"/>
          <w:sz w:val="22"/>
          <w:szCs w:val="22"/>
        </w:rPr>
        <w:footnoteReference w:id="25"/>
      </w:r>
      <w:r w:rsidR="004945B5" w:rsidRPr="000520BF">
        <w:t xml:space="preserve">  </w:t>
      </w:r>
    </w:p>
    <w:p w14:paraId="73E4FE23" w14:textId="77777777" w:rsidR="00472971" w:rsidRPr="000520BF" w:rsidRDefault="00587C78" w:rsidP="00EA5AEB">
      <w:pPr>
        <w:pStyle w:val="ParaNum"/>
        <w:widowControl/>
      </w:pPr>
      <w:r w:rsidRPr="00F941FA">
        <w:t xml:space="preserve">USAC conducted an IDV of the Lifeline </w:t>
      </w:r>
      <w:r w:rsidR="001A6909" w:rsidRPr="00F941FA">
        <w:t>support</w:t>
      </w:r>
      <w:r w:rsidRPr="00F941FA">
        <w:t xml:space="preserve"> </w:t>
      </w:r>
      <w:r w:rsidR="00F93639" w:rsidRPr="00F941FA">
        <w:t xml:space="preserve">requested </w:t>
      </w:r>
      <w:r w:rsidRPr="00F941FA">
        <w:t xml:space="preserve">by </w:t>
      </w:r>
      <w:r w:rsidR="001951AF" w:rsidRPr="00F941FA">
        <w:t>Easy</w:t>
      </w:r>
      <w:r w:rsidRPr="00F941FA">
        <w:t xml:space="preserve"> </w:t>
      </w:r>
      <w:r w:rsidR="00266640" w:rsidRPr="00F941FA">
        <w:t xml:space="preserve">Wireless </w:t>
      </w:r>
      <w:r w:rsidR="00153DDF" w:rsidRPr="00F941FA">
        <w:t xml:space="preserve">for its </w:t>
      </w:r>
      <w:r w:rsidRPr="00F941FA">
        <w:t xml:space="preserve">Oklahoma </w:t>
      </w:r>
      <w:r w:rsidR="00153DDF" w:rsidRPr="00F941FA">
        <w:t xml:space="preserve">subscribers </w:t>
      </w:r>
      <w:r w:rsidRPr="00F941FA">
        <w:t xml:space="preserve">for the month of </w:t>
      </w:r>
      <w:r w:rsidR="001951AF" w:rsidRPr="00F941FA">
        <w:t>September</w:t>
      </w:r>
      <w:r w:rsidRPr="00F941FA">
        <w:t xml:space="preserve"> 2012</w:t>
      </w:r>
      <w:r w:rsidR="00DB3EE0" w:rsidRPr="00F941FA">
        <w:t xml:space="preserve"> (September IDV)</w:t>
      </w:r>
      <w:r w:rsidRPr="00F941FA">
        <w:t xml:space="preserve">. </w:t>
      </w:r>
      <w:r w:rsidR="00DB3EE0" w:rsidRPr="00F941FA">
        <w:t xml:space="preserve"> </w:t>
      </w:r>
      <w:r w:rsidR="00472971" w:rsidRPr="00F941FA">
        <w:t xml:space="preserve">On March 4, 2013, USAC sent a letter to Easy Wireless informing the company that the </w:t>
      </w:r>
      <w:r w:rsidR="0094610B" w:rsidRPr="00F941FA">
        <w:t xml:space="preserve">September </w:t>
      </w:r>
      <w:r w:rsidR="00472971" w:rsidRPr="00F941FA">
        <w:t xml:space="preserve">IDV revealed 307 </w:t>
      </w:r>
      <w:r w:rsidR="00C3179D" w:rsidRPr="00F941FA">
        <w:t xml:space="preserve">individual </w:t>
      </w:r>
      <w:r w:rsidR="00472971" w:rsidRPr="00F941FA">
        <w:t xml:space="preserve">intra-company duplicates among </w:t>
      </w:r>
      <w:r w:rsidR="00F93639" w:rsidRPr="00F941FA">
        <w:t>the subscribers for whom Easy Wireless had sought Lifeline support reimbu</w:t>
      </w:r>
      <w:r w:rsidR="00925C46" w:rsidRPr="00F941FA">
        <w:t>rsement</w:t>
      </w:r>
      <w:r w:rsidR="00472971" w:rsidRPr="00F941FA">
        <w:t>.</w:t>
      </w:r>
      <w:r w:rsidR="00472971" w:rsidRPr="00BA2123">
        <w:rPr>
          <w:rStyle w:val="FootnoteReference"/>
          <w:sz w:val="22"/>
          <w:szCs w:val="22"/>
        </w:rPr>
        <w:footnoteReference w:id="26"/>
      </w:r>
      <w:r w:rsidR="00472971" w:rsidRPr="000520BF">
        <w:t xml:space="preserve">  According to USAC, these </w:t>
      </w:r>
      <w:r w:rsidR="00153DDF" w:rsidRPr="00F941FA">
        <w:t xml:space="preserve">307 </w:t>
      </w:r>
      <w:r w:rsidR="00472971" w:rsidRPr="00F941FA">
        <w:t xml:space="preserve">duplicate enrollments resulted in </w:t>
      </w:r>
      <w:r w:rsidR="0094610B" w:rsidRPr="00F941FA">
        <w:t xml:space="preserve">a request for </w:t>
      </w:r>
      <w:r w:rsidR="00472971" w:rsidRPr="00F941FA">
        <w:t>$10,515 in overpayments from USAC.</w:t>
      </w:r>
      <w:r w:rsidR="00EF123A" w:rsidRPr="00BA2123">
        <w:rPr>
          <w:rStyle w:val="FootnoteReference"/>
          <w:sz w:val="22"/>
          <w:szCs w:val="22"/>
        </w:rPr>
        <w:footnoteReference w:id="27"/>
      </w:r>
    </w:p>
    <w:p w14:paraId="32F687D7" w14:textId="77777777" w:rsidR="00E06922" w:rsidRPr="00F941FA" w:rsidRDefault="00E06922" w:rsidP="00EA5AEB">
      <w:pPr>
        <w:pStyle w:val="Heading1"/>
      </w:pPr>
      <w:r w:rsidRPr="00F941FA">
        <w:t>DISCUSSION</w:t>
      </w:r>
    </w:p>
    <w:p w14:paraId="36C61800" w14:textId="77777777" w:rsidR="004E06F5" w:rsidRPr="00F941FA" w:rsidRDefault="004E06F5" w:rsidP="00EA5AEB">
      <w:pPr>
        <w:pStyle w:val="ParaNum"/>
      </w:pPr>
      <w:r w:rsidRPr="00F941FA">
        <w:t xml:space="preserve">Under Section 503(b)(1) of the Act, any person who is determined by the Commission to have willfully </w:t>
      </w:r>
      <w:r w:rsidR="002034D6" w:rsidRPr="00F941FA">
        <w:t xml:space="preserve">or </w:t>
      </w:r>
      <w:r w:rsidRPr="00F941FA">
        <w:t xml:space="preserve">repeatedly failed to comply with any provision of the Act or any </w:t>
      </w:r>
      <w:r w:rsidR="00F000A5" w:rsidRPr="00F941FA">
        <w:t>r</w:t>
      </w:r>
      <w:r w:rsidRPr="00F941FA">
        <w:t>ule, regulation, or order issued by the Commission shall be liable to the United States for a forfeiture penalty.</w:t>
      </w:r>
      <w:r w:rsidRPr="00BA2123">
        <w:rPr>
          <w:rStyle w:val="FootnoteReference"/>
          <w:sz w:val="22"/>
          <w:szCs w:val="22"/>
        </w:rPr>
        <w:footnoteReference w:id="28"/>
      </w:r>
      <w:r w:rsidRPr="000520BF">
        <w:t xml:space="preserve">  Section 312(f)(1) of the Act </w:t>
      </w:r>
      <w:r w:rsidRPr="00F941FA">
        <w:t>defines “willful” as the “conscious and deliberate commission or omission of [any] act, irrespective of any intent to violate” the law.</w:t>
      </w:r>
      <w:r w:rsidRPr="00BA2123">
        <w:rPr>
          <w:rStyle w:val="FootnoteReference"/>
          <w:sz w:val="22"/>
          <w:szCs w:val="22"/>
        </w:rPr>
        <w:footnoteReference w:id="29"/>
      </w:r>
      <w:r w:rsidRPr="000520BF">
        <w:t xml:space="preserve">  The legislat</w:t>
      </w:r>
      <w:r w:rsidRPr="00F34496">
        <w:t>ive history to Section 312(f)(1) of the Act cla</w:t>
      </w:r>
      <w:r w:rsidRPr="00F941FA">
        <w:t>rifies that this definition of willful applies to both Sections 312 and 503(b) of the Act,</w:t>
      </w:r>
      <w:r w:rsidRPr="00BA2123">
        <w:rPr>
          <w:rStyle w:val="FootnoteReference"/>
          <w:sz w:val="22"/>
          <w:szCs w:val="22"/>
        </w:rPr>
        <w:footnoteReference w:id="30"/>
      </w:r>
      <w:r w:rsidRPr="000520BF">
        <w:t xml:space="preserve"> and the Commission has so interpreted the term in the Section 503(b) context.</w:t>
      </w:r>
      <w:r w:rsidRPr="00BA2123">
        <w:rPr>
          <w:rStyle w:val="FootnoteReference"/>
          <w:sz w:val="22"/>
          <w:szCs w:val="22"/>
        </w:rPr>
        <w:footnoteReference w:id="31"/>
      </w:r>
      <w:r w:rsidRPr="000520BF">
        <w:t xml:space="preserve">  The Commission may also assess a forf</w:t>
      </w:r>
      <w:r w:rsidRPr="00F34496">
        <w:t>eiture for violations that are merely repeated,</w:t>
      </w:r>
      <w:r w:rsidRPr="00F941FA">
        <w:t xml:space="preserve"> and not willful.</w:t>
      </w:r>
      <w:r w:rsidRPr="00BA2123">
        <w:rPr>
          <w:rStyle w:val="FootnoteReference"/>
          <w:sz w:val="22"/>
          <w:szCs w:val="22"/>
        </w:rPr>
        <w:footnoteReference w:id="32"/>
      </w:r>
      <w:r w:rsidRPr="000520BF">
        <w:t xml:space="preserve">  “Repeated” means that the act was committed or omitted more than once, or lasts more than one day.</w:t>
      </w:r>
      <w:r w:rsidRPr="00BA2123">
        <w:rPr>
          <w:rStyle w:val="FootnoteReference"/>
          <w:sz w:val="22"/>
          <w:szCs w:val="22"/>
        </w:rPr>
        <w:footnoteReference w:id="33"/>
      </w:r>
      <w:r w:rsidRPr="000520BF">
        <w:t xml:space="preserve">  To impose such a forfeiture penalty, the Commission must issue a notice of apparent liab</w:t>
      </w:r>
      <w:r w:rsidRPr="00F34496">
        <w:t xml:space="preserve">ility, and the </w:t>
      </w:r>
      <w:r w:rsidRPr="00F941FA">
        <w:t>person against whom the notice has been issued must have an opportunity to show, in writing, why no such forfeiture penalty should be imposed.</w:t>
      </w:r>
      <w:r w:rsidRPr="00BA2123">
        <w:rPr>
          <w:rStyle w:val="FootnoteReference"/>
          <w:sz w:val="22"/>
          <w:szCs w:val="22"/>
        </w:rPr>
        <w:footnoteReference w:id="34"/>
      </w:r>
      <w:r w:rsidRPr="000520BF">
        <w:t xml:space="preserve">  The Commission will then issue a forfeiture if it finds, based on the evidence, that the person </w:t>
      </w:r>
      <w:r w:rsidRPr="00F34496">
        <w:t>has violated the Act</w:t>
      </w:r>
      <w:r w:rsidR="004A3DE1" w:rsidRPr="00F941FA">
        <w:t xml:space="preserve">, or </w:t>
      </w:r>
      <w:r w:rsidR="00EA701E" w:rsidRPr="00F941FA">
        <w:t xml:space="preserve">a </w:t>
      </w:r>
      <w:r w:rsidR="004A3DE1" w:rsidRPr="00F941FA">
        <w:t xml:space="preserve">Commission </w:t>
      </w:r>
      <w:r w:rsidR="00F000A5" w:rsidRPr="00F941FA">
        <w:t>r</w:t>
      </w:r>
      <w:r w:rsidR="00EA701E" w:rsidRPr="00F941FA">
        <w:t>ule or O</w:t>
      </w:r>
      <w:r w:rsidR="004A3DE1" w:rsidRPr="00F941FA">
        <w:t>rder</w:t>
      </w:r>
      <w:r w:rsidRPr="00F941FA">
        <w:t>.</w:t>
      </w:r>
      <w:r w:rsidRPr="00BA2123">
        <w:rPr>
          <w:rStyle w:val="FootnoteReference"/>
          <w:sz w:val="22"/>
          <w:szCs w:val="22"/>
        </w:rPr>
        <w:footnoteReference w:id="35"/>
      </w:r>
      <w:r w:rsidR="00F000A5" w:rsidRPr="000520BF">
        <w:t xml:space="preserve"> </w:t>
      </w:r>
    </w:p>
    <w:p w14:paraId="68938A1F" w14:textId="45DF93CE" w:rsidR="005D7938" w:rsidRPr="00F941FA" w:rsidRDefault="0025373A" w:rsidP="00EA5AEB">
      <w:pPr>
        <w:pStyle w:val="ParaNum"/>
      </w:pPr>
      <w:r w:rsidRPr="00F941FA">
        <w:t>Based on the record evidence developed in this investigation, w</w:t>
      </w:r>
      <w:r w:rsidR="009C2693" w:rsidRPr="00F941FA">
        <w:t xml:space="preserve">e conclude that </w:t>
      </w:r>
      <w:r w:rsidR="00E20A4F" w:rsidRPr="00F941FA">
        <w:t xml:space="preserve">that Easy Wireless </w:t>
      </w:r>
      <w:r w:rsidRPr="00F941FA">
        <w:t xml:space="preserve">apparently </w:t>
      </w:r>
      <w:r w:rsidR="004E06F5" w:rsidRPr="00F941FA">
        <w:t xml:space="preserve">willfully and repeatedly </w:t>
      </w:r>
      <w:r w:rsidR="00E20A4F" w:rsidRPr="00F941FA">
        <w:t xml:space="preserve">violated Sections </w:t>
      </w:r>
      <w:r w:rsidR="006044E7" w:rsidRPr="00F941FA">
        <w:t>54</w:t>
      </w:r>
      <w:r w:rsidR="004B7CC9" w:rsidRPr="00F941FA">
        <w:t>.</w:t>
      </w:r>
      <w:r w:rsidR="006044E7" w:rsidRPr="00F941FA">
        <w:t xml:space="preserve">407, </w:t>
      </w:r>
      <w:r w:rsidR="00BA2123" w:rsidRPr="00F941FA">
        <w:t>54.</w:t>
      </w:r>
      <w:r w:rsidR="00BA2123" w:rsidRPr="000520BF">
        <w:t>409</w:t>
      </w:r>
      <w:r w:rsidR="00263131">
        <w:t>,</w:t>
      </w:r>
      <w:r w:rsidR="00E26DFE" w:rsidRPr="000520BF">
        <w:t xml:space="preserve"> </w:t>
      </w:r>
      <w:r w:rsidR="00BA2123" w:rsidRPr="000520BF">
        <w:t>and 54.410</w:t>
      </w:r>
      <w:r w:rsidR="00BA2123" w:rsidRPr="00BB3555">
        <w:rPr>
          <w:rStyle w:val="FootnoteReference"/>
          <w:sz w:val="22"/>
          <w:szCs w:val="22"/>
        </w:rPr>
        <w:footnoteReference w:id="36"/>
      </w:r>
      <w:r w:rsidR="00BA2123" w:rsidRPr="000520BF">
        <w:t xml:space="preserve"> </w:t>
      </w:r>
      <w:r w:rsidRPr="000520BF">
        <w:t xml:space="preserve">of the </w:t>
      </w:r>
      <w:r w:rsidR="00C3179D" w:rsidRPr="00F941FA">
        <w:t>r</w:t>
      </w:r>
      <w:r w:rsidRPr="00F941FA">
        <w:t xml:space="preserve">ules </w:t>
      </w:r>
      <w:r w:rsidR="00BA2123" w:rsidRPr="00F941FA">
        <w:t>by</w:t>
      </w:r>
      <w:r w:rsidR="00E20A4F" w:rsidRPr="00F941FA">
        <w:t xml:space="preserve"> </w:t>
      </w:r>
      <w:r w:rsidR="004E06F5" w:rsidRPr="00F941FA">
        <w:t>concurrently requesting</w:t>
      </w:r>
      <w:r w:rsidR="00345281" w:rsidRPr="00F941FA">
        <w:t xml:space="preserve"> </w:t>
      </w:r>
      <w:r w:rsidR="000068C0" w:rsidRPr="00F941FA">
        <w:t>Lifeline support reimbursement</w:t>
      </w:r>
      <w:r w:rsidR="000068C0" w:rsidRPr="00F941FA" w:rsidDel="000068C0">
        <w:t xml:space="preserve"> </w:t>
      </w:r>
      <w:r w:rsidR="004E06F5" w:rsidRPr="00F941FA">
        <w:t xml:space="preserve">for </w:t>
      </w:r>
      <w:r w:rsidR="00BA2123" w:rsidRPr="00F941FA">
        <w:t xml:space="preserve">307 </w:t>
      </w:r>
      <w:r w:rsidR="00C3179D" w:rsidRPr="00F941FA">
        <w:t xml:space="preserve">subscribers </w:t>
      </w:r>
      <w:r w:rsidR="004E06F5" w:rsidRPr="00F941FA">
        <w:t xml:space="preserve">who </w:t>
      </w:r>
      <w:r w:rsidR="00153DDF" w:rsidRPr="00F941FA">
        <w:t xml:space="preserve">were </w:t>
      </w:r>
      <w:r w:rsidR="004E06F5" w:rsidRPr="00F941FA">
        <w:t xml:space="preserve">already </w:t>
      </w:r>
      <w:r w:rsidR="006204C3" w:rsidRPr="00F941FA">
        <w:t>receiving</w:t>
      </w:r>
      <w:r w:rsidR="004E06F5" w:rsidRPr="000520BF">
        <w:t xml:space="preserve"> </w:t>
      </w:r>
      <w:r w:rsidR="00BA2123" w:rsidRPr="000520BF">
        <w:t xml:space="preserve">Easy Wireless </w:t>
      </w:r>
      <w:r w:rsidR="004E06F5" w:rsidRPr="00F941FA">
        <w:t xml:space="preserve">Lifeline </w:t>
      </w:r>
      <w:r w:rsidR="001144B1" w:rsidRPr="00F941FA">
        <w:t>service</w:t>
      </w:r>
      <w:r w:rsidR="004E06F5" w:rsidRPr="00F941FA">
        <w:t xml:space="preserve">.  </w:t>
      </w:r>
      <w:r w:rsidR="00BA2123" w:rsidRPr="00F941FA">
        <w:t>Based on the facts and circumstances before us, we therefore conclude that Easy Wireless is apparently liable for forfeiture penalties totaling $</w:t>
      </w:r>
      <w:r w:rsidR="009A6974">
        <w:t>1,586</w:t>
      </w:r>
      <w:r w:rsidR="009A6974" w:rsidRPr="000520BF">
        <w:t>,545</w:t>
      </w:r>
      <w:r w:rsidR="00BA2123" w:rsidRPr="000520BF">
        <w:t xml:space="preserve">.  </w:t>
      </w:r>
    </w:p>
    <w:p w14:paraId="7F26A418" w14:textId="77777777" w:rsidR="00D11119" w:rsidRPr="00F941FA" w:rsidRDefault="00D11119" w:rsidP="00EA5AEB">
      <w:pPr>
        <w:pStyle w:val="Heading1"/>
      </w:pPr>
      <w:r w:rsidRPr="00F941FA">
        <w:t>Prop</w:t>
      </w:r>
      <w:r w:rsidR="009F24FA" w:rsidRPr="00F941FA">
        <w:t>o</w:t>
      </w:r>
      <w:r w:rsidRPr="00F941FA">
        <w:t>sed FORFEITURE</w:t>
      </w:r>
    </w:p>
    <w:p w14:paraId="08722EF3" w14:textId="77777777" w:rsidR="00F44F16" w:rsidRPr="00F941FA" w:rsidRDefault="00397D8A" w:rsidP="00EA5AEB">
      <w:pPr>
        <w:pStyle w:val="ParaNum"/>
      </w:pPr>
      <w:r w:rsidRPr="00F941FA">
        <w:t xml:space="preserve">For the violations at issue here, </w:t>
      </w:r>
      <w:r w:rsidR="005D7938" w:rsidRPr="00F941FA">
        <w:t>Section 503(b)(2)(B) of the Act authorizes the Commission to assess a forfeiture against a telecommunications carrier of up to $150,000 for each violation or each day of a continuing violation, up to a statutory maximum of $1,500,000 for a single act or failure to act.</w:t>
      </w:r>
      <w:r w:rsidR="005D7938" w:rsidRPr="00BA2123">
        <w:rPr>
          <w:rStyle w:val="FootnoteReference"/>
          <w:sz w:val="22"/>
          <w:szCs w:val="22"/>
        </w:rPr>
        <w:footnoteReference w:id="37"/>
      </w:r>
      <w:r w:rsidR="005D7938" w:rsidRPr="000520BF">
        <w:t xml:space="preserve">  In determining the appropriate forfeiture amount, we consider the factors enumerated in Section 503(b)(2)(E) of the Act, including “the </w:t>
      </w:r>
      <w:r w:rsidR="005D7938" w:rsidRPr="00F34496">
        <w:t>nature, circumstances, extent, and gravity of the violation and, with respect to the violator, the degree of culpabili</w:t>
      </w:r>
      <w:r w:rsidR="005D7938" w:rsidRPr="00F941FA">
        <w:t>ty, any history of prior offenses, ability to pay, and such other matters as justice may require,”</w:t>
      </w:r>
      <w:r w:rsidR="005D7938" w:rsidRPr="00BA2123">
        <w:rPr>
          <w:rStyle w:val="FootnoteReference"/>
          <w:sz w:val="22"/>
          <w:szCs w:val="22"/>
        </w:rPr>
        <w:footnoteReference w:id="38"/>
      </w:r>
      <w:r w:rsidR="005D7938" w:rsidRPr="000520BF">
        <w:t xml:space="preserve"> as well as our forfeiture guidelines.</w:t>
      </w:r>
      <w:r w:rsidR="005D7938" w:rsidRPr="00F941FA">
        <w:rPr>
          <w:rStyle w:val="FootnoteReference"/>
          <w:sz w:val="22"/>
        </w:rPr>
        <w:footnoteReference w:id="39"/>
      </w:r>
    </w:p>
    <w:p w14:paraId="1F7FC7EB" w14:textId="530494FE" w:rsidR="00AB0E42" w:rsidRPr="00F941FA" w:rsidRDefault="00624949" w:rsidP="00F941FA">
      <w:pPr>
        <w:pStyle w:val="ParaNum"/>
      </w:pPr>
      <w:r w:rsidRPr="00F941FA">
        <w:rPr>
          <w:color w:val="000000"/>
        </w:rPr>
        <w:t>In calculating a proposed forfeiture, we are guided</w:t>
      </w:r>
      <w:r w:rsidR="00464506" w:rsidRPr="00F941FA">
        <w:rPr>
          <w:color w:val="000000"/>
        </w:rPr>
        <w:t xml:space="preserve"> in part</w:t>
      </w:r>
      <w:r w:rsidRPr="00F941FA">
        <w:rPr>
          <w:color w:val="000000"/>
        </w:rPr>
        <w:t xml:space="preserve"> by</w:t>
      </w:r>
      <w:r w:rsidRPr="000520BF">
        <w:rPr>
          <w:color w:val="000000"/>
        </w:rPr>
        <w:t xml:space="preserve"> </w:t>
      </w:r>
      <w:r w:rsidRPr="000520BF">
        <w:rPr>
          <w:i/>
        </w:rPr>
        <w:t>VCI Company</w:t>
      </w:r>
      <w:r w:rsidRPr="00F941FA">
        <w:t>, a Notice of Apparent Liability for Forfeiture issued to a Lifeline provider</w:t>
      </w:r>
      <w:r w:rsidR="00492562" w:rsidRPr="00F941FA">
        <w:t xml:space="preserve"> that had apparently submitted inaccurate Form 497s to USAC and, as a result, collected support to which it was not entitled</w:t>
      </w:r>
      <w:r w:rsidRPr="000520BF">
        <w:t>.</w:t>
      </w:r>
      <w:r w:rsidRPr="007C110F">
        <w:rPr>
          <w:rStyle w:val="FootnoteReference"/>
          <w:sz w:val="22"/>
          <w:szCs w:val="22"/>
        </w:rPr>
        <w:footnoteReference w:id="40"/>
      </w:r>
      <w:r w:rsidRPr="000520BF">
        <w:t xml:space="preserve">  </w:t>
      </w:r>
      <w:r w:rsidR="0078020A" w:rsidRPr="00F941FA">
        <w:t>In that case, t</w:t>
      </w:r>
      <w:r w:rsidR="00E333DB" w:rsidRPr="00F941FA">
        <w:t xml:space="preserve">he Commission analogized an inaccurate low-income reimbursement request </w:t>
      </w:r>
      <w:r w:rsidR="009E1352" w:rsidRPr="00F941FA">
        <w:t xml:space="preserve">on a Form 497 </w:t>
      </w:r>
      <w:r w:rsidR="00E333DB" w:rsidRPr="00F941FA">
        <w:t xml:space="preserve">to </w:t>
      </w:r>
      <w:r w:rsidR="0078020A" w:rsidRPr="00F941FA">
        <w:t>the</w:t>
      </w:r>
      <w:r w:rsidR="00E333DB" w:rsidRPr="00F941FA">
        <w:t xml:space="preserve"> submission of inaccurate revenue information on a Form 499</w:t>
      </w:r>
      <w:r w:rsidR="0078020A" w:rsidRPr="00F941FA">
        <w:t>,</w:t>
      </w:r>
      <w:r w:rsidR="002830EC">
        <w:rPr>
          <w:rStyle w:val="FootnoteReference"/>
          <w:sz w:val="22"/>
          <w:szCs w:val="22"/>
        </w:rPr>
        <w:footnoteReference w:id="41"/>
      </w:r>
      <w:r w:rsidR="00E333DB" w:rsidRPr="000520BF">
        <w:t xml:space="preserve"> and therefore adopted</w:t>
      </w:r>
      <w:r w:rsidR="00492562" w:rsidRPr="00F941FA">
        <w:t xml:space="preserve"> a</w:t>
      </w:r>
      <w:r w:rsidR="00E333DB" w:rsidRPr="000520BF">
        <w:t xml:space="preserve"> forfeiture framework</w:t>
      </w:r>
      <w:r w:rsidR="0078020A" w:rsidRPr="00F941FA">
        <w:t xml:space="preserve"> </w:t>
      </w:r>
      <w:r w:rsidR="00492562" w:rsidRPr="00F941FA">
        <w:t>based on that</w:t>
      </w:r>
      <w:r w:rsidR="00492562" w:rsidRPr="000520BF">
        <w:t xml:space="preserve"> </w:t>
      </w:r>
      <w:r w:rsidR="0078020A" w:rsidRPr="00F941FA">
        <w:t>utilized in USF contribution enforcement cases</w:t>
      </w:r>
      <w:r w:rsidR="00E333DB" w:rsidRPr="00F941FA">
        <w:t xml:space="preserve">.  </w:t>
      </w:r>
      <w:r w:rsidR="004C5FB1" w:rsidRPr="00F941FA">
        <w:t>In</w:t>
      </w:r>
      <w:r w:rsidR="00291AF3" w:rsidRPr="00F941FA">
        <w:t xml:space="preserve"> particular</w:t>
      </w:r>
      <w:r w:rsidR="004C5FB1" w:rsidRPr="00F941FA">
        <w:t xml:space="preserve">, </w:t>
      </w:r>
      <w:r w:rsidR="0078020A" w:rsidRPr="00F941FA">
        <w:t xml:space="preserve">in </w:t>
      </w:r>
      <w:r w:rsidR="0078020A" w:rsidRPr="00F941FA">
        <w:rPr>
          <w:i/>
        </w:rPr>
        <w:t>VCI</w:t>
      </w:r>
      <w:r w:rsidR="0078020A" w:rsidRPr="00F941FA">
        <w:t xml:space="preserve">, </w:t>
      </w:r>
      <w:r w:rsidR="004C5FB1" w:rsidRPr="00F941FA">
        <w:t xml:space="preserve">the Commission proposed a forfeiture </w:t>
      </w:r>
      <w:r w:rsidR="009F24FA" w:rsidRPr="00F941FA">
        <w:t xml:space="preserve">methodology </w:t>
      </w:r>
      <w:r w:rsidR="004C5FB1" w:rsidRPr="00F941FA">
        <w:t xml:space="preserve">based on three components: (1) a base forfeiture of $20,000 for each </w:t>
      </w:r>
      <w:r w:rsidR="004C5FB1" w:rsidRPr="000520BF">
        <w:t xml:space="preserve">inaccurate </w:t>
      </w:r>
      <w:r w:rsidR="00291AF3" w:rsidRPr="00F941FA">
        <w:t xml:space="preserve">FCC </w:t>
      </w:r>
      <w:r w:rsidR="004C5FB1" w:rsidRPr="00F941FA">
        <w:t>Form 497</w:t>
      </w:r>
      <w:r w:rsidR="00492562" w:rsidRPr="00F941FA">
        <w:t xml:space="preserve"> that VCI filed</w:t>
      </w:r>
      <w:r w:rsidR="004C5FB1" w:rsidRPr="000520BF">
        <w:t xml:space="preserve">; (2) a base forfeiture of $20,000 for each month VCI received improper Lifeline </w:t>
      </w:r>
      <w:r w:rsidR="00291AF3" w:rsidRPr="00F941FA">
        <w:t>support</w:t>
      </w:r>
      <w:r w:rsidR="004C5FB1" w:rsidRPr="00F941FA">
        <w:t xml:space="preserve"> based on its inaccurate </w:t>
      </w:r>
      <w:r w:rsidR="00291AF3" w:rsidRPr="00F941FA">
        <w:t xml:space="preserve">FCC </w:t>
      </w:r>
      <w:r w:rsidR="004C5FB1" w:rsidRPr="00F941FA">
        <w:t>Form 497 filings; and (3) an upward adjustment equal to half of VCI’s aggregate Lifeline overcollection.</w:t>
      </w:r>
      <w:r w:rsidR="004C5FB1" w:rsidRPr="00A265C7">
        <w:rPr>
          <w:rStyle w:val="FootnoteReference"/>
          <w:sz w:val="22"/>
          <w:szCs w:val="22"/>
        </w:rPr>
        <w:footnoteReference w:id="42"/>
      </w:r>
      <w:r w:rsidR="004C5FB1" w:rsidRPr="000520BF">
        <w:t xml:space="preserve">  </w:t>
      </w:r>
    </w:p>
    <w:p w14:paraId="04253939" w14:textId="77777777" w:rsidR="00624949" w:rsidRPr="00F34496" w:rsidRDefault="009C4D13" w:rsidP="00F941FA">
      <w:pPr>
        <w:pStyle w:val="ParaNum"/>
      </w:pPr>
      <w:r w:rsidRPr="00F941FA">
        <w:t xml:space="preserve">In this NAL, we preserve </w:t>
      </w:r>
      <w:r w:rsidR="00492562" w:rsidRPr="00F941FA">
        <w:t xml:space="preserve">the basic components of </w:t>
      </w:r>
      <w:r w:rsidRPr="00F941FA">
        <w:rPr>
          <w:i/>
        </w:rPr>
        <w:t>VCI</w:t>
      </w:r>
      <w:r w:rsidRPr="00F941FA">
        <w:t>’s three-part structure, but we adopt a</w:t>
      </w:r>
      <w:r w:rsidR="00492562" w:rsidRPr="00F941FA">
        <w:t>n</w:t>
      </w:r>
      <w:r w:rsidRPr="00F941FA">
        <w:t xml:space="preserve"> approach to two of the forfeiture components </w:t>
      </w:r>
      <w:r w:rsidR="00492562" w:rsidRPr="00F941FA">
        <w:t xml:space="preserve">that is better calibrated </w:t>
      </w:r>
      <w:r w:rsidRPr="00F941FA">
        <w:t xml:space="preserve">to address the harm that Easy Wireless’s </w:t>
      </w:r>
      <w:r w:rsidR="00492562" w:rsidRPr="00F941FA">
        <w:t xml:space="preserve">apparent </w:t>
      </w:r>
      <w:r w:rsidRPr="00F941FA">
        <w:t xml:space="preserve">conduct has caused to the Fund, and also to reflect the substantial </w:t>
      </w:r>
      <w:r w:rsidR="007205A6" w:rsidRPr="00F941FA">
        <w:t>reforms</w:t>
      </w:r>
      <w:r w:rsidRPr="00F941FA">
        <w:t xml:space="preserve"> that </w:t>
      </w:r>
      <w:r w:rsidR="007205A6" w:rsidRPr="00F941FA">
        <w:t xml:space="preserve">the Commission has implemented </w:t>
      </w:r>
      <w:r w:rsidRPr="00F941FA">
        <w:t xml:space="preserve">to the Lifeline program since </w:t>
      </w:r>
      <w:r w:rsidRPr="00F941FA">
        <w:rPr>
          <w:i/>
        </w:rPr>
        <w:t xml:space="preserve">VCI </w:t>
      </w:r>
      <w:r w:rsidRPr="00F941FA">
        <w:t>was issued.</w:t>
      </w:r>
      <w:r w:rsidR="00492562" w:rsidRPr="00F941FA">
        <w:t xml:space="preserve">  In particular, the Commission </w:t>
      </w:r>
      <w:r w:rsidR="008A5D51" w:rsidRPr="00F941FA">
        <w:t>in recent years has increased its emphasis on ETCs’ responsibilities for preventing waste, fraud</w:t>
      </w:r>
      <w:r w:rsidR="00263131">
        <w:t>,</w:t>
      </w:r>
      <w:r w:rsidR="008A5D51" w:rsidRPr="00F941FA">
        <w:t xml:space="preserve"> and abuse in the Lifeline program and </w:t>
      </w:r>
      <w:r w:rsidR="00492562" w:rsidRPr="00F941FA">
        <w:t xml:space="preserve">has </w:t>
      </w:r>
      <w:r w:rsidR="00933A8E" w:rsidRPr="00F941FA">
        <w:t xml:space="preserve">adopted rules codifying </w:t>
      </w:r>
      <w:r w:rsidR="00492562" w:rsidRPr="00F941FA">
        <w:t xml:space="preserve">the </w:t>
      </w:r>
      <w:r w:rsidR="00636A8D" w:rsidRPr="00F941FA">
        <w:t>requirement that a subscriber may not receive more than one Lifeline supported service per household</w:t>
      </w:r>
      <w:r w:rsidR="00492562" w:rsidRPr="00F941FA">
        <w:t>.</w:t>
      </w:r>
      <w:r>
        <w:rPr>
          <w:rStyle w:val="FootnoteReference"/>
          <w:color w:val="000000"/>
          <w:sz w:val="22"/>
          <w:szCs w:val="22"/>
        </w:rPr>
        <w:footnoteReference w:id="43"/>
      </w:r>
      <w:r w:rsidRPr="00F941FA">
        <w:t xml:space="preserve">  </w:t>
      </w:r>
      <w:r w:rsidR="00624949" w:rsidRPr="00F941FA">
        <w:t xml:space="preserve">If an ETC violates our rules and submits </w:t>
      </w:r>
      <w:r w:rsidR="007339A1" w:rsidRPr="00F941FA">
        <w:t xml:space="preserve">a </w:t>
      </w:r>
      <w:r w:rsidR="00885695">
        <w:t xml:space="preserve">request for </w:t>
      </w:r>
      <w:r w:rsidR="00624949" w:rsidRPr="00F941FA">
        <w:t xml:space="preserve">Lifeline support </w:t>
      </w:r>
      <w:r w:rsidR="007339A1" w:rsidRPr="00F941FA">
        <w:t>that it knew or should have known includes ineligible subscribers</w:t>
      </w:r>
      <w:r w:rsidR="00624949" w:rsidRPr="00F941FA">
        <w:t xml:space="preserve">, and thus requests and/or receives more reimbursement from the Fund than the amount to which it is properly entitled, it undermines the low-income </w:t>
      </w:r>
      <w:r w:rsidR="00636A8D" w:rsidRPr="00F941FA">
        <w:t xml:space="preserve">support </w:t>
      </w:r>
      <w:r w:rsidR="00624949" w:rsidRPr="00F941FA">
        <w:t>reimbursement mechanism</w:t>
      </w:r>
      <w:r w:rsidR="00A12419" w:rsidRPr="00F941FA">
        <w:t>.</w:t>
      </w:r>
      <w:r w:rsidR="00624949" w:rsidRPr="00F941FA">
        <w:t xml:space="preserve">  The Commission believes that the imposition of a significant forfeiture amount is a</w:t>
      </w:r>
      <w:r w:rsidR="00492562" w:rsidRPr="00F941FA">
        <w:t xml:space="preserve"> necessary</w:t>
      </w:r>
      <w:r w:rsidR="00624949" w:rsidRPr="00F941FA">
        <w:t xml:space="preserve"> response to </w:t>
      </w:r>
      <w:r w:rsidR="00624949" w:rsidRPr="00F34496">
        <w:t xml:space="preserve">Lifeline overcollection </w:t>
      </w:r>
      <w:r w:rsidR="00624949" w:rsidRPr="00F941FA">
        <w:t xml:space="preserve">violations.  Lifeline </w:t>
      </w:r>
      <w:r w:rsidR="00885695">
        <w:t>ETCs</w:t>
      </w:r>
      <w:r w:rsidR="00624949" w:rsidRPr="00F941FA">
        <w:t xml:space="preserve"> must expend the necessary company resources to ensure compliance with the Commission’s Lifeline rules, especially the rules and procedures </w:t>
      </w:r>
      <w:r w:rsidR="00852FA6">
        <w:t>requiring</w:t>
      </w:r>
      <w:r w:rsidR="00624949" w:rsidRPr="00F941FA">
        <w:t xml:space="preserve"> that providers </w:t>
      </w:r>
      <w:r w:rsidR="0032431D" w:rsidRPr="00F941FA">
        <w:t xml:space="preserve">request and/or receive </w:t>
      </w:r>
      <w:r w:rsidR="002542D2" w:rsidRPr="00F941FA">
        <w:t>federal universal service support</w:t>
      </w:r>
      <w:r w:rsidR="00624949" w:rsidRPr="00F941FA">
        <w:t xml:space="preserve"> only for service provided to eligible consumers.  </w:t>
      </w:r>
      <w:r w:rsidR="0054686E" w:rsidRPr="00F941FA">
        <w:t>I</w:t>
      </w:r>
      <w:r w:rsidR="00624949" w:rsidRPr="00F941FA">
        <w:t xml:space="preserve">mposing a significant forfeiture on such rule violators </w:t>
      </w:r>
      <w:r w:rsidR="0054686E" w:rsidRPr="00F941FA">
        <w:t>should</w:t>
      </w:r>
      <w:r w:rsidR="00624949" w:rsidRPr="00F941FA">
        <w:t xml:space="preserve"> </w:t>
      </w:r>
      <w:r w:rsidR="00852FA6">
        <w:t>deter</w:t>
      </w:r>
      <w:r w:rsidR="00624949" w:rsidRPr="00F941FA">
        <w:t xml:space="preserve"> those service providers </w:t>
      </w:r>
      <w:r w:rsidR="005B492F" w:rsidRPr="00F941FA">
        <w:t>that</w:t>
      </w:r>
      <w:r w:rsidR="00624949" w:rsidRPr="00F941FA">
        <w:t xml:space="preserve"> </w:t>
      </w:r>
      <w:r w:rsidR="00852FA6">
        <w:t>fail to devote</w:t>
      </w:r>
      <w:r w:rsidR="00624949" w:rsidRPr="00F941FA">
        <w:t xml:space="preserve"> sufficient resources to ferreting out company practices resulting in overcollection violations</w:t>
      </w:r>
      <w:r w:rsidR="00091668" w:rsidRPr="00F941FA">
        <w:t xml:space="preserve">.  </w:t>
      </w:r>
      <w:r w:rsidR="00624949" w:rsidRPr="00F941FA">
        <w:t xml:space="preserve">In addition, a significant forfeiture should achieve broader industry compliance with Lifeline rules that are critically important to the </w:t>
      </w:r>
      <w:r w:rsidR="00805C4E" w:rsidRPr="00F941FA">
        <w:t>effective</w:t>
      </w:r>
      <w:r w:rsidR="00624949" w:rsidRPr="00F941FA">
        <w:t xml:space="preserve"> functioning of the Fund.</w:t>
      </w:r>
    </w:p>
    <w:p w14:paraId="2310F1B0" w14:textId="77777777" w:rsidR="00492562" w:rsidRPr="00F34496" w:rsidRDefault="00492562" w:rsidP="00F941FA">
      <w:pPr>
        <w:pStyle w:val="ParaNum"/>
      </w:pPr>
      <w:r w:rsidRPr="00F941FA">
        <w:t xml:space="preserve">With respect to the first component, we preserve the </w:t>
      </w:r>
      <w:r w:rsidRPr="00F941FA">
        <w:rPr>
          <w:i/>
        </w:rPr>
        <w:t>VCI</w:t>
      </w:r>
      <w:r w:rsidRPr="00F941FA">
        <w:t xml:space="preserve"> framework’s base forfeiture of $20,000 for each instance in which an ETC files an FCC Form 497 that includes ineligible subscribers in the line count, which is a violation of the certification requirement contained in Section 54.407(d) of our rules.</w:t>
      </w:r>
      <w:r>
        <w:rPr>
          <w:rStyle w:val="FootnoteReference"/>
          <w:sz w:val="22"/>
          <w:szCs w:val="22"/>
        </w:rPr>
        <w:footnoteReference w:id="44"/>
      </w:r>
      <w:r w:rsidRPr="00F34496">
        <w:t xml:space="preserve">  We believe that this base forfeiture amount continues to ac</w:t>
      </w:r>
      <w:r w:rsidRPr="00F941FA">
        <w:t>curately reflect the need to ensure that USAC “receive[s] consistently accurate and reliable information from carriers.”</w:t>
      </w:r>
      <w:r>
        <w:rPr>
          <w:rStyle w:val="FootnoteReference"/>
          <w:sz w:val="22"/>
          <w:szCs w:val="22"/>
        </w:rPr>
        <w:footnoteReference w:id="45"/>
      </w:r>
    </w:p>
    <w:p w14:paraId="5C14A655" w14:textId="18E39853" w:rsidR="00624949" w:rsidRPr="00F941FA" w:rsidRDefault="00624949" w:rsidP="00EA5AEB">
      <w:pPr>
        <w:pStyle w:val="ParaNum"/>
      </w:pPr>
      <w:r w:rsidRPr="00F941FA">
        <w:rPr>
          <w:color w:val="000000"/>
        </w:rPr>
        <w:t>W</w:t>
      </w:r>
      <w:r w:rsidRPr="00F941FA">
        <w:t xml:space="preserve">ith respect to the </w:t>
      </w:r>
      <w:r w:rsidR="00492562" w:rsidRPr="00F941FA">
        <w:t>second</w:t>
      </w:r>
      <w:r w:rsidRPr="00F941FA">
        <w:t xml:space="preserve"> component of the three-part structure, </w:t>
      </w:r>
      <w:r w:rsidR="00492562" w:rsidRPr="00F941FA">
        <w:t xml:space="preserve">it remains appropriate for the forfeiture to reflect the improper Lifeline support sought and/or received from the Fund.  However, </w:t>
      </w:r>
      <w:r w:rsidRPr="00F941FA">
        <w:t xml:space="preserve">we conclude that the </w:t>
      </w:r>
      <w:r w:rsidRPr="00F941FA">
        <w:rPr>
          <w:i/>
        </w:rPr>
        <w:t xml:space="preserve">VCI </w:t>
      </w:r>
      <w:r w:rsidRPr="00F941FA">
        <w:t xml:space="preserve">forfeiture framework should be reoriented to place greater emphasis on the number of ineligible subscribers for whom the ETC requests and/or receives </w:t>
      </w:r>
      <w:r w:rsidR="00636A8D" w:rsidRPr="00F941FA">
        <w:t>reimbursement from the Fund</w:t>
      </w:r>
      <w:r w:rsidRPr="00F941FA">
        <w:t xml:space="preserve">.  </w:t>
      </w:r>
      <w:r w:rsidR="00492562" w:rsidRPr="00F941FA">
        <w:t>We</w:t>
      </w:r>
      <w:r w:rsidR="00492562" w:rsidRPr="000520BF">
        <w:t xml:space="preserve"> are concerned th</w:t>
      </w:r>
      <w:r w:rsidR="00492562" w:rsidRPr="00F941FA">
        <w:t xml:space="preserve">at the prior framework fails to reflect the extent and gravity of the alleged violations.  </w:t>
      </w:r>
      <w:r w:rsidRPr="00F941FA">
        <w:t>Accordingly, we adopt a base forfeiture of $</w:t>
      </w:r>
      <w:r w:rsidR="00437ED7">
        <w:t>5</w:t>
      </w:r>
      <w:r w:rsidRPr="00F941FA">
        <w:t xml:space="preserve">,000 for each ineligible subscriber for whom the ETC requests and/or receives </w:t>
      </w:r>
      <w:r w:rsidR="00636A8D" w:rsidRPr="00F941FA">
        <w:t>support</w:t>
      </w:r>
      <w:r w:rsidRPr="00F941FA">
        <w:t xml:space="preserve"> from the Fund in violation of Sections </w:t>
      </w:r>
      <w:r w:rsidR="00FD35FF" w:rsidRPr="00F941FA">
        <w:t>54.</w:t>
      </w:r>
      <w:r w:rsidRPr="00F941FA">
        <w:t xml:space="preserve">407, </w:t>
      </w:r>
      <w:r w:rsidR="00FD35FF" w:rsidRPr="00F941FA">
        <w:t>54.</w:t>
      </w:r>
      <w:r w:rsidRPr="00F941FA">
        <w:t>409</w:t>
      </w:r>
      <w:r w:rsidR="00263131">
        <w:t>,</w:t>
      </w:r>
      <w:r w:rsidRPr="00F34496">
        <w:t xml:space="preserve"> and </w:t>
      </w:r>
      <w:r w:rsidR="00FD35FF" w:rsidRPr="00F941FA">
        <w:t>54.</w:t>
      </w:r>
      <w:r w:rsidRPr="00F941FA">
        <w:t>410 of our rules.</w:t>
      </w:r>
      <w:r>
        <w:rPr>
          <w:rStyle w:val="FootnoteReference"/>
          <w:sz w:val="22"/>
          <w:szCs w:val="22"/>
        </w:rPr>
        <w:footnoteReference w:id="46"/>
      </w:r>
      <w:r w:rsidRPr="00F34496">
        <w:t xml:space="preserve">  We conclude that calculating the </w:t>
      </w:r>
      <w:r w:rsidR="00492562" w:rsidRPr="00F941FA">
        <w:t>second</w:t>
      </w:r>
      <w:r w:rsidRPr="00F941FA">
        <w:t xml:space="preserve"> component of the proposed forfeiture by reference to the number of ineligible subscribers, rather than to the duration of the violation, </w:t>
      </w:r>
      <w:r w:rsidR="00BC5D3A" w:rsidRPr="00F941FA">
        <w:t>and imposing a forfeiture of $</w:t>
      </w:r>
      <w:r w:rsidR="00437ED7">
        <w:t>5</w:t>
      </w:r>
      <w:r w:rsidR="00BC5D3A" w:rsidRPr="00F941FA">
        <w:t xml:space="preserve">,000 for each ineligible subscriber strikes an appropriate balance in light of our need to protect </w:t>
      </w:r>
      <w:r w:rsidRPr="00F941FA">
        <w:t>the Fund and send a clearer deterrent message to the industry.</w:t>
      </w:r>
      <w:r w:rsidR="00BC5D3A">
        <w:rPr>
          <w:rStyle w:val="FootnoteReference"/>
          <w:sz w:val="22"/>
          <w:szCs w:val="22"/>
        </w:rPr>
        <w:footnoteReference w:id="47"/>
      </w:r>
      <w:r w:rsidRPr="00F34496">
        <w:t xml:space="preserve">  </w:t>
      </w:r>
      <w:r w:rsidR="00776570" w:rsidRPr="00F941FA">
        <w:t>We are committed to strict enforcement of our rules and to tak</w:t>
      </w:r>
      <w:r w:rsidR="007C65A0" w:rsidRPr="00F941FA">
        <w:t>ing</w:t>
      </w:r>
      <w:r w:rsidR="00776570" w:rsidRPr="00F941FA">
        <w:t xml:space="preserve"> all measures to root out waste, fraud</w:t>
      </w:r>
      <w:r w:rsidR="00263131">
        <w:t>,</w:t>
      </w:r>
      <w:r w:rsidR="00776570" w:rsidRPr="00F34496">
        <w:t xml:space="preserve"> and abuse even for violations that are of short duration. </w:t>
      </w:r>
      <w:r w:rsidR="00B671B3" w:rsidRPr="00F34496">
        <w:t xml:space="preserve"> </w:t>
      </w:r>
      <w:r w:rsidR="00BC5D3A" w:rsidRPr="00F941FA">
        <w:t>Together with the first component, this revised structure takes into consideration both the duration of the violation and the magnitude of harm to the Fund</w:t>
      </w:r>
      <w:r w:rsidR="00BC5D3A" w:rsidRPr="000520BF">
        <w:t>.</w:t>
      </w:r>
    </w:p>
    <w:p w14:paraId="1F3DE9F7" w14:textId="34F0897D" w:rsidR="00202650" w:rsidRPr="000520BF" w:rsidRDefault="00DB6275" w:rsidP="00EA5AEB">
      <w:pPr>
        <w:pStyle w:val="ParaNum"/>
      </w:pPr>
      <w:r w:rsidRPr="00F941FA">
        <w:t xml:space="preserve">Finally, with respect to the third component, we find, as we did in </w:t>
      </w:r>
      <w:r w:rsidRPr="00F941FA">
        <w:rPr>
          <w:i/>
        </w:rPr>
        <w:t>VCI</w:t>
      </w:r>
      <w:r w:rsidRPr="00F941FA">
        <w:t xml:space="preserve">, </w:t>
      </w:r>
      <w:r w:rsidRPr="00F941FA">
        <w:rPr>
          <w:spacing w:val="-2"/>
        </w:rPr>
        <w:t xml:space="preserve">that a significant upward adjustment of the base forfeiture amount is warranted.  However, </w:t>
      </w:r>
      <w:r w:rsidRPr="00F941FA">
        <w:t>we increase the upward adjustment calculation</w:t>
      </w:r>
      <w:r w:rsidRPr="00F941FA">
        <w:rPr>
          <w:i/>
        </w:rPr>
        <w:t xml:space="preserve"> </w:t>
      </w:r>
      <w:r w:rsidRPr="00F941FA">
        <w:t>to better reflect the gravity of the harm to the Lifeline program in particular</w:t>
      </w:r>
      <w:r w:rsidR="007C65A0" w:rsidRPr="00F941FA">
        <w:t>,</w:t>
      </w:r>
      <w:r w:rsidRPr="00F941FA">
        <w:t xml:space="preserve"> to the Fund in general</w:t>
      </w:r>
      <w:r w:rsidR="007C65A0" w:rsidRPr="00F941FA">
        <w:t>, and to the consumers who contribute to the Fund</w:t>
      </w:r>
      <w:r w:rsidRPr="00F941FA">
        <w:t>.</w:t>
      </w:r>
      <w:r w:rsidRPr="006204C3">
        <w:rPr>
          <w:rStyle w:val="FootnoteReference"/>
          <w:sz w:val="22"/>
          <w:szCs w:val="22"/>
        </w:rPr>
        <w:footnoteReference w:id="48"/>
      </w:r>
      <w:r w:rsidRPr="00F34496">
        <w:t xml:space="preserve">  Thus, we propose an upward adjustment equal to three times the reimbursements requested and/or received by Easy </w:t>
      </w:r>
      <w:r w:rsidR="00BC5D3A" w:rsidRPr="00F941FA">
        <w:t xml:space="preserve">Wireless </w:t>
      </w:r>
      <w:r w:rsidRPr="00F941FA">
        <w:t xml:space="preserve">for ineligible subscribers.  </w:t>
      </w:r>
      <w:r w:rsidR="009C4D13" w:rsidRPr="00F941FA">
        <w:t>In adopting this approach to the upward adjustment</w:t>
      </w:r>
      <w:r w:rsidR="009C4D13" w:rsidRPr="000520BF">
        <w:t xml:space="preserve">, we are informed by </w:t>
      </w:r>
      <w:r w:rsidR="009C4D13" w:rsidRPr="00F941FA">
        <w:t>Section 503(a) of the Act</w:t>
      </w:r>
      <w:r w:rsidR="009C4D13" w:rsidRPr="006204C3">
        <w:rPr>
          <w:rStyle w:val="FootnoteReference"/>
          <w:sz w:val="22"/>
          <w:szCs w:val="22"/>
        </w:rPr>
        <w:footnoteReference w:id="49"/>
      </w:r>
      <w:r w:rsidR="009C4D13" w:rsidRPr="000520BF">
        <w:t xml:space="preserve"> </w:t>
      </w:r>
      <w:r w:rsidR="009C4D13" w:rsidRPr="00F34496">
        <w:t>which, in the context of improper intercarrier compensation payments</w:t>
      </w:r>
      <w:r w:rsidR="009C4D13" w:rsidRPr="00F941FA">
        <w:t xml:space="preserve">, authorizes a forfeiture of three times the amount of improper compensation.  </w:t>
      </w:r>
      <w:r w:rsidR="00624949" w:rsidRPr="000520BF">
        <w:t>Section 503(a</w:t>
      </w:r>
      <w:r w:rsidR="00624949" w:rsidRPr="00F941FA">
        <w:t>) establishes the principle</w:t>
      </w:r>
      <w:r w:rsidR="00624949" w:rsidRPr="000520BF">
        <w:t xml:space="preserve"> that</w:t>
      </w:r>
      <w:r w:rsidR="00624949" w:rsidRPr="00F941FA">
        <w:t xml:space="preserve">, when the </w:t>
      </w:r>
      <w:r w:rsidR="00BC5D3A" w:rsidRPr="00F941FA">
        <w:t xml:space="preserve">harm done by </w:t>
      </w:r>
      <w:r w:rsidR="00624949" w:rsidRPr="00F941FA">
        <w:t>the violation varies based on the amount of the money involved,</w:t>
      </w:r>
      <w:r w:rsidR="00624949" w:rsidRPr="000520BF">
        <w:t xml:space="preserve"> it is </w:t>
      </w:r>
      <w:r w:rsidR="00BC5D3A" w:rsidRPr="00F941FA">
        <w:t xml:space="preserve">most </w:t>
      </w:r>
      <w:r w:rsidR="00805C4E" w:rsidRPr="00F941FA">
        <w:t>appropriate</w:t>
      </w:r>
      <w:r w:rsidR="00BC5D3A" w:rsidRPr="00F941FA">
        <w:t xml:space="preserve"> </w:t>
      </w:r>
      <w:r w:rsidR="00BC5D3A" w:rsidRPr="000520BF">
        <w:t xml:space="preserve">to </w:t>
      </w:r>
      <w:r w:rsidR="00BC5D3A" w:rsidRPr="00F941FA">
        <w:t xml:space="preserve">calculate the </w:t>
      </w:r>
      <w:r w:rsidR="00BC5D3A" w:rsidRPr="000520BF">
        <w:t xml:space="preserve">forfeiture </w:t>
      </w:r>
      <w:r w:rsidR="00BC5D3A" w:rsidRPr="00F941FA">
        <w:t>in a manner</w:t>
      </w:r>
      <w:r w:rsidR="00BC5D3A" w:rsidRPr="000520BF">
        <w:t xml:space="preserve"> that reflects the magnitude </w:t>
      </w:r>
      <w:r w:rsidR="00624949" w:rsidRPr="00F941FA">
        <w:t xml:space="preserve">of the violation.  That is the circumstance in this case, and we therefore adjust the forfeiture upward by an </w:t>
      </w:r>
      <w:r w:rsidR="00624949" w:rsidRPr="000520BF">
        <w:t xml:space="preserve">amount </w:t>
      </w:r>
      <w:r w:rsidR="00624949" w:rsidRPr="00F941FA">
        <w:t>equal to</w:t>
      </w:r>
      <w:r w:rsidR="00624949" w:rsidRPr="000520BF">
        <w:t xml:space="preserve"> three times the </w:t>
      </w:r>
      <w:r w:rsidR="00624949" w:rsidRPr="00F941FA">
        <w:t>overcollection requested and/or received.</w:t>
      </w:r>
    </w:p>
    <w:p w14:paraId="25456F77" w14:textId="77777777" w:rsidR="006A1021" w:rsidRPr="00F941FA" w:rsidRDefault="00624949" w:rsidP="00F941FA">
      <w:pPr>
        <w:pStyle w:val="ParaNum"/>
      </w:pPr>
      <w:r w:rsidRPr="00F941FA">
        <w:t xml:space="preserve"> </w:t>
      </w:r>
      <w:bookmarkStart w:id="1" w:name="SR;19752"/>
      <w:bookmarkStart w:id="2" w:name="SR;19762"/>
      <w:bookmarkStart w:id="3" w:name="SR;19690"/>
      <w:bookmarkStart w:id="4" w:name="SR;19691"/>
      <w:bookmarkEnd w:id="1"/>
      <w:bookmarkEnd w:id="2"/>
      <w:bookmarkEnd w:id="3"/>
      <w:bookmarkEnd w:id="4"/>
      <w:r w:rsidRPr="00F941FA">
        <w:t xml:space="preserve">Based on the facts and record before us, we have determined that Easy Wireless has </w:t>
      </w:r>
      <w:r w:rsidR="00BC5D3A" w:rsidRPr="00F941FA">
        <w:t xml:space="preserve">apparently </w:t>
      </w:r>
      <w:r w:rsidRPr="00F941FA">
        <w:t>willfully and repeatedly violated Sections 54.407, 54.409</w:t>
      </w:r>
      <w:r w:rsidR="00263131">
        <w:t>,</w:t>
      </w:r>
      <w:r w:rsidRPr="00F34496">
        <w:t xml:space="preserve"> and 54.410 of the rules.</w:t>
      </w:r>
      <w:r w:rsidRPr="00440402">
        <w:rPr>
          <w:rStyle w:val="FootnoteReference"/>
          <w:sz w:val="22"/>
          <w:szCs w:val="22"/>
        </w:rPr>
        <w:footnoteReference w:id="50"/>
      </w:r>
      <w:r w:rsidRPr="00F34496">
        <w:t xml:space="preserve">  As documented above, in a single month and in connection with the submission of a</w:t>
      </w:r>
      <w:r w:rsidR="00D5152A" w:rsidRPr="00F941FA">
        <w:t>n</w:t>
      </w:r>
      <w:r w:rsidRPr="00F941FA">
        <w:t xml:space="preserve"> FCC Form 497, Easy Wireless requested Lifeline support reimbursement</w:t>
      </w:r>
      <w:r w:rsidRPr="00F941FA" w:rsidDel="000068C0">
        <w:t xml:space="preserve"> </w:t>
      </w:r>
      <w:r w:rsidRPr="00F941FA">
        <w:t xml:space="preserve">of $10,515 for 307 customers who were </w:t>
      </w:r>
      <w:r w:rsidR="00D5152A" w:rsidRPr="00F941FA">
        <w:t>receiving</w:t>
      </w:r>
      <w:r w:rsidRPr="00F941FA">
        <w:t xml:space="preserve"> </w:t>
      </w:r>
      <w:r w:rsidR="00BC5D3A" w:rsidRPr="00F941FA">
        <w:t xml:space="preserve">more than one </w:t>
      </w:r>
      <w:r w:rsidRPr="00F941FA">
        <w:t xml:space="preserve">Easy Wireless Lifeline service.  Accordingly, with respect to the first component of the structure articulated above, </w:t>
      </w:r>
      <w:r w:rsidR="00BC5D3A" w:rsidRPr="00F941FA">
        <w:t xml:space="preserve">we propose a base forfeiture of $20,000 for the submission of the FCC Form 497 that includes the 307 ineligible intra-company duplicate subscribers in the line count.  With respect to the second component, </w:t>
      </w:r>
      <w:r w:rsidRPr="00F941FA">
        <w:t>we propose a base forfeiture of $</w:t>
      </w:r>
      <w:r w:rsidR="00437ED7">
        <w:t>1,535,000</w:t>
      </w:r>
      <w:r w:rsidRPr="00F941FA">
        <w:t xml:space="preserve"> based on the 307 ineligible subscribers for whom Easy Wireless requested and/or received compensation from the Fund.  Finally, with respect to the third component, we propose an upward adjustment of $31,545, which is three times the amount of support Easy Wireless requested and/or received for ineligible consumers.  W</w:t>
      </w:r>
      <w:r w:rsidRPr="00F941FA">
        <w:rPr>
          <w:color w:val="000000"/>
        </w:rPr>
        <w:t xml:space="preserve">e </w:t>
      </w:r>
      <w:r w:rsidR="0032431D" w:rsidRPr="00F941FA">
        <w:rPr>
          <w:color w:val="000000"/>
        </w:rPr>
        <w:t xml:space="preserve">therefore </w:t>
      </w:r>
      <w:r w:rsidRPr="00F941FA">
        <w:rPr>
          <w:color w:val="000000"/>
        </w:rPr>
        <w:t>conclude that a total proposed forfeiture of $</w:t>
      </w:r>
      <w:r w:rsidR="00437ED7">
        <w:rPr>
          <w:color w:val="000000"/>
        </w:rPr>
        <w:t>1,586,545</w:t>
      </w:r>
      <w:r w:rsidRPr="00F941FA">
        <w:rPr>
          <w:color w:val="000000"/>
        </w:rPr>
        <w:t xml:space="preserve"> against Easy Wireless is warranted.</w:t>
      </w:r>
    </w:p>
    <w:p w14:paraId="73D1EDB0" w14:textId="0EBBB8EF" w:rsidR="00BC5D3A" w:rsidRPr="000520BF" w:rsidRDefault="00BC5D3A" w:rsidP="00EA5AEB">
      <w:pPr>
        <w:pStyle w:val="ParaNum"/>
      </w:pPr>
      <w:r w:rsidRPr="000520BF">
        <w:t>This forfeiture structure for Lifeline overcollection violations</w:t>
      </w:r>
      <w:r w:rsidRPr="00F941FA">
        <w:t xml:space="preserve"> will</w:t>
      </w:r>
      <w:r w:rsidRPr="00F941FA">
        <w:rPr>
          <w:rStyle w:val="searchterm"/>
        </w:rPr>
        <w:t xml:space="preserve"> </w:t>
      </w:r>
      <w:r w:rsidRPr="00F941FA">
        <w:t xml:space="preserve">in no way foreclose the Commission or any other governmental entity from taking additional enforcement action and imposing additional forfeitures for other violations of the Lifeline rules.  </w:t>
      </w:r>
      <w:r w:rsidRPr="000520BF">
        <w:t xml:space="preserve">Moreover, </w:t>
      </w:r>
      <w:r w:rsidRPr="00F941FA">
        <w:t>the Commission clarifies that the penalties that result from this</w:t>
      </w:r>
      <w:r w:rsidRPr="000520BF">
        <w:t xml:space="preserve"> forfeiture structure </w:t>
      </w:r>
      <w:r w:rsidRPr="00F941FA">
        <w:t>are separate from any amounts that an ETC may be required to refund to USAC in order to make the Fund whole.</w:t>
      </w:r>
    </w:p>
    <w:p w14:paraId="57986163" w14:textId="77777777" w:rsidR="001B561D" w:rsidRPr="00F941FA" w:rsidRDefault="001B561D" w:rsidP="001B561D">
      <w:pPr>
        <w:pStyle w:val="Heading1"/>
        <w:widowControl/>
        <w:spacing w:line="240" w:lineRule="atLeast"/>
      </w:pPr>
      <w:r w:rsidRPr="000520BF">
        <w:t>ORDERING CLAUSES</w:t>
      </w:r>
    </w:p>
    <w:p w14:paraId="0BDCF4C0" w14:textId="63518CFF" w:rsidR="006A1021" w:rsidRPr="000520BF" w:rsidRDefault="001B561D" w:rsidP="00EA5AEB">
      <w:pPr>
        <w:pStyle w:val="ParaNum"/>
      </w:pPr>
      <w:r w:rsidRPr="00F941FA">
        <w:t>Accordingly,</w:t>
      </w:r>
      <w:r w:rsidRPr="00F941FA">
        <w:rPr>
          <w:b/>
        </w:rPr>
        <w:t xml:space="preserve"> IT IS ORDERED</w:t>
      </w:r>
      <w:r w:rsidRPr="00F941FA">
        <w:t xml:space="preserve"> that, pursuant to Section 503(b) of the Act, and</w:t>
      </w:r>
      <w:r w:rsidR="00E333DB" w:rsidRPr="00F941FA">
        <w:t xml:space="preserve"> </w:t>
      </w:r>
      <w:r w:rsidRPr="00F941FA">
        <w:t xml:space="preserve">1.80 of the </w:t>
      </w:r>
      <w:r w:rsidR="00C3179D" w:rsidRPr="00F941FA">
        <w:t>r</w:t>
      </w:r>
      <w:r w:rsidRPr="00F941FA">
        <w:t>ules,</w:t>
      </w:r>
      <w:r w:rsidRPr="00BA2123">
        <w:rPr>
          <w:rStyle w:val="FootnoteReference"/>
          <w:sz w:val="22"/>
          <w:szCs w:val="22"/>
        </w:rPr>
        <w:footnoteReference w:id="51"/>
      </w:r>
      <w:r w:rsidRPr="000520BF">
        <w:t xml:space="preserve"> Easy Telep</w:t>
      </w:r>
      <w:r w:rsidRPr="00F34496">
        <w:t xml:space="preserve">hone Services d/b/a Easy Wireless is hereby </w:t>
      </w:r>
      <w:r w:rsidRPr="00F941FA">
        <w:rPr>
          <w:b/>
        </w:rPr>
        <w:t xml:space="preserve">NOTIFIED </w:t>
      </w:r>
      <w:r w:rsidRPr="00F941FA">
        <w:t xml:space="preserve">of this </w:t>
      </w:r>
      <w:r w:rsidRPr="00F941FA">
        <w:rPr>
          <w:b/>
        </w:rPr>
        <w:t xml:space="preserve">APPARENT LIABILITY FOR A FORFEITURE </w:t>
      </w:r>
      <w:r w:rsidRPr="00F941FA">
        <w:t xml:space="preserve">in the amount of </w:t>
      </w:r>
      <w:r w:rsidR="00437ED7" w:rsidRPr="000520BF">
        <w:t xml:space="preserve">one </w:t>
      </w:r>
      <w:r w:rsidR="00437ED7">
        <w:t xml:space="preserve">million, five hundred eighty-six </w:t>
      </w:r>
      <w:r w:rsidR="00437ED7" w:rsidRPr="000520BF">
        <w:t>thousand</w:t>
      </w:r>
      <w:r w:rsidR="00437ED7">
        <w:t>,</w:t>
      </w:r>
      <w:r w:rsidR="00437ED7" w:rsidRPr="000520BF">
        <w:t xml:space="preserve"> five hundred forty-five </w:t>
      </w:r>
      <w:r w:rsidR="00437ED7" w:rsidRPr="00F941FA">
        <w:t>dollars ($</w:t>
      </w:r>
      <w:r w:rsidR="00437ED7">
        <w:t>1,586</w:t>
      </w:r>
      <w:r w:rsidR="00437ED7" w:rsidRPr="000520BF">
        <w:t>,54</w:t>
      </w:r>
      <w:r w:rsidR="00437ED7">
        <w:t>5)</w:t>
      </w:r>
      <w:r w:rsidR="00311CDD" w:rsidRPr="00F941FA">
        <w:t xml:space="preserve"> </w:t>
      </w:r>
      <w:r w:rsidRPr="00F941FA">
        <w:t>for apparently</w:t>
      </w:r>
      <w:r w:rsidRPr="000520BF">
        <w:t xml:space="preserve"> </w:t>
      </w:r>
      <w:r w:rsidRPr="00F941FA">
        <w:t xml:space="preserve">willfully and repeatedly violating Sections </w:t>
      </w:r>
      <w:r w:rsidR="00FD35FF" w:rsidRPr="00F941FA">
        <w:t xml:space="preserve">54.407, </w:t>
      </w:r>
      <w:r w:rsidRPr="00F941FA">
        <w:t>54.</w:t>
      </w:r>
      <w:r w:rsidRPr="000520BF">
        <w:t>409</w:t>
      </w:r>
      <w:r w:rsidR="00263131">
        <w:t>,</w:t>
      </w:r>
      <w:r w:rsidRPr="000520BF">
        <w:t xml:space="preserve"> </w:t>
      </w:r>
      <w:r w:rsidR="003368C7" w:rsidRPr="00F941FA">
        <w:t xml:space="preserve">and 54.410 </w:t>
      </w:r>
      <w:r w:rsidRPr="00F941FA">
        <w:t xml:space="preserve">of the </w:t>
      </w:r>
      <w:r w:rsidR="00C3179D" w:rsidRPr="00F941FA">
        <w:t>r</w:t>
      </w:r>
      <w:r w:rsidRPr="00F941FA">
        <w:t>ules.</w:t>
      </w:r>
      <w:r w:rsidRPr="001B561D">
        <w:rPr>
          <w:rStyle w:val="FootnoteReference"/>
          <w:sz w:val="22"/>
          <w:szCs w:val="22"/>
        </w:rPr>
        <w:footnoteReference w:id="52"/>
      </w:r>
    </w:p>
    <w:p w14:paraId="36A61ECD" w14:textId="77777777" w:rsidR="001B561D" w:rsidRPr="00F941FA" w:rsidRDefault="001B561D" w:rsidP="00EA5AEB">
      <w:pPr>
        <w:pStyle w:val="ParaNum"/>
      </w:pPr>
      <w:r w:rsidRPr="00F941FA">
        <w:rPr>
          <w:b/>
        </w:rPr>
        <w:t>IT IS FURTHER ORDERED</w:t>
      </w:r>
      <w:r w:rsidRPr="00F941FA">
        <w:t xml:space="preserve"> that, pursuant to Section 1.80 of the </w:t>
      </w:r>
      <w:r w:rsidR="00C3179D" w:rsidRPr="00F941FA">
        <w:t>r</w:t>
      </w:r>
      <w:r w:rsidRPr="00F941FA">
        <w:t>ules,</w:t>
      </w:r>
      <w:r w:rsidR="00BD72C6" w:rsidRPr="001F0DAD">
        <w:rPr>
          <w:rStyle w:val="FootnoteReference"/>
          <w:sz w:val="22"/>
          <w:szCs w:val="22"/>
        </w:rPr>
        <w:footnoteReference w:id="53"/>
      </w:r>
      <w:r w:rsidRPr="000520BF">
        <w:t xml:space="preserve"> within thirty (30) calendar days of the release date of this </w:t>
      </w:r>
      <w:r w:rsidRPr="00F34496">
        <w:t xml:space="preserve">Notice of Apparent Liability for Forfeiture and Order, Easy Wireless </w:t>
      </w:r>
      <w:r w:rsidRPr="00F941FA">
        <w:rPr>
          <w:b/>
        </w:rPr>
        <w:t>SHALL PAY</w:t>
      </w:r>
      <w:r w:rsidRPr="00F941FA">
        <w:t xml:space="preserve"> the full amount of the proposed forfeiture or </w:t>
      </w:r>
      <w:r w:rsidRPr="00F941FA">
        <w:rPr>
          <w:b/>
        </w:rPr>
        <w:t>SHALL FILE</w:t>
      </w:r>
      <w:r w:rsidRPr="00F941FA">
        <w:t xml:space="preserve"> a written statement seeking reduction or cancellation of the proposed forfeiture.</w:t>
      </w:r>
    </w:p>
    <w:p w14:paraId="1DF86907" w14:textId="2E94DBFF" w:rsidR="001B561D" w:rsidRPr="00F941FA" w:rsidRDefault="001B561D" w:rsidP="00EA5AEB">
      <w:pPr>
        <w:pStyle w:val="ParaNum"/>
      </w:pPr>
      <w:r w:rsidRPr="00F941FA">
        <w:rPr>
          <w:rFonts w:eastAsia="MS Mincho"/>
        </w:rPr>
        <w:t xml:space="preserve">Payment of the forfeiture must be made by check or similar instrument, wire transfer, or credit card, and must include the NAL/Account number and FRN referenced above.  </w:t>
      </w:r>
      <w:r w:rsidRPr="00F941FA">
        <w:t>Easy Wireless s</w:t>
      </w:r>
      <w:r w:rsidRPr="00F941FA">
        <w:rPr>
          <w:color w:val="000000"/>
        </w:rPr>
        <w:t xml:space="preserve">hall also send electronic notification of payment to Theresa Z. Cavanaugh, at </w:t>
      </w:r>
      <w:r w:rsidRPr="0022720F">
        <w:t>Terry.Cavanaugh@fcc.gov</w:t>
      </w:r>
      <w:r w:rsidRPr="000520BF">
        <w:rPr>
          <w:color w:val="000000"/>
        </w:rPr>
        <w:t xml:space="preserve"> and to Pam Slipakoff at </w:t>
      </w:r>
      <w:r w:rsidRPr="0022720F">
        <w:t>Pam.Slipakoff@fcc.gov</w:t>
      </w:r>
      <w:r w:rsidRPr="000520BF">
        <w:rPr>
          <w:color w:val="000000"/>
        </w:rPr>
        <w:t xml:space="preserve"> on the date said payment is made.  </w:t>
      </w:r>
      <w:r w:rsidRPr="00F941FA">
        <w:rPr>
          <w:rFonts w:eastAsia="MS Mincho"/>
        </w:rPr>
        <w:t>Regardless of the form of payment, a completed FCC Form 159 (Remittance Advice) must be submitted.</w:t>
      </w:r>
      <w:r w:rsidRPr="001F0DAD">
        <w:rPr>
          <w:rStyle w:val="FootnoteReference"/>
          <w:rFonts w:eastAsia="MS Mincho"/>
          <w:sz w:val="22"/>
          <w:szCs w:val="22"/>
        </w:rPr>
        <w:footnoteReference w:id="54"/>
      </w:r>
      <w:r w:rsidRPr="000520BF">
        <w:rPr>
          <w:rFonts w:eastAsia="MS Mincho"/>
        </w:rPr>
        <w:t xml:space="preserve">  When completing the FCC Form 159, enter the Account Number in block number 23A (call sign/other ID) and enter the letters “FORF” in block number 24A (payment type code).  </w:t>
      </w:r>
      <w:r w:rsidRPr="00F941FA">
        <w:rPr>
          <w:color w:val="000000"/>
        </w:rPr>
        <w:t>Below are additional instructions you should follow based on the form of payment you select:</w:t>
      </w:r>
    </w:p>
    <w:p w14:paraId="5DE2011E" w14:textId="77777777" w:rsidR="00995B97" w:rsidRPr="00F941FA" w:rsidRDefault="00995B97">
      <w:pPr>
        <w:pStyle w:val="ParaNum"/>
        <w:widowControl/>
        <w:numPr>
          <w:ilvl w:val="0"/>
          <w:numId w:val="6"/>
        </w:numPr>
        <w:spacing w:line="240" w:lineRule="atLeast"/>
        <w:rPr>
          <w:rFonts w:eastAsia="MS Mincho"/>
        </w:rPr>
      </w:pPr>
      <w:bookmarkStart w:id="5" w:name="sp_1511_15940"/>
      <w:bookmarkStart w:id="6" w:name="SDU_15940"/>
      <w:bookmarkStart w:id="7" w:name="citeas((Cite_as:_22_F.C.C.R._15933,_*159"/>
      <w:bookmarkEnd w:id="5"/>
      <w:bookmarkEnd w:id="6"/>
      <w:bookmarkEnd w:id="7"/>
      <w:r w:rsidRPr="00F941FA">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4251B1FE" w14:textId="77777777" w:rsidR="00995B97" w:rsidRPr="00F941FA" w:rsidRDefault="00995B97">
      <w:pPr>
        <w:pStyle w:val="ParaNum"/>
        <w:widowControl/>
        <w:numPr>
          <w:ilvl w:val="0"/>
          <w:numId w:val="6"/>
        </w:numPr>
        <w:spacing w:line="240" w:lineRule="atLeast"/>
        <w:rPr>
          <w:rFonts w:eastAsia="MS Mincho"/>
        </w:rPr>
      </w:pPr>
      <w:r w:rsidRPr="00F941FA">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3262BCC" w14:textId="77777777" w:rsidR="00995B97" w:rsidRPr="00F941FA" w:rsidRDefault="00995B97" w:rsidP="000520BF">
      <w:pPr>
        <w:pStyle w:val="ParaNum"/>
        <w:widowControl/>
        <w:numPr>
          <w:ilvl w:val="0"/>
          <w:numId w:val="6"/>
        </w:numPr>
        <w:spacing w:line="240" w:lineRule="atLeast"/>
        <w:rPr>
          <w:rFonts w:eastAsia="MS Mincho"/>
        </w:rPr>
      </w:pPr>
      <w:r w:rsidRPr="00F941FA">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7A6B18BB" w14:textId="77777777" w:rsidR="00411B71" w:rsidRPr="00F941FA" w:rsidRDefault="00995B97" w:rsidP="006A1021">
      <w:pPr>
        <w:widowControl/>
        <w:tabs>
          <w:tab w:val="left" w:pos="0"/>
        </w:tabs>
        <w:suppressAutoHyphens/>
        <w:spacing w:after="220" w:line="240" w:lineRule="atLeast"/>
      </w:pPr>
      <w:r w:rsidRPr="00F941FA">
        <w:rPr>
          <w:rFonts w:eastAsia="MS Mincho"/>
        </w:rPr>
        <w:t xml:space="preserve">Any request for </w:t>
      </w:r>
      <w:r w:rsidR="00FE2EF1" w:rsidRPr="00F941FA">
        <w:rPr>
          <w:rFonts w:eastAsia="MS Mincho"/>
        </w:rPr>
        <w:t xml:space="preserve">making </w:t>
      </w:r>
      <w:r w:rsidRPr="00F941FA">
        <w:rPr>
          <w:rFonts w:eastAsia="MS Mincho"/>
        </w:rPr>
        <w:t xml:space="preserve">full payment </w:t>
      </w:r>
      <w:r w:rsidR="00FE2EF1" w:rsidRPr="00F941FA">
        <w:rPr>
          <w:rFonts w:eastAsia="MS Mincho"/>
        </w:rPr>
        <w:t xml:space="preserve">over time </w:t>
      </w:r>
      <w:r w:rsidRPr="00F941FA">
        <w:rPr>
          <w:rFonts w:eastAsia="MS Mincho"/>
        </w:rPr>
        <w:t>under an installment plan should be sent to:  Chief Financial Officer—Financial Operations, Federal Communications Commission, 445 12th Street, S.W.,</w:t>
      </w:r>
      <w:r w:rsidR="00FE57B7" w:rsidRPr="00F941FA">
        <w:rPr>
          <w:rFonts w:eastAsia="MS Mincho"/>
        </w:rPr>
        <w:t xml:space="preserve"> </w:t>
      </w:r>
      <w:r w:rsidRPr="00F941FA">
        <w:rPr>
          <w:rFonts w:eastAsia="MS Mincho"/>
        </w:rPr>
        <w:t>Room 1-A625, Washington, D.C.  20554.</w:t>
      </w:r>
      <w:r w:rsidRPr="001F0DAD">
        <w:rPr>
          <w:rStyle w:val="FootnoteReference"/>
          <w:rFonts w:eastAsia="MS Mincho"/>
          <w:sz w:val="22"/>
          <w:szCs w:val="22"/>
        </w:rPr>
        <w:footnoteReference w:id="55"/>
      </w:r>
      <w:r w:rsidRPr="000520BF">
        <w:rPr>
          <w:rFonts w:eastAsia="MS Mincho"/>
        </w:rPr>
        <w:t xml:space="preserve">  If you have questions regarding payment procedures, please contact the Financial Operations Group Help </w:t>
      </w:r>
      <w:r w:rsidRPr="00F34496">
        <w:rPr>
          <w:rFonts w:eastAsia="MS Mincho"/>
        </w:rPr>
        <w:t>Desk by phone, 1-877-480-3201, or by e</w:t>
      </w:r>
      <w:r w:rsidRPr="00F34496">
        <w:rPr>
          <w:rFonts w:eastAsia="MS Mincho"/>
        </w:rPr>
        <w:noBreakHyphen/>
        <w:t>mail, ARINQUIRIES</w:t>
      </w:r>
      <w:r w:rsidRPr="00F941FA">
        <w:rPr>
          <w:rFonts w:eastAsia="MS Mincho"/>
        </w:rPr>
        <w:t>@fcc.gov.   </w:t>
      </w:r>
    </w:p>
    <w:p w14:paraId="79A0C626" w14:textId="16F1BDF6" w:rsidR="00411B71" w:rsidRPr="00F941FA" w:rsidRDefault="00995B97" w:rsidP="00EA5AEB">
      <w:pPr>
        <w:pStyle w:val="ParaNum"/>
      </w:pPr>
      <w:r w:rsidRPr="00F941FA">
        <w:t xml:space="preserve">The written statement seeking reduction or cancellation of the proposed forfeiture, if any, must include a detailed factual statement supported by appropriate documentation and affidavits pursuant to Sections 1.16 and 1.80(f)(3) of the </w:t>
      </w:r>
      <w:r w:rsidR="00C3179D" w:rsidRPr="00F941FA">
        <w:t>r</w:t>
      </w:r>
      <w:r w:rsidRPr="00F941FA">
        <w:t>ules</w:t>
      </w:r>
      <w:r w:rsidR="00333740">
        <w:t>,</w:t>
      </w:r>
      <w:r w:rsidRPr="001F0DAD">
        <w:rPr>
          <w:rStyle w:val="FootnoteReference"/>
          <w:sz w:val="22"/>
          <w:szCs w:val="22"/>
        </w:rPr>
        <w:footnoteReference w:id="56"/>
      </w:r>
      <w:r w:rsidRPr="00F34496">
        <w:t xml:space="preserve"> </w:t>
      </w:r>
      <w:r w:rsidR="00333740">
        <w:t>and may include any data or information demonstrating that the IDV results referenced in this NAL are materially erroneous or anomalous, or that the forfeiture proposed is otherwise inappropriate.</w:t>
      </w:r>
      <w:r w:rsidR="00333740">
        <w:rPr>
          <w:rStyle w:val="FootnoteReference"/>
        </w:rPr>
        <w:footnoteReference w:id="57"/>
      </w:r>
      <w:r w:rsidRPr="000520BF">
        <w:t xml:space="preserve"> </w:t>
      </w:r>
      <w:r w:rsidR="00333740">
        <w:t xml:space="preserve"> </w:t>
      </w:r>
      <w:r w:rsidR="005557FE" w:rsidRPr="00F941FA">
        <w:t xml:space="preserve">The written statement must be mailed to </w:t>
      </w:r>
      <w:r w:rsidR="002D6398" w:rsidRPr="00F941FA">
        <w:t>Theresa Z. Cavanaugh, Chief, Investigations and Hearings Division, Enforcement Bureau, Federal Communications Commission, 445 12</w:t>
      </w:r>
      <w:r w:rsidR="002D6398" w:rsidRPr="00F941FA">
        <w:rPr>
          <w:vertAlign w:val="superscript"/>
        </w:rPr>
        <w:t>th</w:t>
      </w:r>
      <w:r w:rsidR="002D6398" w:rsidRPr="00F941FA">
        <w:t xml:space="preserve"> Street, SW, Washington, DC 20554</w:t>
      </w:r>
      <w:r w:rsidR="003A0135" w:rsidRPr="00F941FA">
        <w:t>,</w:t>
      </w:r>
      <w:r w:rsidRPr="00F941FA">
        <w:t xml:space="preserve"> and</w:t>
      </w:r>
      <w:r w:rsidR="005557FE" w:rsidRPr="00F941FA">
        <w:t xml:space="preserve"> must</w:t>
      </w:r>
      <w:r w:rsidRPr="00F941FA">
        <w:t xml:space="preserve"> include the NAL/Acct. No. referenced in the caption.  </w:t>
      </w:r>
      <w:r w:rsidR="005557FE" w:rsidRPr="00F941FA">
        <w:t xml:space="preserve">The written statement shall also be emailed to </w:t>
      </w:r>
      <w:r w:rsidR="005557FE" w:rsidRPr="00F941FA">
        <w:rPr>
          <w:color w:val="000000"/>
        </w:rPr>
        <w:t xml:space="preserve">Theresa Z. Cavanaugh, at Terry. </w:t>
      </w:r>
      <w:r w:rsidR="005557FE" w:rsidRPr="0022720F">
        <w:t>Cavanaugh@fcc.gov</w:t>
      </w:r>
      <w:r w:rsidR="005557FE" w:rsidRPr="000520BF">
        <w:rPr>
          <w:color w:val="000000"/>
        </w:rPr>
        <w:t xml:space="preserve"> and to Pam Slipakoff at </w:t>
      </w:r>
      <w:r w:rsidR="005557FE" w:rsidRPr="0022720F">
        <w:t>Pam.Slipakoff@fcc.gov</w:t>
      </w:r>
      <w:r w:rsidR="005557FE" w:rsidRPr="000520BF">
        <w:rPr>
          <w:color w:val="000000"/>
        </w:rPr>
        <w:t>.</w:t>
      </w:r>
    </w:p>
    <w:p w14:paraId="19B570BA" w14:textId="77777777" w:rsidR="00EA5AEB" w:rsidRDefault="00995B97" w:rsidP="00EA5AEB">
      <w:pPr>
        <w:pStyle w:val="ParaNum"/>
      </w:pPr>
      <w:r w:rsidRPr="00F941FA">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w:t>
      </w:r>
      <w:r w:rsidR="00881215" w:rsidRPr="00F941FA">
        <w:t>inciples</w:t>
      </w:r>
      <w:r w:rsidRPr="00F941FA">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r w:rsidR="00EA5AEB">
        <w:t xml:space="preserve">  </w:t>
      </w:r>
    </w:p>
    <w:p w14:paraId="23F4EFBB" w14:textId="60B23CE6" w:rsidR="00995B97" w:rsidRPr="00F941FA" w:rsidRDefault="00616F02" w:rsidP="00EA5AEB">
      <w:pPr>
        <w:pStyle w:val="ParaNum"/>
      </w:pPr>
      <w:r w:rsidRPr="00EA5AEB">
        <w:rPr>
          <w:b/>
        </w:rPr>
        <w:t>IT IS FURTHER ORDERED</w:t>
      </w:r>
      <w:r w:rsidRPr="00F941FA">
        <w:t xml:space="preserve"> that a copy of this Notice of Apparent Liability for Forfeiture shall be sent by </w:t>
      </w:r>
      <w:r w:rsidR="00363A1A" w:rsidRPr="00F941FA">
        <w:t>c</w:t>
      </w:r>
      <w:r w:rsidR="0073221A" w:rsidRPr="00F941FA">
        <w:t>ertified</w:t>
      </w:r>
      <w:r w:rsidRPr="00F941FA">
        <w:t xml:space="preserve"> </w:t>
      </w:r>
      <w:r w:rsidR="00363A1A" w:rsidRPr="00F941FA">
        <w:t>m</w:t>
      </w:r>
      <w:r w:rsidRPr="00F941FA">
        <w:t xml:space="preserve">ail, </w:t>
      </w:r>
      <w:r w:rsidR="00363A1A" w:rsidRPr="00F941FA">
        <w:t>r</w:t>
      </w:r>
      <w:r w:rsidRPr="00F941FA">
        <w:t xml:space="preserve">eturn </w:t>
      </w:r>
      <w:r w:rsidR="00363A1A" w:rsidRPr="00F941FA">
        <w:t>r</w:t>
      </w:r>
      <w:r w:rsidRPr="00F941FA">
        <w:t xml:space="preserve">eceipt </w:t>
      </w:r>
      <w:r w:rsidR="00363A1A" w:rsidRPr="00F941FA">
        <w:t>r</w:t>
      </w:r>
      <w:r w:rsidRPr="00F941FA">
        <w:t xml:space="preserve">equested, and </w:t>
      </w:r>
      <w:r w:rsidR="00363A1A" w:rsidRPr="00F941FA">
        <w:t>f</w:t>
      </w:r>
      <w:r w:rsidRPr="00F941FA">
        <w:t xml:space="preserve">irst </w:t>
      </w:r>
      <w:r w:rsidR="00363A1A" w:rsidRPr="00F941FA">
        <w:t>c</w:t>
      </w:r>
      <w:r w:rsidRPr="00F941FA">
        <w:t xml:space="preserve">lass </w:t>
      </w:r>
      <w:r w:rsidR="00363A1A" w:rsidRPr="00F941FA">
        <w:t>m</w:t>
      </w:r>
      <w:r w:rsidRPr="00F941FA">
        <w:t>ail to</w:t>
      </w:r>
      <w:r w:rsidR="00363A1A" w:rsidRPr="00F941FA">
        <w:t xml:space="preserve"> Joseph Fernandez</w:t>
      </w:r>
      <w:r w:rsidR="00363A1A" w:rsidRPr="00EA5AEB">
        <w:rPr>
          <w:rFonts w:eastAsia="Calibri"/>
        </w:rPr>
        <w:t xml:space="preserve">, </w:t>
      </w:r>
      <w:r w:rsidR="00363A1A" w:rsidRPr="00F941FA">
        <w:t>Chief Executive Officer</w:t>
      </w:r>
      <w:r w:rsidR="00363A1A" w:rsidRPr="00EA5AEB">
        <w:rPr>
          <w:rFonts w:eastAsia="Calibri"/>
        </w:rPr>
        <w:t xml:space="preserve">, </w:t>
      </w:r>
      <w:r w:rsidR="00363A1A" w:rsidRPr="00F941FA">
        <w:t>Easy Telephone Services d/b/a Easy Wireless</w:t>
      </w:r>
      <w:r w:rsidR="00363A1A" w:rsidRPr="00EA5AEB">
        <w:rPr>
          <w:rFonts w:eastAsia="Calibri"/>
        </w:rPr>
        <w:t xml:space="preserve">, </w:t>
      </w:r>
      <w:r w:rsidR="00363A1A" w:rsidRPr="00F941FA">
        <w:t xml:space="preserve">4352 SE 95th Street, Ocala, FL 34480. </w:t>
      </w:r>
    </w:p>
    <w:p w14:paraId="069DAFDB" w14:textId="77777777" w:rsidR="00995B97" w:rsidRPr="00F941FA" w:rsidRDefault="00995B97" w:rsidP="006A1021">
      <w:pPr>
        <w:widowControl/>
        <w:tabs>
          <w:tab w:val="left" w:pos="0"/>
          <w:tab w:val="num" w:pos="1440"/>
        </w:tabs>
        <w:suppressAutoHyphens/>
        <w:spacing w:line="240" w:lineRule="atLeast"/>
        <w:jc w:val="both"/>
      </w:pPr>
    </w:p>
    <w:p w14:paraId="6A700CA5" w14:textId="77777777" w:rsidR="00995B97" w:rsidRPr="00F941FA" w:rsidRDefault="00995B97" w:rsidP="006A1021">
      <w:pPr>
        <w:widowControl/>
        <w:tabs>
          <w:tab w:val="left" w:pos="0"/>
          <w:tab w:val="num" w:pos="1440"/>
        </w:tabs>
        <w:suppressAutoHyphens/>
        <w:spacing w:line="240" w:lineRule="atLeast"/>
      </w:pPr>
      <w:r w:rsidRPr="00F941FA">
        <w:tab/>
      </w:r>
      <w:r w:rsidRPr="00F941FA">
        <w:tab/>
      </w:r>
      <w:r w:rsidRPr="00F941FA">
        <w:tab/>
      </w:r>
      <w:r w:rsidRPr="00F941FA">
        <w:tab/>
      </w:r>
      <w:r w:rsidRPr="00F941FA">
        <w:tab/>
        <w:t>FEDERAL COMMUNICATIONS COMMISSION</w:t>
      </w:r>
    </w:p>
    <w:p w14:paraId="67A1F699" w14:textId="77777777" w:rsidR="00995B97" w:rsidRPr="00F941FA" w:rsidRDefault="00995B97" w:rsidP="006A1021">
      <w:pPr>
        <w:widowControl/>
        <w:tabs>
          <w:tab w:val="left" w:pos="0"/>
          <w:tab w:val="num" w:pos="1440"/>
        </w:tabs>
        <w:suppressAutoHyphens/>
        <w:spacing w:line="240" w:lineRule="atLeast"/>
        <w:jc w:val="both"/>
      </w:pPr>
    </w:p>
    <w:p w14:paraId="4B7E318F" w14:textId="77777777" w:rsidR="00995B97" w:rsidRPr="00F941FA" w:rsidRDefault="00995B97" w:rsidP="001B561D">
      <w:pPr>
        <w:widowControl/>
        <w:tabs>
          <w:tab w:val="left" w:pos="0"/>
          <w:tab w:val="num" w:pos="1440"/>
        </w:tabs>
        <w:suppressAutoHyphens/>
        <w:spacing w:line="240" w:lineRule="atLeast"/>
        <w:jc w:val="both"/>
      </w:pPr>
    </w:p>
    <w:p w14:paraId="43401CF5" w14:textId="77777777" w:rsidR="002C7427" w:rsidRPr="00F941FA" w:rsidRDefault="002C7427" w:rsidP="001B561D">
      <w:pPr>
        <w:widowControl/>
        <w:tabs>
          <w:tab w:val="left" w:pos="0"/>
          <w:tab w:val="num" w:pos="1440"/>
        </w:tabs>
        <w:suppressAutoHyphens/>
        <w:spacing w:line="240" w:lineRule="atLeast"/>
        <w:jc w:val="both"/>
      </w:pPr>
    </w:p>
    <w:p w14:paraId="0DA3ACF6" w14:textId="77777777" w:rsidR="00995B97" w:rsidRPr="00A265C7" w:rsidRDefault="00995B97" w:rsidP="001B561D">
      <w:pPr>
        <w:widowControl/>
        <w:tabs>
          <w:tab w:val="left" w:pos="0"/>
          <w:tab w:val="num" w:pos="1440"/>
        </w:tabs>
        <w:suppressAutoHyphens/>
        <w:spacing w:line="240" w:lineRule="atLeast"/>
        <w:jc w:val="both"/>
        <w:rPr>
          <w:szCs w:val="22"/>
        </w:rPr>
      </w:pPr>
    </w:p>
    <w:p w14:paraId="5B2F178E" w14:textId="77777777" w:rsidR="00995B97" w:rsidRPr="00F941FA" w:rsidRDefault="00995B97" w:rsidP="001B561D">
      <w:pPr>
        <w:widowControl/>
        <w:tabs>
          <w:tab w:val="left" w:pos="0"/>
          <w:tab w:val="num" w:pos="1440"/>
        </w:tabs>
        <w:suppressAutoHyphens/>
        <w:spacing w:line="240" w:lineRule="atLeast"/>
        <w:jc w:val="both"/>
      </w:pPr>
      <w:r w:rsidRPr="000520BF">
        <w:tab/>
      </w:r>
      <w:r w:rsidRPr="000520BF">
        <w:tab/>
      </w:r>
      <w:r w:rsidRPr="000520BF">
        <w:tab/>
      </w:r>
      <w:r w:rsidRPr="000520BF">
        <w:tab/>
      </w:r>
      <w:r w:rsidRPr="000520BF">
        <w:tab/>
      </w:r>
      <w:r w:rsidR="00266640" w:rsidRPr="00F941FA">
        <w:t>Marlene H. Dortch</w:t>
      </w:r>
    </w:p>
    <w:p w14:paraId="38A799A6" w14:textId="77777777" w:rsidR="00995B97" w:rsidRPr="00F941FA" w:rsidRDefault="00266640" w:rsidP="001B561D">
      <w:pPr>
        <w:widowControl/>
        <w:tabs>
          <w:tab w:val="left" w:pos="0"/>
          <w:tab w:val="num" w:pos="1440"/>
        </w:tabs>
        <w:suppressAutoHyphens/>
        <w:spacing w:line="240" w:lineRule="atLeast"/>
        <w:jc w:val="both"/>
      </w:pPr>
      <w:r w:rsidRPr="00F941FA">
        <w:tab/>
      </w:r>
      <w:r w:rsidRPr="00F941FA">
        <w:tab/>
      </w:r>
      <w:r w:rsidRPr="00F941FA">
        <w:tab/>
      </w:r>
      <w:r w:rsidRPr="00F941FA">
        <w:tab/>
      </w:r>
      <w:r w:rsidRPr="00F941FA">
        <w:tab/>
      </w:r>
      <w:r w:rsidR="00440402" w:rsidRPr="00F941FA">
        <w:t>Secretary</w:t>
      </w:r>
    </w:p>
    <w:p w14:paraId="10BE40D6" w14:textId="77777777" w:rsidR="00D45985" w:rsidRPr="00F941FA" w:rsidRDefault="00D45985" w:rsidP="001B561D">
      <w:pPr>
        <w:widowControl/>
        <w:tabs>
          <w:tab w:val="left" w:pos="0"/>
          <w:tab w:val="num" w:pos="1440"/>
        </w:tabs>
        <w:suppressAutoHyphens/>
        <w:spacing w:line="240" w:lineRule="atLeast"/>
        <w:jc w:val="both"/>
      </w:pPr>
    </w:p>
    <w:p w14:paraId="6DCA08D0" w14:textId="77777777" w:rsidR="00D45985" w:rsidRPr="00F941FA" w:rsidRDefault="00D45985" w:rsidP="001B561D">
      <w:pPr>
        <w:widowControl/>
        <w:tabs>
          <w:tab w:val="left" w:pos="0"/>
          <w:tab w:val="num" w:pos="1440"/>
        </w:tabs>
        <w:suppressAutoHyphens/>
        <w:spacing w:line="240" w:lineRule="atLeast"/>
        <w:jc w:val="both"/>
      </w:pPr>
    </w:p>
    <w:p w14:paraId="146267B4" w14:textId="77777777" w:rsidR="00021AEA" w:rsidRDefault="008A5AE3" w:rsidP="00021AEA">
      <w:pPr>
        <w:jc w:val="center"/>
        <w:rPr>
          <w:b/>
          <w:caps/>
        </w:rPr>
      </w:pPr>
      <w:bookmarkStart w:id="8" w:name="SR;2627"/>
      <w:bookmarkStart w:id="9" w:name="SR;7212"/>
      <w:bookmarkStart w:id="10" w:name="SR;7213"/>
      <w:bookmarkStart w:id="11" w:name="SR;7226"/>
      <w:bookmarkStart w:id="12" w:name="SR;10492"/>
      <w:bookmarkStart w:id="13" w:name="SR;10493"/>
      <w:bookmarkEnd w:id="8"/>
      <w:bookmarkEnd w:id="9"/>
      <w:bookmarkEnd w:id="10"/>
      <w:bookmarkEnd w:id="11"/>
      <w:bookmarkEnd w:id="12"/>
      <w:bookmarkEnd w:id="13"/>
      <w:r>
        <w:br w:type="page"/>
      </w:r>
      <w:r w:rsidR="00021AEA" w:rsidRPr="003037DF">
        <w:rPr>
          <w:b/>
          <w:caps/>
        </w:rPr>
        <w:t xml:space="preserve">Statement of </w:t>
      </w:r>
    </w:p>
    <w:p w14:paraId="1E310E5A" w14:textId="77777777" w:rsidR="00021AEA" w:rsidRDefault="00021AEA" w:rsidP="00021AEA">
      <w:pPr>
        <w:jc w:val="center"/>
        <w:rPr>
          <w:b/>
          <w:caps/>
        </w:rPr>
      </w:pPr>
      <w:r w:rsidRPr="003037DF">
        <w:rPr>
          <w:b/>
          <w:caps/>
        </w:rPr>
        <w:t>Acting Chairwoman MIGNON l. Clyburn</w:t>
      </w:r>
    </w:p>
    <w:p w14:paraId="5B0061BE" w14:textId="77777777" w:rsidR="00021AEA" w:rsidRPr="003037DF" w:rsidRDefault="00021AEA" w:rsidP="00021AEA">
      <w:pPr>
        <w:jc w:val="center"/>
        <w:rPr>
          <w:b/>
          <w:caps/>
        </w:rPr>
      </w:pPr>
    </w:p>
    <w:p w14:paraId="38B2A811" w14:textId="77777777" w:rsidR="00021AEA" w:rsidRPr="003037DF" w:rsidRDefault="00021AEA" w:rsidP="00021AEA">
      <w:pPr>
        <w:ind w:firstLine="720"/>
        <w:rPr>
          <w:color w:val="000000"/>
        </w:rPr>
      </w:pPr>
      <w:r w:rsidRPr="003037DF">
        <w:rPr>
          <w:i/>
        </w:rPr>
        <w:t>Re:</w:t>
      </w:r>
      <w:r w:rsidRPr="003037DF">
        <w:t xml:space="preserve"> </w:t>
      </w:r>
      <w:r w:rsidRPr="003037DF">
        <w:tab/>
      </w:r>
      <w:r w:rsidRPr="003037DF">
        <w:rPr>
          <w:i/>
        </w:rPr>
        <w:t xml:space="preserve">Easy Telephone Services </w:t>
      </w:r>
      <w:r w:rsidRPr="003037DF">
        <w:rPr>
          <w:i/>
          <w:iCs/>
        </w:rPr>
        <w:t>d/b/a Easy Wireless</w:t>
      </w:r>
      <w:r>
        <w:rPr>
          <w:i/>
          <w:iCs/>
        </w:rPr>
        <w:t xml:space="preserve">; </w:t>
      </w:r>
      <w:r w:rsidRPr="003037DF">
        <w:rPr>
          <w:i/>
          <w:color w:val="000000"/>
        </w:rPr>
        <w:t>Assist Wireless, LLC</w:t>
      </w:r>
      <w:r>
        <w:rPr>
          <w:i/>
          <w:color w:val="000000"/>
        </w:rPr>
        <w:t xml:space="preserve">; </w:t>
      </w:r>
      <w:r w:rsidRPr="003037DF">
        <w:rPr>
          <w:i/>
          <w:color w:val="000000"/>
        </w:rPr>
        <w:t>Icon Telecom, Inc.</w:t>
      </w:r>
      <w:r>
        <w:rPr>
          <w:i/>
          <w:color w:val="000000"/>
        </w:rPr>
        <w:t>;</w:t>
      </w:r>
    </w:p>
    <w:p w14:paraId="38E6592F" w14:textId="77777777" w:rsidR="00021AEA" w:rsidRPr="003037DF" w:rsidRDefault="00021AEA" w:rsidP="00021AEA">
      <w:pPr>
        <w:ind w:left="720" w:firstLine="720"/>
        <w:rPr>
          <w:color w:val="000000"/>
        </w:rPr>
      </w:pPr>
      <w:r w:rsidRPr="003037DF">
        <w:rPr>
          <w:i/>
        </w:rPr>
        <w:t>TracFone Wireless, Inc.</w:t>
      </w:r>
      <w:r>
        <w:rPr>
          <w:color w:val="000000"/>
        </w:rPr>
        <w:t xml:space="preserve">; </w:t>
      </w:r>
      <w:r w:rsidRPr="00374C9E">
        <w:rPr>
          <w:i/>
          <w:color w:val="000000"/>
        </w:rPr>
        <w:t xml:space="preserve">and </w:t>
      </w:r>
      <w:r w:rsidRPr="003037DF">
        <w:rPr>
          <w:i/>
          <w:color w:val="000000"/>
        </w:rPr>
        <w:t>UTPhone, Inc.</w:t>
      </w:r>
    </w:p>
    <w:p w14:paraId="77F84513" w14:textId="77777777" w:rsidR="00021AEA" w:rsidRPr="003037DF" w:rsidRDefault="00021AEA" w:rsidP="00021AEA">
      <w:pPr>
        <w:ind w:left="720" w:firstLine="720"/>
      </w:pPr>
      <w:r w:rsidRPr="003037DF">
        <w:rPr>
          <w:color w:val="000000"/>
        </w:rPr>
        <w:t xml:space="preserve">     </w:t>
      </w:r>
    </w:p>
    <w:p w14:paraId="0A7EE46A" w14:textId="77777777" w:rsidR="00021AEA" w:rsidRDefault="00021AEA" w:rsidP="00021AEA">
      <w:pPr>
        <w:ind w:firstLine="720"/>
      </w:pPr>
      <w:r w:rsidRPr="003037DF">
        <w:t xml:space="preserve">The Lifeline program provides critical communications services to those who are least likely to be able to secure these services for themselves.  It affords the less fortunate an ability to contact family, employers, prospective employers and – most critically – emergency services, by the same rapid and reliable means that are routinely available to the rest of us.  Protecting this vital program from fraud, waste and abuse is a central component of our efforts to ensure the program’s </w:t>
      </w:r>
      <w:r>
        <w:t>viability</w:t>
      </w:r>
      <w:r w:rsidRPr="003037DF">
        <w:t xml:space="preserve">, and it is with this in mind that we propose the very substantial penalties in these cases.  </w:t>
      </w:r>
    </w:p>
    <w:p w14:paraId="57607F53" w14:textId="77777777" w:rsidR="00021AEA" w:rsidRPr="003037DF" w:rsidRDefault="00021AEA" w:rsidP="00021AEA">
      <w:pPr>
        <w:ind w:firstLine="720"/>
      </w:pPr>
    </w:p>
    <w:p w14:paraId="410D6962" w14:textId="77777777" w:rsidR="00021AEA" w:rsidRDefault="00021AEA" w:rsidP="00021AEA">
      <w:pPr>
        <w:ind w:firstLine="720"/>
      </w:pPr>
      <w:r w:rsidRPr="003037DF">
        <w:t xml:space="preserve">Collecting support for duplicate </w:t>
      </w:r>
      <w:r>
        <w:t xml:space="preserve">Lifeline </w:t>
      </w:r>
      <w:r w:rsidRPr="003037DF">
        <w:t>service – the practice we address in these cases –</w:t>
      </w:r>
      <w:r>
        <w:t xml:space="preserve"> </w:t>
      </w:r>
      <w:r w:rsidRPr="003037DF">
        <w:t>is not only illegal</w:t>
      </w:r>
      <w:r>
        <w:t>,</w:t>
      </w:r>
      <w:r w:rsidRPr="003037DF">
        <w:t xml:space="preserve"> it diverts resources from legitimate users of the program and is unquestionably within the power and duty of Lifeline providers to prevent. </w:t>
      </w:r>
      <w:r>
        <w:t xml:space="preserve"> </w:t>
      </w:r>
      <w:r w:rsidRPr="003037DF">
        <w:t>It must stop.  And, the more than $14 million in forfeitures we propose here is meant to achieve that end.</w:t>
      </w:r>
    </w:p>
    <w:p w14:paraId="2C017695" w14:textId="77777777" w:rsidR="00021AEA" w:rsidRPr="003037DF" w:rsidRDefault="00021AEA" w:rsidP="00021AEA">
      <w:pPr>
        <w:ind w:firstLine="720"/>
      </w:pPr>
    </w:p>
    <w:p w14:paraId="3A90BB41" w14:textId="77777777" w:rsidR="00021AEA" w:rsidRPr="003037DF" w:rsidRDefault="00021AEA" w:rsidP="00021AEA">
      <w:pPr>
        <w:ind w:firstLine="720"/>
      </w:pPr>
      <w:r w:rsidRPr="003037DF">
        <w:t xml:space="preserve">Our goal is to be tough, but fair.  The fines in these cases are purposely large.  However, I want to ensure adequate deterrence without harming the legitimate service these providers bring to their subscribers.  Accordingly, I have instructed the Enforcement Bureau to carefully consider the companies’ responses to these NALs. </w:t>
      </w:r>
      <w:r>
        <w:t xml:space="preserve"> </w:t>
      </w:r>
      <w:r w:rsidRPr="003037DF">
        <w:t xml:space="preserve">Ultimately, our objective is to eliminate fraud, waste and abuse, while preserving and promoting the availability of communications services to those in need.  I will do all I can to ensure that </w:t>
      </w:r>
      <w:r>
        <w:t xml:space="preserve">we achieve </w:t>
      </w:r>
      <w:r w:rsidRPr="003037DF">
        <w:t>this balanced result.</w:t>
      </w:r>
    </w:p>
    <w:p w14:paraId="60FCC0FF" w14:textId="5D6C809B" w:rsidR="00104B9C" w:rsidRDefault="00021AEA" w:rsidP="00AE30FD">
      <w:pPr>
        <w:jc w:val="center"/>
      </w:pPr>
      <w:r>
        <w:br w:type="page"/>
      </w:r>
    </w:p>
    <w:p w14:paraId="0461673B" w14:textId="77777777" w:rsidR="008C6C17" w:rsidRDefault="008C6C17" w:rsidP="008C6C17">
      <w:pPr>
        <w:jc w:val="center"/>
        <w:rPr>
          <w:b/>
          <w:caps/>
        </w:rPr>
      </w:pPr>
      <w:r w:rsidRPr="003037DF">
        <w:rPr>
          <w:b/>
          <w:caps/>
        </w:rPr>
        <w:t xml:space="preserve">Statement of </w:t>
      </w:r>
    </w:p>
    <w:p w14:paraId="27C20340" w14:textId="77777777" w:rsidR="008C6C17" w:rsidRDefault="008C6C17" w:rsidP="008C6C17">
      <w:pPr>
        <w:jc w:val="center"/>
        <w:rPr>
          <w:b/>
        </w:rPr>
      </w:pPr>
      <w:r w:rsidRPr="00AB009B">
        <w:rPr>
          <w:b/>
        </w:rPr>
        <w:t>COMMISSIONER AJIT PAI</w:t>
      </w:r>
    </w:p>
    <w:p w14:paraId="5903664C" w14:textId="77777777" w:rsidR="008C6C17" w:rsidRDefault="008C6C17" w:rsidP="008C6C17">
      <w:pPr>
        <w:jc w:val="center"/>
        <w:rPr>
          <w:b/>
          <w:caps/>
        </w:rPr>
      </w:pPr>
    </w:p>
    <w:p w14:paraId="7278465A" w14:textId="77777777" w:rsidR="008C6C17" w:rsidRPr="00991766" w:rsidRDefault="008C6C17" w:rsidP="008C6C17">
      <w:pPr>
        <w:rPr>
          <w:b/>
          <w:color w:val="000000"/>
        </w:rPr>
      </w:pPr>
      <w:r w:rsidRPr="00991766">
        <w:rPr>
          <w:b/>
          <w:i/>
        </w:rPr>
        <w:t>Re:</w:t>
      </w:r>
      <w:r w:rsidRPr="00991766">
        <w:rPr>
          <w:b/>
        </w:rPr>
        <w:t xml:space="preserve"> </w:t>
      </w:r>
      <w:r w:rsidRPr="00991766">
        <w:rPr>
          <w:b/>
        </w:rPr>
        <w:tab/>
      </w:r>
      <w:r w:rsidRPr="00991766">
        <w:rPr>
          <w:b/>
          <w:i/>
        </w:rPr>
        <w:t xml:space="preserve">Easy Telephone Services </w:t>
      </w:r>
      <w:r w:rsidRPr="00991766">
        <w:rPr>
          <w:b/>
          <w:i/>
          <w:iCs/>
        </w:rPr>
        <w:t xml:space="preserve">d/b/a Easy Wireless; </w:t>
      </w:r>
      <w:r w:rsidRPr="00991766">
        <w:rPr>
          <w:b/>
          <w:i/>
          <w:color w:val="000000"/>
        </w:rPr>
        <w:t>Assist Wireless, LLC; Icon Telecom, Inc.;</w:t>
      </w:r>
    </w:p>
    <w:p w14:paraId="0B2FD53F" w14:textId="77777777" w:rsidR="008C6C17" w:rsidRPr="00991766" w:rsidRDefault="008C6C17" w:rsidP="008C6C17">
      <w:pPr>
        <w:ind w:firstLine="720"/>
        <w:rPr>
          <w:b/>
          <w:color w:val="000000"/>
        </w:rPr>
      </w:pPr>
      <w:r w:rsidRPr="00991766">
        <w:rPr>
          <w:b/>
          <w:i/>
        </w:rPr>
        <w:t>TracFone Wireless, Inc.</w:t>
      </w:r>
      <w:r w:rsidRPr="00991766">
        <w:rPr>
          <w:b/>
          <w:color w:val="000000"/>
        </w:rPr>
        <w:t xml:space="preserve">; </w:t>
      </w:r>
      <w:r w:rsidRPr="00991766">
        <w:rPr>
          <w:b/>
          <w:i/>
          <w:color w:val="000000"/>
        </w:rPr>
        <w:t>and UTPhone, Inc.</w:t>
      </w:r>
    </w:p>
    <w:p w14:paraId="4514909A" w14:textId="77777777" w:rsidR="008C6C17" w:rsidRPr="003037DF" w:rsidRDefault="008C6C17" w:rsidP="008C6C17">
      <w:pPr>
        <w:ind w:left="720" w:firstLine="720"/>
      </w:pPr>
      <w:r w:rsidRPr="003037DF">
        <w:rPr>
          <w:color w:val="000000"/>
        </w:rPr>
        <w:t xml:space="preserve">     </w:t>
      </w:r>
    </w:p>
    <w:p w14:paraId="40FC3F0F" w14:textId="77777777" w:rsidR="008C6C17" w:rsidRDefault="008C6C17" w:rsidP="008C6C17">
      <w:pPr>
        <w:ind w:firstLine="720"/>
      </w:pPr>
      <w:r>
        <w:t xml:space="preserve">Today, the FCC makes it clear that we are serious about combatting the rampant waste, fraud, and abuse plaguing the Lifeline program.  By proposing forfeitures totaling more than $14 million against five providers for apparent Lifeline fraud, </w:t>
      </w:r>
      <w:r w:rsidRPr="002968FB">
        <w:t>we begin the process of regaining the public’s trust and showing that we do not take responsible stewardship of public funds lightly</w:t>
      </w:r>
      <w:r>
        <w:t>.</w:t>
      </w:r>
    </w:p>
    <w:p w14:paraId="1759AED0" w14:textId="77777777" w:rsidR="008C6C17" w:rsidRDefault="008C6C17" w:rsidP="008C6C17">
      <w:pPr>
        <w:ind w:firstLine="720"/>
      </w:pPr>
    </w:p>
    <w:p w14:paraId="280BF77F" w14:textId="77777777" w:rsidR="008C6C17" w:rsidRDefault="008C6C17" w:rsidP="008C6C17">
      <w:pPr>
        <w:ind w:firstLine="720"/>
      </w:pPr>
      <w:r>
        <w:t>From 2008 through 2012, the annual disbursements of the low-income component of the Universal Service Fund grew from $817 million to $2.2 billion.</w:t>
      </w:r>
      <w:r>
        <w:rPr>
          <w:rStyle w:val="FootnoteReference"/>
        </w:rPr>
        <w:footnoteReference w:id="58"/>
      </w:r>
      <w:r>
        <w:t xml:space="preserve">  Some of that growth may have been organic, but we know that a significant amount was due to increased waste, fraud, and abuse within the program.  That’s why the Commission adopted some reforms in early 2012 to prohibit such abuse.</w:t>
      </w:r>
      <w:r>
        <w:rPr>
          <w:rStyle w:val="FootnoteReference"/>
        </w:rPr>
        <w:footnoteReference w:id="59"/>
      </w:r>
      <w:r>
        <w:t xml:space="preserve">  And that’s why today’s action, enforcing those reforms, is so important.</w:t>
      </w:r>
    </w:p>
    <w:p w14:paraId="66941689" w14:textId="77777777" w:rsidR="008C6C17" w:rsidRDefault="008C6C17" w:rsidP="008C6C17">
      <w:pPr>
        <w:ind w:firstLine="720"/>
      </w:pPr>
    </w:p>
    <w:p w14:paraId="6E227CD4" w14:textId="77777777" w:rsidR="008C6C17" w:rsidRDefault="008C6C17" w:rsidP="008C6C17">
      <w:pPr>
        <w:ind w:firstLine="720"/>
      </w:pPr>
      <w: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same month for the same person.</w:t>
      </w:r>
    </w:p>
    <w:p w14:paraId="5A316FB8" w14:textId="77777777" w:rsidR="008C6C17" w:rsidRDefault="008C6C17" w:rsidP="008C6C17">
      <w:pPr>
        <w:ind w:firstLine="720"/>
      </w:pPr>
    </w:p>
    <w:p w14:paraId="3C1BCBF9" w14:textId="77777777" w:rsidR="008C6C17" w:rsidRDefault="008C6C17" w:rsidP="008C6C17">
      <w:pPr>
        <w:ind w:firstLine="720"/>
      </w:pPr>
      <w: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14:paraId="116CEC26" w14:textId="77777777" w:rsidR="008C6C17" w:rsidRDefault="008C6C17" w:rsidP="008C6C17">
      <w:pPr>
        <w:spacing w:after="200" w:line="276" w:lineRule="auto"/>
      </w:pPr>
      <w:r>
        <w:br w:type="page"/>
      </w:r>
    </w:p>
    <w:p w14:paraId="1AAC155F" w14:textId="77777777" w:rsidR="008C6C17" w:rsidRDefault="008C6C17" w:rsidP="008C6C17">
      <w:r>
        <w:t xml:space="preserve">April, for example, the Commission issued notices to 37 Easy Wireless subscribers, each of whom had at least </w:t>
      </w:r>
      <w:r w:rsidRPr="00D35269">
        <w:rPr>
          <w:i/>
        </w:rPr>
        <w:t>five</w:t>
      </w:r>
      <w:r>
        <w:t xml:space="preserve"> Lifeline accounts in his or her name.</w:t>
      </w:r>
      <w:r>
        <w:rPr>
          <w:rStyle w:val="FootnoteReference"/>
        </w:rPr>
        <w:footnoteReference w:id="60"/>
      </w:r>
      <w:r>
        <w:t xml:space="preserve">  The American people won’t stand for that kind of waste, fraud, and abuse, and neither will I.</w:t>
      </w:r>
    </w:p>
    <w:p w14:paraId="7AC100CE" w14:textId="5B707350" w:rsidR="00D45985" w:rsidRPr="00F941FA" w:rsidRDefault="00D45985" w:rsidP="008C6C17">
      <w:pPr>
        <w:jc w:val="center"/>
      </w:pPr>
    </w:p>
    <w:sectPr w:rsidR="00D45985" w:rsidRPr="00F941FA" w:rsidSect="00A83B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65BF" w14:textId="77777777" w:rsidR="00787781" w:rsidRDefault="00787781">
      <w:r>
        <w:separator/>
      </w:r>
    </w:p>
  </w:endnote>
  <w:endnote w:type="continuationSeparator" w:id="0">
    <w:p w14:paraId="3E267D3E" w14:textId="77777777" w:rsidR="00787781" w:rsidRDefault="00787781">
      <w:r>
        <w:continuationSeparator/>
      </w:r>
    </w:p>
  </w:endnote>
  <w:endnote w:type="continuationNotice" w:id="1">
    <w:p w14:paraId="339A8A7F" w14:textId="77777777" w:rsidR="00787781" w:rsidRDefault="00787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C8C3" w14:textId="77777777" w:rsidR="00E565E5" w:rsidRDefault="00E56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EDD28" w14:textId="77777777" w:rsidR="00907ADA" w:rsidRDefault="00907ADA">
    <w:pPr>
      <w:pStyle w:val="Footer"/>
      <w:jc w:val="center"/>
    </w:pPr>
    <w:r>
      <w:fldChar w:fldCharType="begin"/>
    </w:r>
    <w:r>
      <w:instrText xml:space="preserve"> PAGE   \* MERGEFORMAT </w:instrText>
    </w:r>
    <w:r>
      <w:fldChar w:fldCharType="separate"/>
    </w:r>
    <w:r w:rsidR="00BD0ADC">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C090" w14:textId="77777777" w:rsidR="00E565E5" w:rsidRDefault="00E5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1CED0" w14:textId="77777777" w:rsidR="00787781" w:rsidRDefault="00787781">
      <w:r>
        <w:separator/>
      </w:r>
    </w:p>
  </w:footnote>
  <w:footnote w:type="continuationSeparator" w:id="0">
    <w:p w14:paraId="31554855" w14:textId="77777777" w:rsidR="00787781" w:rsidRDefault="00787781">
      <w:r>
        <w:continuationSeparator/>
      </w:r>
    </w:p>
  </w:footnote>
  <w:footnote w:type="continuationNotice" w:id="1">
    <w:p w14:paraId="2734C8C8" w14:textId="77777777" w:rsidR="00787781" w:rsidRDefault="00787781"/>
  </w:footnote>
  <w:footnote w:id="2">
    <w:p w14:paraId="428117BE" w14:textId="77777777" w:rsidR="00907ADA" w:rsidRPr="00260854" w:rsidRDefault="00907ADA" w:rsidP="000520BF">
      <w:pPr>
        <w:pStyle w:val="FootnoteText"/>
      </w:pPr>
      <w:r w:rsidRPr="00260854">
        <w:rPr>
          <w:rStyle w:val="FootnoteReference"/>
        </w:rPr>
        <w:footnoteRef/>
      </w:r>
      <w:r w:rsidRPr="00260854">
        <w:t xml:space="preserve"> This investigation, initiated under file no. EB-12-IH-1641, was subsequently assigned to file no. EB-IHD-13-00010590.  </w:t>
      </w:r>
    </w:p>
  </w:footnote>
  <w:footnote w:id="3">
    <w:p w14:paraId="6D7899EE" w14:textId="77777777" w:rsidR="00907ADA" w:rsidRPr="00260854" w:rsidRDefault="00907ADA">
      <w:pPr>
        <w:pStyle w:val="FootnoteText"/>
      </w:pPr>
      <w:r w:rsidRPr="00260854">
        <w:rPr>
          <w:rStyle w:val="FootnoteReference"/>
        </w:rPr>
        <w:footnoteRef/>
      </w:r>
      <w:r w:rsidRPr="00260854">
        <w:t xml:space="preserve"> 47 C.F.R. §§ </w:t>
      </w:r>
      <w:r w:rsidR="007339A1" w:rsidRPr="00260854">
        <w:t xml:space="preserve">54.407, </w:t>
      </w:r>
      <w:r w:rsidRPr="00260854">
        <w:t>54.409, 54.410.</w:t>
      </w:r>
    </w:p>
  </w:footnote>
  <w:footnote w:id="4">
    <w:p w14:paraId="46B62B5C" w14:textId="2DDB4CC5" w:rsidR="00907ADA" w:rsidRPr="00260854" w:rsidRDefault="00907ADA" w:rsidP="001F0DAD">
      <w:pPr>
        <w:pStyle w:val="FootnoteText"/>
        <w:rPr>
          <w:b/>
        </w:rPr>
      </w:pPr>
      <w:r w:rsidRPr="00260854">
        <w:rPr>
          <w:rStyle w:val="FootnoteReference"/>
        </w:rPr>
        <w:footnoteRef/>
      </w:r>
      <w:r w:rsidRPr="00260854">
        <w:t xml:space="preserve"> </w:t>
      </w:r>
      <w:r w:rsidRPr="00260854">
        <w:rPr>
          <w:i/>
        </w:rPr>
        <w:t>Lifeline and Link Up Reform and Modernization</w:t>
      </w:r>
      <w:r w:rsidRPr="00260854">
        <w:t>, Report and Order and Further Notice of Proposed Rulemaking, 27 FCC Rcd 6656, 6662</w:t>
      </w:r>
      <w:r w:rsidR="00852FA6" w:rsidRPr="00260854">
        <w:t>–</w:t>
      </w:r>
      <w:r w:rsidRPr="00260854">
        <w:t>67, paras. 11–18 (2012) (</w:t>
      </w:r>
      <w:r w:rsidRPr="00260854">
        <w:rPr>
          <w:i/>
        </w:rPr>
        <w:t>Lifeline Reform Order</w:t>
      </w:r>
      <w:r w:rsidRPr="00260854">
        <w:t>)</w:t>
      </w:r>
      <w:r w:rsidR="00D27904">
        <w:t xml:space="preserve">; </w:t>
      </w:r>
      <w:r w:rsidR="00D27904">
        <w:rPr>
          <w:i/>
        </w:rPr>
        <w:t>s</w:t>
      </w:r>
      <w:r w:rsidRPr="00260854">
        <w:rPr>
          <w:i/>
        </w:rPr>
        <w:t xml:space="preserve">ee </w:t>
      </w:r>
      <w:r w:rsidRPr="00260854">
        <w:t>47 C.F.R. §§ 54.400–54.422.</w:t>
      </w:r>
    </w:p>
  </w:footnote>
  <w:footnote w:id="5">
    <w:p w14:paraId="55AA317A" w14:textId="77777777" w:rsidR="00907ADA" w:rsidRPr="00260854" w:rsidRDefault="00907ADA" w:rsidP="000520BF">
      <w:pPr>
        <w:pStyle w:val="FootnoteText"/>
      </w:pPr>
      <w:r w:rsidRPr="00260854">
        <w:rPr>
          <w:rStyle w:val="FootnoteReference"/>
        </w:rPr>
        <w:footnoteRef/>
      </w:r>
      <w:r w:rsidRPr="00260854">
        <w:t xml:space="preserve"> 47 U.S.C. § 254(e) (providing that “only an eligible telecommunications carrier designated under section 214(e) of this title shall be eligible to receive specific Federal universal service support”);</w:t>
      </w:r>
      <w:r w:rsidRPr="00260854">
        <w:rPr>
          <w:i/>
        </w:rPr>
        <w:t xml:space="preserve"> </w:t>
      </w:r>
      <w:r w:rsidRPr="00260854">
        <w:t>47 U.S.C. § 214(e) (prescribing the method by which carriers are designated as ETCs).</w:t>
      </w:r>
    </w:p>
  </w:footnote>
  <w:footnote w:id="6">
    <w:p w14:paraId="7D38F2FA" w14:textId="77777777" w:rsidR="00907ADA" w:rsidRPr="00260854" w:rsidRDefault="00907ADA">
      <w:pPr>
        <w:pStyle w:val="FootnoteText"/>
        <w:rPr>
          <w:lang w:val="es-ES_tradnl"/>
        </w:rPr>
      </w:pPr>
      <w:r w:rsidRPr="00260854">
        <w:rPr>
          <w:rStyle w:val="FootnoteReference"/>
        </w:rPr>
        <w:footnoteRef/>
      </w:r>
      <w:r w:rsidRPr="00260854">
        <w:rPr>
          <w:lang w:val="es-ES_tradnl"/>
        </w:rPr>
        <w:t xml:space="preserve"> 47 C.F.R. § 54.403(a).</w:t>
      </w:r>
    </w:p>
  </w:footnote>
  <w:footnote w:id="7">
    <w:p w14:paraId="0CCE62F9" w14:textId="77777777" w:rsidR="00907ADA" w:rsidRPr="00260854" w:rsidRDefault="00907ADA" w:rsidP="001F0DAD">
      <w:pPr>
        <w:pStyle w:val="FootnoteText"/>
      </w:pPr>
      <w:r w:rsidRPr="00260854">
        <w:rPr>
          <w:rStyle w:val="FootnoteReference"/>
        </w:rPr>
        <w:footnoteRef/>
      </w:r>
      <w:r w:rsidRPr="00260854">
        <w:t xml:space="preserve"> Lifeline provides a single discounted wireline or wireless phone service to each qualifying low-income consumer’s household.  </w:t>
      </w:r>
      <w:r w:rsidRPr="00260854">
        <w:rPr>
          <w:i/>
        </w:rPr>
        <w:t>See</w:t>
      </w:r>
      <w:r w:rsidRPr="00260854">
        <w:t xml:space="preserve"> 47 C.F.R. § 54.401.  </w:t>
      </w:r>
      <w:r w:rsidRPr="00260854">
        <w:rPr>
          <w:i/>
        </w:rPr>
        <w:t xml:space="preserve">See also </w:t>
      </w:r>
      <w:r w:rsidRPr="00260854">
        <w:t xml:space="preserve">47 C.F.R. § 54.400(h) (defining “household” as “any individual or group of individuals who are living together at the same address as one economic unit”); </w:t>
      </w:r>
      <w:r w:rsidRPr="00260854">
        <w:rPr>
          <w:i/>
        </w:rPr>
        <w:t>Lifeline Reform Order</w:t>
      </w:r>
      <w:r w:rsidRPr="00260854">
        <w:t>, 27 FCC Rcd at 6760, para. 241 (noting that the costs of wireless handsets are not supported by the Lifeline program).</w:t>
      </w:r>
    </w:p>
  </w:footnote>
  <w:footnote w:id="8">
    <w:p w14:paraId="64B7B190" w14:textId="77777777" w:rsidR="00907ADA" w:rsidRPr="00260854" w:rsidRDefault="00907ADA" w:rsidP="000520BF">
      <w:pPr>
        <w:pStyle w:val="FootnoteText"/>
        <w:rPr>
          <w:i/>
        </w:rPr>
      </w:pPr>
      <w:r w:rsidRPr="00260854">
        <w:rPr>
          <w:rStyle w:val="FootnoteReference"/>
        </w:rPr>
        <w:footnoteRef/>
      </w:r>
      <w:r w:rsidRPr="00260854">
        <w:t xml:space="preserve"> </w:t>
      </w:r>
      <w:r w:rsidRPr="00260854">
        <w:rPr>
          <w:i/>
        </w:rPr>
        <w:t>See</w:t>
      </w:r>
      <w:r w:rsidRPr="00EA5AEB">
        <w:rPr>
          <w:i/>
        </w:rPr>
        <w:t xml:space="preserve"> </w:t>
      </w:r>
      <w:r w:rsidRPr="00260854">
        <w:t xml:space="preserve">47 C.F.R. § 54.403(a).  Tribal lands include any federally recognized Indian tribe’s reservation, pueblo, or colony, including former reservations in Oklahoma.  </w:t>
      </w:r>
      <w:r w:rsidRPr="00260854">
        <w:rPr>
          <w:i/>
        </w:rPr>
        <w:t xml:space="preserve">See </w:t>
      </w:r>
      <w:r w:rsidRPr="00260854">
        <w:t>47 C.F.R. § 54.400(e).</w:t>
      </w:r>
    </w:p>
  </w:footnote>
  <w:footnote w:id="9">
    <w:p w14:paraId="7623C99C"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See</w:t>
      </w:r>
      <w:r w:rsidRPr="00EA5AEB">
        <w:rPr>
          <w:i/>
        </w:rPr>
        <w:t xml:space="preserve"> </w:t>
      </w:r>
      <w:r w:rsidRPr="00260854">
        <w:t xml:space="preserve">47 C.F.R. § 54.403(a); </w:t>
      </w:r>
      <w:r w:rsidRPr="00260854">
        <w:rPr>
          <w:i/>
        </w:rPr>
        <w:t>Lifeline Reform Order</w:t>
      </w:r>
      <w:r w:rsidRPr="00260854">
        <w:t>, 27 FCC Rcd at 6681, para. 53.</w:t>
      </w:r>
    </w:p>
  </w:footnote>
  <w:footnote w:id="10">
    <w:p w14:paraId="55FA5FE1" w14:textId="77777777" w:rsidR="00907ADA" w:rsidRPr="00260854" w:rsidRDefault="00907ADA" w:rsidP="000520BF">
      <w:pPr>
        <w:pStyle w:val="FootnoteText"/>
        <w:rPr>
          <w:lang w:val="es-ES_tradnl"/>
        </w:rPr>
      </w:pPr>
      <w:r w:rsidRPr="00260854">
        <w:rPr>
          <w:rStyle w:val="FootnoteReference"/>
        </w:rPr>
        <w:footnoteRef/>
      </w:r>
      <w:r w:rsidRPr="00260854">
        <w:rPr>
          <w:lang w:val="es-ES_tradnl"/>
        </w:rPr>
        <w:t xml:space="preserve"> </w:t>
      </w:r>
      <w:r w:rsidRPr="00260854">
        <w:rPr>
          <w:i/>
          <w:lang w:val="es-ES_tradnl"/>
        </w:rPr>
        <w:t>See</w:t>
      </w:r>
      <w:r w:rsidRPr="00260854">
        <w:rPr>
          <w:lang w:val="es-ES_tradnl"/>
        </w:rPr>
        <w:t xml:space="preserve"> 47 C.F.R. §§ 54.400–54.422.</w:t>
      </w:r>
    </w:p>
  </w:footnote>
  <w:footnote w:id="11">
    <w:p w14:paraId="013D1E79" w14:textId="77777777" w:rsidR="00907ADA" w:rsidRPr="00260854" w:rsidRDefault="00907ADA">
      <w:pPr>
        <w:pStyle w:val="FootnoteText"/>
      </w:pPr>
      <w:r w:rsidRPr="00260854">
        <w:rPr>
          <w:rStyle w:val="FootnoteReference"/>
        </w:rPr>
        <w:footnoteRef/>
      </w:r>
      <w:r w:rsidRPr="00260854">
        <w:t xml:space="preserve"> 47 C.F.R. § 54.407(a).</w:t>
      </w:r>
    </w:p>
  </w:footnote>
  <w:footnote w:id="12">
    <w:p w14:paraId="20C6B25E" w14:textId="7ED6A2F3" w:rsidR="00907ADA" w:rsidRPr="00260854" w:rsidRDefault="00907ADA">
      <w:pPr>
        <w:pStyle w:val="FootnoteText"/>
      </w:pPr>
      <w:r w:rsidRPr="00260854">
        <w:rPr>
          <w:rStyle w:val="FootnoteReference"/>
        </w:rPr>
        <w:footnoteRef/>
      </w:r>
      <w:r w:rsidRPr="00260854">
        <w:t xml:space="preserve"> 47 C.F.R. § 54.407(b).  In 2011, the Commission took action to address potential waste</w:t>
      </w:r>
      <w:r w:rsidR="00852FA6" w:rsidRPr="00260854">
        <w:t>, fraud, and abuse</w:t>
      </w:r>
      <w:r w:rsidRPr="00260854">
        <w:t xml:space="preserve"> in the Lifeline program by preventing duplicate payments for multiple Lifeline-supported services to the same individual.  </w:t>
      </w:r>
      <w:r w:rsidRPr="00260854">
        <w:rPr>
          <w:i/>
        </w:rPr>
        <w:t>See Lifeline and Link Up Reform and Modernization</w:t>
      </w:r>
      <w:r w:rsidRPr="00260854">
        <w:t>, Report and Order, 26 FCC Rcd 9022</w:t>
      </w:r>
      <w:r w:rsidR="00852FA6" w:rsidRPr="00260854">
        <w:t>–</w:t>
      </w:r>
      <w:r w:rsidRPr="00260854">
        <w:t>23, 9026, para. 1 (2011) (</w:t>
      </w:r>
      <w:r w:rsidRPr="00260854">
        <w:rPr>
          <w:i/>
        </w:rPr>
        <w:t>Lifeline Duplicates Order</w:t>
      </w:r>
      <w:r w:rsidRPr="00260854">
        <w:t>)</w:t>
      </w:r>
      <w:r w:rsidR="00D27904">
        <w:t xml:space="preserve">; </w:t>
      </w:r>
      <w:r w:rsidR="00D27904">
        <w:rPr>
          <w:i/>
        </w:rPr>
        <w:t>s</w:t>
      </w:r>
      <w:r w:rsidRPr="00260854">
        <w:rPr>
          <w:i/>
        </w:rPr>
        <w:t>ee also</w:t>
      </w:r>
      <w:r w:rsidRPr="00260854">
        <w:t xml:space="preserve"> </w:t>
      </w:r>
      <w:r w:rsidRPr="00260854">
        <w:rPr>
          <w:i/>
        </w:rPr>
        <w:t>Lifeline and Link Up Reform and Modernization</w:t>
      </w:r>
      <w:r w:rsidRPr="00260854">
        <w:t xml:space="preserve">, Order, 28 FCC Rcd 9057 (Wir. Comp. Bur. 2013); 47 C.F.R. § 54.410(a).  Specifically, the Commission amended Sections 54.401 and 54.405 of the rules to codify the restriction that </w:t>
      </w:r>
      <w:r w:rsidRPr="00260854">
        <w:rPr>
          <w:rStyle w:val="documentbody1"/>
          <w:rFonts w:ascii="Times New Roman" w:hAnsi="Times New Roman"/>
          <w:bCs/>
          <w:color w:val="000000"/>
          <w:sz w:val="20"/>
          <w:szCs w:val="20"/>
        </w:rPr>
        <w:t xml:space="preserve">an eligible low-income consumer cannot receive more than one Lifeline-supported service at a time.  </w:t>
      </w:r>
      <w:r w:rsidRPr="00260854">
        <w:rPr>
          <w:i/>
        </w:rPr>
        <w:t>See Lifeline Duplicates Order</w:t>
      </w:r>
      <w:r w:rsidRPr="00260854">
        <w:t xml:space="preserve">, 26 FCC Rcd at 9026, para. 7.  In the </w:t>
      </w:r>
      <w:r w:rsidRPr="00260854">
        <w:rPr>
          <w:i/>
        </w:rPr>
        <w:t>Lifeline Reform Order</w:t>
      </w:r>
      <w:r w:rsidRPr="00260854">
        <w:t xml:space="preserve">, this codified restriction was moved from Section 54.401(a) to revised Section 54.409(c).  </w:t>
      </w:r>
      <w:r w:rsidRPr="00260854">
        <w:rPr>
          <w:i/>
        </w:rPr>
        <w:t>See</w:t>
      </w:r>
      <w:r w:rsidRPr="00260854">
        <w:t xml:space="preserve"> </w:t>
      </w:r>
      <w:r w:rsidRPr="00260854">
        <w:rPr>
          <w:i/>
        </w:rPr>
        <w:t>Lifeline Reform Order</w:t>
      </w:r>
      <w:r w:rsidRPr="00260854">
        <w:t xml:space="preserve">, 27 FCC Rcd at 6689, para. 74, n.192.  </w:t>
      </w:r>
      <w:r w:rsidRPr="00260854">
        <w:rPr>
          <w:rStyle w:val="documentbody1"/>
          <w:rFonts w:ascii="Times New Roman" w:hAnsi="Times New Roman"/>
          <w:bCs/>
          <w:color w:val="000000"/>
          <w:sz w:val="20"/>
          <w:szCs w:val="20"/>
        </w:rPr>
        <w:t xml:space="preserve">The Commission reiterated this limitation in the </w:t>
      </w:r>
      <w:r w:rsidRPr="00260854">
        <w:rPr>
          <w:rStyle w:val="documentbody1"/>
          <w:rFonts w:ascii="Times New Roman" w:hAnsi="Times New Roman"/>
          <w:bCs/>
          <w:i/>
          <w:color w:val="000000"/>
          <w:sz w:val="20"/>
          <w:szCs w:val="20"/>
        </w:rPr>
        <w:t>Lifeline Reform Order</w:t>
      </w:r>
      <w:r w:rsidRPr="00260854">
        <w:rPr>
          <w:rStyle w:val="documentbody1"/>
          <w:rFonts w:ascii="Times New Roman" w:hAnsi="Times New Roman"/>
          <w:bCs/>
          <w:color w:val="000000"/>
          <w:sz w:val="20"/>
          <w:szCs w:val="20"/>
        </w:rPr>
        <w:t xml:space="preserve">.  </w:t>
      </w:r>
      <w:r w:rsidRPr="00260854">
        <w:rPr>
          <w:i/>
        </w:rPr>
        <w:t>See Lifeline Reform Order</w:t>
      </w:r>
      <w:r w:rsidRPr="00EA5AEB">
        <w:t>,</w:t>
      </w:r>
      <w:r w:rsidRPr="00260854">
        <w:rPr>
          <w:i/>
        </w:rPr>
        <w:t xml:space="preserve"> </w:t>
      </w:r>
      <w:r w:rsidRPr="00260854">
        <w:t>27 FCC Rcd 6689, para. 74; 47 C.F.R. § 54.405.</w:t>
      </w:r>
    </w:p>
  </w:footnote>
  <w:footnote w:id="13">
    <w:p w14:paraId="01B592A6" w14:textId="0B364947" w:rsidR="00907ADA" w:rsidRPr="00260854" w:rsidRDefault="00907ADA">
      <w:pPr>
        <w:pStyle w:val="FootnoteText"/>
      </w:pPr>
      <w:r w:rsidRPr="00260854">
        <w:rPr>
          <w:rStyle w:val="FootnoteReference"/>
        </w:rPr>
        <w:footnoteRef/>
      </w:r>
      <w:r w:rsidRPr="00260854">
        <w:t xml:space="preserve"> 4</w:t>
      </w:r>
      <w:r w:rsidR="007339A1" w:rsidRPr="00260854">
        <w:t>7 C.F.R. §§ 54.400(a), 54.409</w:t>
      </w:r>
      <w:r w:rsidRPr="00260854">
        <w:t>.</w:t>
      </w:r>
    </w:p>
  </w:footnote>
  <w:footnote w:id="14">
    <w:p w14:paraId="2DC7A8C2" w14:textId="77777777" w:rsidR="00907ADA" w:rsidRPr="00260854" w:rsidRDefault="00907ADA" w:rsidP="001F0DAD">
      <w:pPr>
        <w:pStyle w:val="FootnoteText"/>
      </w:pPr>
      <w:r w:rsidRPr="00260854">
        <w:rPr>
          <w:rStyle w:val="FootnoteReference"/>
        </w:rPr>
        <w:footnoteRef/>
      </w:r>
      <w:r w:rsidRPr="00260854">
        <w:t xml:space="preserve"> 47 C.F.R. § 54.410(d).</w:t>
      </w:r>
    </w:p>
  </w:footnote>
  <w:footnote w:id="15">
    <w:p w14:paraId="5FA1F062" w14:textId="77777777" w:rsidR="00907ADA" w:rsidRPr="00260854" w:rsidRDefault="00907ADA" w:rsidP="001F0DAD">
      <w:pPr>
        <w:pStyle w:val="FootnoteText"/>
      </w:pPr>
      <w:r w:rsidRPr="00260854">
        <w:rPr>
          <w:rStyle w:val="FootnoteReference"/>
        </w:rPr>
        <w:footnoteRef/>
      </w:r>
      <w:r w:rsidRPr="00260854">
        <w:t xml:space="preserve"> 47 C.F.R. § 54.410(a).</w:t>
      </w:r>
    </w:p>
  </w:footnote>
  <w:footnote w:id="16">
    <w:p w14:paraId="628FC6E3" w14:textId="7CACB03D" w:rsidR="00907ADA" w:rsidRPr="00260854" w:rsidRDefault="00907ADA">
      <w:pPr>
        <w:pStyle w:val="FootnoteText"/>
      </w:pPr>
      <w:r w:rsidRPr="00260854">
        <w:rPr>
          <w:rStyle w:val="FootnoteReference"/>
        </w:rPr>
        <w:footnoteRef/>
      </w:r>
      <w:r w:rsidRPr="00260854">
        <w:t xml:space="preserve"> </w:t>
      </w:r>
      <w:r w:rsidRPr="00260854">
        <w:rPr>
          <w:i/>
        </w:rPr>
        <w:t>See</w:t>
      </w:r>
      <w:r w:rsidRPr="00260854">
        <w:t xml:space="preserve"> </w:t>
      </w:r>
      <w:r w:rsidRPr="00260854">
        <w:rPr>
          <w:i/>
        </w:rPr>
        <w:t>Lifeline Reform Order</w:t>
      </w:r>
      <w:r w:rsidRPr="00260854">
        <w:t xml:space="preserve">, 27 FCC Rcd at 6691, para. 78. </w:t>
      </w:r>
      <w:r w:rsidR="00D27904">
        <w:t xml:space="preserve"> In June 2013, the Wireline Competition Bureau on delegated authority </w:t>
      </w:r>
      <w:r w:rsidR="00B02787">
        <w:t xml:space="preserve">underscored </w:t>
      </w:r>
      <w:r w:rsidR="00D27904">
        <w:t xml:space="preserve">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00D27904" w:rsidRPr="00A12163">
        <w:rPr>
          <w:i/>
        </w:rPr>
        <w:t>Lifeline and Link Up Modernization and Reform</w:t>
      </w:r>
      <w:r w:rsidR="00D27904">
        <w:t>, Order, 28 FCC Rcd</w:t>
      </w:r>
      <w:r w:rsidR="00D27904" w:rsidRPr="00A12163">
        <w:t xml:space="preserve"> 9057</w:t>
      </w:r>
      <w:r w:rsidR="00D27904">
        <w:t xml:space="preserve">, 9059, para. </w:t>
      </w:r>
      <w:r w:rsidR="00B02787">
        <w:t>6</w:t>
      </w:r>
      <w:r w:rsidR="00D27904">
        <w:t xml:space="preserve"> (W</w:t>
      </w:r>
      <w:r w:rsidR="00B02787">
        <w:t xml:space="preserve">ir. </w:t>
      </w:r>
      <w:r w:rsidR="00D27904">
        <w:t>C</w:t>
      </w:r>
      <w:r w:rsidR="00B02787">
        <w:t xml:space="preserve">omp. </w:t>
      </w:r>
      <w:r w:rsidR="00D27904">
        <w:t>B</w:t>
      </w:r>
      <w:r w:rsidR="00B02787">
        <w:t>ur.</w:t>
      </w:r>
      <w:r w:rsidR="00D27904">
        <w:t xml:space="preserve"> 2013); </w:t>
      </w:r>
      <w:r w:rsidR="00D27904">
        <w:rPr>
          <w:i/>
        </w:rPr>
        <w:t>see also</w:t>
      </w:r>
      <w:r w:rsidR="00D27904">
        <w:t xml:space="preserve"> 47 C.F.R. § 54.410(a).</w:t>
      </w:r>
    </w:p>
  </w:footnote>
  <w:footnote w:id="17">
    <w:p w14:paraId="40CDEE8C"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See</w:t>
      </w:r>
      <w:r w:rsidRPr="00260854">
        <w:t xml:space="preserve"> 47 C.F.R. § 54.410(b).</w:t>
      </w:r>
    </w:p>
  </w:footnote>
  <w:footnote w:id="18">
    <w:p w14:paraId="374542E8" w14:textId="44B0A178" w:rsidR="00907ADA" w:rsidRPr="00260854" w:rsidRDefault="00907ADA" w:rsidP="001F0DAD">
      <w:pPr>
        <w:pStyle w:val="FootnoteText"/>
      </w:pPr>
      <w:r w:rsidRPr="00260854">
        <w:rPr>
          <w:rStyle w:val="FootnoteReference"/>
        </w:rPr>
        <w:footnoteRef/>
      </w:r>
      <w:r w:rsidRPr="00260854">
        <w:t xml:space="preserve"> </w:t>
      </w:r>
      <w:r w:rsidRPr="00260854">
        <w:rPr>
          <w:i/>
        </w:rPr>
        <w:t>See</w:t>
      </w:r>
      <w:r w:rsidRPr="00260854">
        <w:t xml:space="preserve"> 47 C.F.R. § 54.410(b)</w:t>
      </w:r>
      <w:r w:rsidR="007339A1" w:rsidRPr="00260854">
        <w:t>, (c</w:t>
      </w:r>
      <w:r w:rsidR="00B02787">
        <w:t xml:space="preserve">; </w:t>
      </w:r>
      <w:r w:rsidR="00B02787">
        <w:rPr>
          <w:i/>
        </w:rPr>
        <w:t>s</w:t>
      </w:r>
      <w:r w:rsidRPr="00260854">
        <w:rPr>
          <w:i/>
        </w:rPr>
        <w:t>ee also</w:t>
      </w:r>
      <w:r w:rsidRPr="00260854">
        <w:t xml:space="preserve"> 47 C.F.R. § 54.410(d).</w:t>
      </w:r>
    </w:p>
  </w:footnote>
  <w:footnote w:id="19">
    <w:p w14:paraId="77249425"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 xml:space="preserve">See </w:t>
      </w:r>
      <w:r w:rsidRPr="00260854">
        <w:t>47 C.F.R. § 54.407(d).</w:t>
      </w:r>
    </w:p>
  </w:footnote>
  <w:footnote w:id="20">
    <w:p w14:paraId="515455C9" w14:textId="57D0B657" w:rsidR="00907ADA" w:rsidRPr="00260854" w:rsidRDefault="00907ADA" w:rsidP="000520BF">
      <w:pPr>
        <w:pStyle w:val="FootnoteText"/>
      </w:pPr>
      <w:r w:rsidRPr="00260854">
        <w:rPr>
          <w:rStyle w:val="FootnoteReference"/>
        </w:rPr>
        <w:footnoteRef/>
      </w:r>
      <w:r w:rsidRPr="00260854">
        <w:t xml:space="preserve"> </w:t>
      </w:r>
      <w:r w:rsidRPr="00260854">
        <w:rPr>
          <w:i/>
        </w:rPr>
        <w:t>See</w:t>
      </w:r>
      <w:r w:rsidRPr="00260854">
        <w:t xml:space="preserve"> </w:t>
      </w:r>
      <w:r w:rsidRPr="00260854">
        <w:rPr>
          <w:i/>
        </w:rPr>
        <w:t xml:space="preserve">Lifeline Reform Order, </w:t>
      </w:r>
      <w:r w:rsidRPr="00260854">
        <w:t>27 FCC Rcd 6788, para. 305.  Subsequent revisions, however, do not vitiate violations of an ETC’s duty to verify the eligibility of the subscribers that are reflected on any of its previously filed Form 497</w:t>
      </w:r>
      <w:r w:rsidR="00CA75F2" w:rsidRPr="00260854">
        <w:t>s</w:t>
      </w:r>
      <w:r w:rsidRPr="00260854">
        <w:t xml:space="preserve">.  </w:t>
      </w:r>
    </w:p>
  </w:footnote>
  <w:footnote w:id="21">
    <w:p w14:paraId="2B6BF416" w14:textId="77777777" w:rsidR="00907ADA" w:rsidRPr="00260854" w:rsidRDefault="00907ADA">
      <w:pPr>
        <w:pStyle w:val="FootnoteText"/>
      </w:pPr>
      <w:r w:rsidRPr="00260854">
        <w:rPr>
          <w:rStyle w:val="FootnoteReference"/>
        </w:rPr>
        <w:footnoteRef/>
      </w:r>
      <w:r w:rsidRPr="00260854">
        <w:t xml:space="preserve"> </w:t>
      </w:r>
      <w:r w:rsidRPr="00260854">
        <w:rPr>
          <w:i/>
        </w:rPr>
        <w:t>See Lifeline Duplicates Order</w:t>
      </w:r>
      <w:r w:rsidRPr="00260854">
        <w:t>, 26 FCC Rcd at 9026, para. 7.</w:t>
      </w:r>
    </w:p>
  </w:footnote>
  <w:footnote w:id="22">
    <w:p w14:paraId="677FB154" w14:textId="7CF00B08" w:rsidR="00907ADA" w:rsidRPr="00260854" w:rsidRDefault="00907ADA" w:rsidP="001F0DAD">
      <w:pPr>
        <w:pStyle w:val="FootnoteText"/>
      </w:pPr>
      <w:r w:rsidRPr="00260854">
        <w:rPr>
          <w:rStyle w:val="FootnoteReference"/>
        </w:rPr>
        <w:footnoteRef/>
      </w:r>
      <w:r w:rsidRPr="00260854">
        <w:t xml:space="preserve"> </w:t>
      </w:r>
      <w:r w:rsidRPr="00260854">
        <w:rPr>
          <w:i/>
        </w:rPr>
        <w:t>See, e.g</w:t>
      </w:r>
      <w:r w:rsidRPr="00260854">
        <w:t xml:space="preserve">., Letter from Universal Service Administrative Company, to Caitlyn Lumpkin, Easy Telephone Services (dated November 12, 2012) (on file in </w:t>
      </w:r>
      <w:r w:rsidRPr="00260854">
        <w:rPr>
          <w:color w:val="000000"/>
        </w:rPr>
        <w:t>EB-IHD-13-00010590</w:t>
      </w:r>
      <w:r w:rsidRPr="00260854">
        <w:t>).</w:t>
      </w:r>
    </w:p>
  </w:footnote>
  <w:footnote w:id="23">
    <w:p w14:paraId="28C2CC58" w14:textId="77777777" w:rsidR="00D27904" w:rsidRDefault="00D27904" w:rsidP="00D27904">
      <w:pPr>
        <w:pStyle w:val="FootnoteText"/>
      </w:pPr>
      <w:r>
        <w:rPr>
          <w:rStyle w:val="FootnoteReference"/>
        </w:rPr>
        <w:footnoteRef/>
      </w:r>
      <w:r>
        <w:t xml:space="preserve"> </w:t>
      </w:r>
      <w:r w:rsidRPr="00AC0BB1">
        <w:rPr>
          <w:snapToGrid w:val="0"/>
        </w:rPr>
        <w:t xml:space="preserve">Although USAC recovers the </w:t>
      </w:r>
      <w:r>
        <w:rPr>
          <w:snapToGrid w:val="0"/>
        </w:rPr>
        <w:t xml:space="preserve">duplicative </w:t>
      </w:r>
      <w:r w:rsidRPr="00AC0BB1">
        <w:rPr>
          <w:snapToGrid w:val="0"/>
        </w:rPr>
        <w:t xml:space="preserve">support </w:t>
      </w:r>
      <w:r>
        <w:rPr>
          <w:snapToGrid w:val="0"/>
        </w:rPr>
        <w:t>payments</w:t>
      </w:r>
      <w:r w:rsidRPr="00AC0BB1">
        <w:rPr>
          <w:snapToGrid w:val="0"/>
        </w:rPr>
        <w:t xml:space="preserve"> for the month at issue in the IDV examination (generally a single month), it does not currently recover</w:t>
      </w:r>
      <w:r>
        <w:rPr>
          <w:snapToGrid w:val="0"/>
        </w:rPr>
        <w:t xml:space="preserve"> the duplicative</w:t>
      </w:r>
      <w:r w:rsidRPr="00AC0BB1">
        <w:rPr>
          <w:snapToGrid w:val="0"/>
        </w:rPr>
        <w:t xml:space="preserve"> support that </w:t>
      </w:r>
      <w:r>
        <w:rPr>
          <w:snapToGrid w:val="0"/>
        </w:rPr>
        <w:t>the ETC</w:t>
      </w:r>
      <w:r w:rsidRPr="00AC0BB1">
        <w:rPr>
          <w:snapToGrid w:val="0"/>
        </w:rPr>
        <w:t xml:space="preserve"> received for the same duplicates for the preceding and following months.  We therefore direct USAC, when it notifies an ETC to commence the process of </w:t>
      </w:r>
      <w:r>
        <w:rPr>
          <w:snapToGrid w:val="0"/>
        </w:rPr>
        <w:t>deenrolling</w:t>
      </w:r>
      <w:r w:rsidRPr="00AC0BB1">
        <w:rPr>
          <w:snapToGrid w:val="0"/>
        </w:rPr>
        <w:t xml:space="preserve"> intra-company duplicates identified through the IDV process, to </w:t>
      </w:r>
      <w:r>
        <w:rPr>
          <w:snapToGrid w:val="0"/>
        </w:rPr>
        <w:t xml:space="preserve">require </w:t>
      </w:r>
      <w:r w:rsidRPr="00AC0BB1">
        <w:rPr>
          <w:snapToGrid w:val="0"/>
        </w:rPr>
        <w:t xml:space="preserve">the ETC </w:t>
      </w:r>
      <w:r>
        <w:rPr>
          <w:snapToGrid w:val="0"/>
        </w:rPr>
        <w:t xml:space="preserve">to inform USAC of </w:t>
      </w:r>
      <w:r w:rsidRPr="00AC0BB1">
        <w:rPr>
          <w:snapToGrid w:val="0"/>
        </w:rPr>
        <w:t>(a)</w:t>
      </w:r>
      <w:r>
        <w:rPr>
          <w:snapToGrid w:val="0"/>
        </w:rPr>
        <w:t xml:space="preserve"> the month and year in which </w:t>
      </w:r>
      <w:r w:rsidRPr="00AC0BB1">
        <w:rPr>
          <w:snapToGrid w:val="0"/>
        </w:rPr>
        <w:t xml:space="preserve">the ETC began requesting and/or receiving </w:t>
      </w:r>
      <w:r>
        <w:rPr>
          <w:snapToGrid w:val="0"/>
        </w:rPr>
        <w:t xml:space="preserve">duplicative </w:t>
      </w:r>
      <w:r w:rsidRPr="00AC0BB1">
        <w:rPr>
          <w:snapToGrid w:val="0"/>
        </w:rPr>
        <w:t xml:space="preserve">support for providing Lifeline service to each such duplicate and (b) </w:t>
      </w:r>
      <w:r>
        <w:rPr>
          <w:snapToGrid w:val="0"/>
        </w:rPr>
        <w:t xml:space="preserve">the month and year in which </w:t>
      </w:r>
      <w:r w:rsidRPr="00AC0BB1">
        <w:rPr>
          <w:snapToGrid w:val="0"/>
        </w:rPr>
        <w:t xml:space="preserve">the ETC stopped requesting and/or receiving </w:t>
      </w:r>
      <w:r w:rsidR="00186BAA">
        <w:rPr>
          <w:snapToGrid w:val="0"/>
        </w:rPr>
        <w:t xml:space="preserve">duplicative </w:t>
      </w:r>
      <w:r w:rsidRPr="00AC0BB1">
        <w:rPr>
          <w:snapToGrid w:val="0"/>
        </w:rPr>
        <w:t xml:space="preserve">support for providing Lifeline service to each such duplicate.  Thereafter, USAC shall recover from the ETC all </w:t>
      </w:r>
      <w:r>
        <w:rPr>
          <w:snapToGrid w:val="0"/>
        </w:rPr>
        <w:t xml:space="preserve">of </w:t>
      </w:r>
      <w:r w:rsidRPr="00AC0BB1">
        <w:rPr>
          <w:snapToGrid w:val="0"/>
        </w:rPr>
        <w:t xml:space="preserve">the </w:t>
      </w:r>
      <w:r>
        <w:rPr>
          <w:snapToGrid w:val="0"/>
        </w:rPr>
        <w:t xml:space="preserve">duplicative </w:t>
      </w:r>
      <w:r w:rsidRPr="00AC0BB1">
        <w:rPr>
          <w:snapToGrid w:val="0"/>
        </w:rPr>
        <w:t>support it has received from such duplicates.</w:t>
      </w:r>
    </w:p>
  </w:footnote>
  <w:footnote w:id="24">
    <w:p w14:paraId="542603DD" w14:textId="77777777" w:rsidR="00907ADA" w:rsidRPr="00260854" w:rsidRDefault="00907ADA" w:rsidP="001F0DAD">
      <w:pPr>
        <w:pStyle w:val="FootnoteText"/>
        <w:rPr>
          <w:b/>
        </w:rPr>
      </w:pPr>
      <w:r w:rsidRPr="00260854">
        <w:rPr>
          <w:rStyle w:val="FootnoteReference"/>
        </w:rPr>
        <w:footnoteRef/>
      </w:r>
      <w:r w:rsidRPr="00260854">
        <w:t xml:space="preserve"> </w:t>
      </w:r>
      <w:r w:rsidRPr="00260854">
        <w:rPr>
          <w:i/>
        </w:rPr>
        <w:t>See</w:t>
      </w:r>
      <w:r w:rsidRPr="00260854">
        <w:t xml:space="preserve"> Letter from John J. Heitmann, Esq., counsel for Easy Telephone Services d/b/a Easy Wireless, to Marlene Dortch, Secretary, Federal Communications Commission at 2 (dated Jan. 22, 2013) (LOI Response).</w:t>
      </w:r>
    </w:p>
  </w:footnote>
  <w:footnote w:id="25">
    <w:p w14:paraId="516F2274" w14:textId="77777777" w:rsidR="00907ADA" w:rsidRPr="00EA5AEB" w:rsidRDefault="00907ADA" w:rsidP="001F0DAD">
      <w:pPr>
        <w:spacing w:after="120"/>
        <w:rPr>
          <w:sz w:val="20"/>
        </w:rPr>
      </w:pPr>
      <w:r w:rsidRPr="00260854">
        <w:rPr>
          <w:rStyle w:val="FootnoteReference"/>
        </w:rPr>
        <w:footnoteRef/>
      </w:r>
      <w:r w:rsidRPr="00EA5AEB">
        <w:rPr>
          <w:sz w:val="20"/>
        </w:rPr>
        <w:t xml:space="preserve"> </w:t>
      </w:r>
      <w:r w:rsidRPr="00EA5AEB">
        <w:rPr>
          <w:i/>
          <w:sz w:val="20"/>
        </w:rPr>
        <w:t>See</w:t>
      </w:r>
      <w:r w:rsidRPr="00EA5AEB">
        <w:rPr>
          <w:sz w:val="20"/>
        </w:rPr>
        <w:t xml:space="preserve"> Oklahoma Corporation Commission, “Eligible Telecommunications Carriers,” </w:t>
      </w:r>
      <w:r w:rsidRPr="00EA5AEB">
        <w:rPr>
          <w:sz w:val="20"/>
          <w:u w:val="single"/>
        </w:rPr>
        <w:t>http://www.occeweb.com/pu/ETC%20Designation/2012-11-01ETCInformationreport.pdf</w:t>
      </w:r>
      <w:r w:rsidRPr="00EA5AEB">
        <w:rPr>
          <w:sz w:val="20"/>
        </w:rPr>
        <w:t xml:space="preserve"> </w:t>
      </w:r>
      <w:r w:rsidRPr="00EA5AEB">
        <w:rPr>
          <w:sz w:val="20"/>
        </w:rPr>
        <w:fldChar w:fldCharType="begin"/>
      </w:r>
      <w:r w:rsidRPr="00EA5AEB">
        <w:rPr>
          <w:sz w:val="20"/>
        </w:rPr>
        <w:instrText>"http://www.occeweb.com/pu/ETC%20Designation/2012-11-01ETCInformationreport.pdf"</w:instrText>
      </w:r>
      <w:r w:rsidRPr="00EA5AEB">
        <w:rPr>
          <w:sz w:val="20"/>
        </w:rPr>
        <w:fldChar w:fldCharType="separate"/>
      </w:r>
      <w:r w:rsidRPr="00EA5AEB">
        <w:rPr>
          <w:sz w:val="20"/>
        </w:rPr>
        <w:t>http://www.occeweb.com/pu/ETC%20Designation/2012-11-01ETCInformationreport.pdf</w:t>
      </w:r>
      <w:r w:rsidRPr="00EA5AEB">
        <w:rPr>
          <w:sz w:val="20"/>
        </w:rPr>
        <w:fldChar w:fldCharType="end"/>
      </w:r>
      <w:r w:rsidRPr="00EA5AEB">
        <w:rPr>
          <w:sz w:val="20"/>
        </w:rPr>
        <w:fldChar w:fldCharType="begin"/>
      </w:r>
      <w:r w:rsidRPr="00EA5AEB">
        <w:rPr>
          <w:sz w:val="20"/>
        </w:rPr>
        <w:instrText>"http://www.occeweb.com/pu/ETC%20Designation/2012-11-01ETCInformationreport.pdf"</w:instrText>
      </w:r>
      <w:r w:rsidRPr="00EA5AEB">
        <w:rPr>
          <w:sz w:val="20"/>
        </w:rPr>
        <w:fldChar w:fldCharType="separate"/>
      </w:r>
      <w:r w:rsidRPr="00EA5AEB">
        <w:rPr>
          <w:sz w:val="20"/>
        </w:rPr>
        <w:t>http://www.occeweb.com/pu/ETC%20Designation/2012-11-01ETCInformationreport.pdf</w:t>
      </w:r>
      <w:r w:rsidRPr="00EA5AEB">
        <w:rPr>
          <w:sz w:val="20"/>
        </w:rPr>
        <w:fldChar w:fldCharType="end"/>
      </w:r>
      <w:r w:rsidRPr="00EA5AEB">
        <w:rPr>
          <w:sz w:val="20"/>
        </w:rPr>
        <w:t xml:space="preserve"> (last visited Aug. 13, 2013).</w:t>
      </w:r>
      <w:r w:rsidRPr="00EA5AEB">
        <w:rPr>
          <w:b/>
          <w:sz w:val="20"/>
        </w:rPr>
        <w:t xml:space="preserve">  </w:t>
      </w:r>
      <w:r w:rsidRPr="00EA5AEB">
        <w:rPr>
          <w:sz w:val="20"/>
        </w:rPr>
        <w:t>Easy Wireless is also designated as an ETC in additional states.</w:t>
      </w:r>
    </w:p>
  </w:footnote>
  <w:footnote w:id="26">
    <w:p w14:paraId="2F89AEEF" w14:textId="77777777" w:rsidR="00907ADA" w:rsidRPr="00260854" w:rsidRDefault="00907ADA" w:rsidP="001F0DAD">
      <w:pPr>
        <w:pStyle w:val="FootnoteText"/>
        <w:rPr>
          <w:b/>
        </w:rPr>
      </w:pPr>
      <w:r w:rsidRPr="00260854">
        <w:rPr>
          <w:rStyle w:val="FootnoteReference"/>
        </w:rPr>
        <w:footnoteRef/>
      </w:r>
      <w:r w:rsidRPr="00260854">
        <w:t xml:space="preserve"> </w:t>
      </w:r>
      <w:r w:rsidRPr="00260854">
        <w:rPr>
          <w:i/>
        </w:rPr>
        <w:t>See</w:t>
      </w:r>
      <w:r w:rsidRPr="00260854">
        <w:t xml:space="preserve"> Letter from Universal Service Administrative Company, to Caitlyn Lumpkin, Easy Telephone Services (dated Mar. 4, 2013).  For the purposes of this NAL, an “individual intra-company duplicate” is an individual subscriber for whom the ETC sought and/or received reimbursement more than once in a single month.</w:t>
      </w:r>
    </w:p>
  </w:footnote>
  <w:footnote w:id="27">
    <w:p w14:paraId="5008C4CA"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See id</w:t>
      </w:r>
      <w:r w:rsidRPr="00260854">
        <w:t>.</w:t>
      </w:r>
    </w:p>
  </w:footnote>
  <w:footnote w:id="28">
    <w:p w14:paraId="7B725B89"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See</w:t>
      </w:r>
      <w:r w:rsidRPr="00260854">
        <w:t xml:space="preserve"> 47 U.S.C. § 503(b)(1)(B); 47 C.F.R. § 1.80(a)(1).  </w:t>
      </w:r>
    </w:p>
  </w:footnote>
  <w:footnote w:id="29">
    <w:p w14:paraId="6D2E9505" w14:textId="77777777" w:rsidR="00907ADA" w:rsidRPr="00260854" w:rsidRDefault="00907ADA" w:rsidP="000520BF">
      <w:pPr>
        <w:pStyle w:val="FootnoteText"/>
      </w:pPr>
      <w:r w:rsidRPr="00260854">
        <w:rPr>
          <w:rStyle w:val="FootnoteReference"/>
        </w:rPr>
        <w:footnoteRef/>
      </w:r>
      <w:r w:rsidRPr="00260854">
        <w:t xml:space="preserve"> 47 U.S.C. § 312(f)(1).</w:t>
      </w:r>
    </w:p>
  </w:footnote>
  <w:footnote w:id="30">
    <w:p w14:paraId="2F17E391" w14:textId="77777777" w:rsidR="00907ADA" w:rsidRPr="00260854" w:rsidRDefault="00907ADA">
      <w:pPr>
        <w:pStyle w:val="FootnoteText"/>
      </w:pPr>
      <w:r w:rsidRPr="00260854">
        <w:rPr>
          <w:rStyle w:val="FootnoteReference"/>
        </w:rPr>
        <w:footnoteRef/>
      </w:r>
      <w:r w:rsidRPr="00260854">
        <w:t xml:space="preserve"> H.R. Rep. No. 97-765, 97</w:t>
      </w:r>
      <w:r w:rsidRPr="00260854">
        <w:rPr>
          <w:vertAlign w:val="superscript"/>
        </w:rPr>
        <w:t>th</w:t>
      </w:r>
      <w:r w:rsidRPr="00260854">
        <w:t xml:space="preserve"> Cong. 2d Sess. 51 (1982) (“</w:t>
      </w:r>
      <w:r w:rsidRPr="00260854">
        <w:rPr>
          <w:rStyle w:val="documentbody"/>
        </w:rPr>
        <w:t xml:space="preserve">This provision [inserted in Section 312] defines the terms ‘willful’ and ‘repeated’ for purposes of section </w:t>
      </w:r>
      <w:r w:rsidRPr="00260854">
        <w:rPr>
          <w:rStyle w:val="searchterm"/>
        </w:rPr>
        <w:t>312</w:t>
      </w:r>
      <w:r w:rsidRPr="00260854">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260854">
        <w:rPr>
          <w:rStyle w:val="searchterm"/>
        </w:rPr>
        <w:t>312</w:t>
      </w:r>
      <w:r w:rsidRPr="00260854">
        <w:rPr>
          <w:rStyle w:val="documentbody"/>
        </w:rPr>
        <w:t xml:space="preserve"> and 503, and are consistent with the Commission’s application of those terms . . . .”).</w:t>
      </w:r>
    </w:p>
  </w:footnote>
  <w:footnote w:id="31">
    <w:p w14:paraId="42820A2B" w14:textId="77777777" w:rsidR="00907ADA" w:rsidRPr="00260854" w:rsidRDefault="00907ADA">
      <w:pPr>
        <w:pStyle w:val="FootnoteText"/>
      </w:pPr>
      <w:r w:rsidRPr="00260854">
        <w:rPr>
          <w:rStyle w:val="FootnoteReference"/>
        </w:rPr>
        <w:footnoteRef/>
      </w:r>
      <w:r w:rsidRPr="00260854">
        <w:t xml:space="preserve"> </w:t>
      </w:r>
      <w:r w:rsidRPr="00260854">
        <w:rPr>
          <w:i/>
        </w:rPr>
        <w:t>See</w:t>
      </w:r>
      <w:r w:rsidRPr="00CB636F">
        <w:rPr>
          <w:i/>
        </w:rPr>
        <w:t>,</w:t>
      </w:r>
      <w:r w:rsidRPr="00260854">
        <w:rPr>
          <w:i/>
        </w:rPr>
        <w:t xml:space="preserve"> e.g.</w:t>
      </w:r>
      <w:r w:rsidRPr="00EA5AEB">
        <w:t>,</w:t>
      </w:r>
      <w:r w:rsidRPr="00260854">
        <w:rPr>
          <w:i/>
        </w:rPr>
        <w:t xml:space="preserve"> So. Cal. Broad. Co.</w:t>
      </w:r>
      <w:r w:rsidRPr="00260854">
        <w:t xml:space="preserve">, Memorandum Opinion and Order, 6 FCC Rcd 4387, 4388 (1991), </w:t>
      </w:r>
      <w:r w:rsidRPr="00260854">
        <w:rPr>
          <w:i/>
        </w:rPr>
        <w:t>recons. denied</w:t>
      </w:r>
      <w:r w:rsidRPr="00EA5AEB">
        <w:t>,</w:t>
      </w:r>
      <w:r w:rsidRPr="00260854">
        <w:rPr>
          <w:i/>
        </w:rPr>
        <w:t xml:space="preserve"> </w:t>
      </w:r>
      <w:r w:rsidRPr="00260854">
        <w:t>7 FCC Rcd 3454 (1992) (</w:t>
      </w:r>
      <w:r w:rsidRPr="00260854">
        <w:rPr>
          <w:i/>
        </w:rPr>
        <w:t>Southern California Broadcasting</w:t>
      </w:r>
      <w:r w:rsidRPr="00260854">
        <w:t>).</w:t>
      </w:r>
    </w:p>
  </w:footnote>
  <w:footnote w:id="32">
    <w:p w14:paraId="11CCDAF5" w14:textId="1099CB8A" w:rsidR="00907ADA" w:rsidRPr="00260854" w:rsidRDefault="00907ADA">
      <w:pPr>
        <w:pStyle w:val="FootnoteText"/>
      </w:pPr>
      <w:r w:rsidRPr="00260854">
        <w:rPr>
          <w:rStyle w:val="FootnoteReference"/>
        </w:rPr>
        <w:footnoteRef/>
      </w:r>
      <w:r w:rsidRPr="00260854">
        <w:t xml:space="preserve"> </w:t>
      </w:r>
      <w:r w:rsidRPr="00260854">
        <w:rPr>
          <w:i/>
        </w:rPr>
        <w:t>See</w:t>
      </w:r>
      <w:r w:rsidRPr="00CB636F">
        <w:rPr>
          <w:i/>
        </w:rPr>
        <w:t>,</w:t>
      </w:r>
      <w:r w:rsidRPr="00260854">
        <w:rPr>
          <w:i/>
        </w:rPr>
        <w:t xml:space="preserve"> e.g.</w:t>
      </w:r>
      <w:r w:rsidRPr="00EA5AEB">
        <w:t>,</w:t>
      </w:r>
      <w:r w:rsidRPr="00260854">
        <w:t xml:space="preserve"> </w:t>
      </w:r>
      <w:r w:rsidRPr="00260854">
        <w:rPr>
          <w:i/>
        </w:rPr>
        <w:t>Callais Cablevision, Inc.</w:t>
      </w:r>
      <w:r w:rsidRPr="00260854">
        <w:t>, Notice of Apparent Liability for Monetary Forfeiture, 16 FCC Rcd 1359, 1362, para. 10 (2001) (</w:t>
      </w:r>
      <w:r w:rsidRPr="00260854">
        <w:rPr>
          <w:i/>
        </w:rPr>
        <w:t>Callais Cablevision</w:t>
      </w:r>
      <w:r w:rsidRPr="00260854">
        <w:t xml:space="preserve">) (proposing a forfeiture for, </w:t>
      </w:r>
      <w:r w:rsidRPr="00260854">
        <w:rPr>
          <w:i/>
        </w:rPr>
        <w:t>inter alia</w:t>
      </w:r>
      <w:r w:rsidRPr="00260854">
        <w:t xml:space="preserve">, a cable television operator’s repeated signal leakage). </w:t>
      </w:r>
    </w:p>
  </w:footnote>
  <w:footnote w:id="33">
    <w:p w14:paraId="7AF8997B" w14:textId="77222C85" w:rsidR="00907ADA" w:rsidRPr="00260854" w:rsidRDefault="00907ADA">
      <w:pPr>
        <w:pStyle w:val="FootnoteText"/>
      </w:pPr>
      <w:r w:rsidRPr="00260854">
        <w:rPr>
          <w:rStyle w:val="FootnoteReference"/>
        </w:rPr>
        <w:footnoteRef/>
      </w:r>
      <w:r w:rsidRPr="00260854">
        <w:t xml:space="preserve"> </w:t>
      </w:r>
      <w:r w:rsidRPr="00260854">
        <w:rPr>
          <w:i/>
        </w:rPr>
        <w:t>Southern California Broadcasting</w:t>
      </w:r>
      <w:r w:rsidRPr="00260854">
        <w:t xml:space="preserve">, 6 FCC Rcd at 4388, para. 5; </w:t>
      </w:r>
      <w:r w:rsidRPr="00260854">
        <w:rPr>
          <w:i/>
        </w:rPr>
        <w:t>Ca</w:t>
      </w:r>
      <w:r w:rsidR="00852FA6" w:rsidRPr="00260854">
        <w:rPr>
          <w:i/>
        </w:rPr>
        <w:t>l</w:t>
      </w:r>
      <w:r w:rsidRPr="00260854">
        <w:rPr>
          <w:i/>
        </w:rPr>
        <w:t>lais Cablevision</w:t>
      </w:r>
      <w:r w:rsidRPr="00260854">
        <w:t xml:space="preserve">, 16 FCC Rcd at 136, para. 9. </w:t>
      </w:r>
    </w:p>
  </w:footnote>
  <w:footnote w:id="34">
    <w:p w14:paraId="2E24F188" w14:textId="77777777" w:rsidR="00907ADA" w:rsidRPr="00260854" w:rsidRDefault="00907ADA" w:rsidP="001F0DAD">
      <w:pPr>
        <w:pStyle w:val="FootnoteText"/>
      </w:pPr>
      <w:r w:rsidRPr="00260854">
        <w:rPr>
          <w:rStyle w:val="FootnoteReference"/>
        </w:rPr>
        <w:footnoteRef/>
      </w:r>
      <w:r w:rsidRPr="00260854">
        <w:t xml:space="preserve"> 47 U.S.C. § 503(b)(4); 47 C.F.R. § 1.80(f).   </w:t>
      </w:r>
    </w:p>
  </w:footnote>
  <w:footnote w:id="35">
    <w:p w14:paraId="5A52ACD2"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See, e.g.</w:t>
      </w:r>
      <w:r w:rsidRPr="00EA5AEB">
        <w:t>,</w:t>
      </w:r>
      <w:r w:rsidRPr="00260854">
        <w:rPr>
          <w:i/>
        </w:rPr>
        <w:t xml:space="preserve"> SBC Communications, Inc</w:t>
      </w:r>
      <w:r w:rsidRPr="00260854">
        <w:t xml:space="preserve">., Forfeiture Order, 17 FCC Rcd 7589, 7591, para. 4 (2002).  </w:t>
      </w:r>
    </w:p>
  </w:footnote>
  <w:footnote w:id="36">
    <w:p w14:paraId="30BCD9E5" w14:textId="77777777" w:rsidR="00907ADA" w:rsidRPr="00260854" w:rsidRDefault="00907ADA" w:rsidP="000520BF">
      <w:pPr>
        <w:pStyle w:val="FootnoteText"/>
      </w:pPr>
      <w:r w:rsidRPr="00260854">
        <w:rPr>
          <w:rStyle w:val="FootnoteReference"/>
        </w:rPr>
        <w:footnoteRef/>
      </w:r>
      <w:r w:rsidRPr="00260854">
        <w:t xml:space="preserve"> 47 C.F.R. §§ 54.407, 54.409, 54.410.  </w:t>
      </w:r>
      <w:r w:rsidRPr="00260854">
        <w:rPr>
          <w:i/>
        </w:rPr>
        <w:t xml:space="preserve">See also supra </w:t>
      </w:r>
      <w:r w:rsidRPr="00260854">
        <w:t>paras. 3-6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p>
  </w:footnote>
  <w:footnote w:id="37">
    <w:p w14:paraId="57FFE55B" w14:textId="104E6ED6" w:rsidR="00907ADA" w:rsidRPr="00260854" w:rsidRDefault="00907ADA">
      <w:pPr>
        <w:pStyle w:val="FootnoteText"/>
      </w:pPr>
      <w:r w:rsidRPr="00260854">
        <w:rPr>
          <w:rStyle w:val="FootnoteReference"/>
        </w:rPr>
        <w:footnoteRef/>
      </w:r>
      <w:r w:rsidRPr="00260854">
        <w:t xml:space="preserve"> </w:t>
      </w:r>
      <w:r w:rsidRPr="00260854">
        <w:rPr>
          <w:i/>
        </w:rPr>
        <w:t xml:space="preserve">See </w:t>
      </w:r>
      <w:r w:rsidRPr="00260854">
        <w:t xml:space="preserve">47 U.S.C. § 503(b)(2)(B); 47 C.F.R. § 1.80(b)(2).  These amounts reflect inflation adjustments to the forfeitures specified in Section 503(b)(2)(B) ($100,000 per violation or per day of a continuing violation and $1,000,000 per any single act or failure to act).  The </w:t>
      </w:r>
      <w:r w:rsidRPr="00260854">
        <w:rPr>
          <w:color w:val="000000"/>
        </w:rPr>
        <w:t>Federal Civil Penalties Inflation Adjustment Act of 1990, Pub. L. No. 101-410, 104 Stat. 890, as amended by the</w:t>
      </w:r>
      <w:r w:rsidRPr="00260854">
        <w:t xml:space="preserve"> Debt Collection Improvement Act of 1996, Pub. L. No. 104-134, Sec. 31001, 110 Stat. 1321 (DCIA), requires the Commission to adjust its forfeiture penalties periodically for inflation.  </w:t>
      </w:r>
      <w:r w:rsidRPr="00260854">
        <w:rPr>
          <w:i/>
        </w:rPr>
        <w:t>See</w:t>
      </w:r>
      <w:r w:rsidRPr="00260854">
        <w:t xml:space="preserve"> 28 U.S.C. § 2461 note (4).  The Commission most recently adjusted its penalties to account for inflation in 2013.  </w:t>
      </w:r>
      <w:r w:rsidRPr="00260854">
        <w:rPr>
          <w:i/>
        </w:rPr>
        <w:t>See Amendment of Section 1.80(b) of the Commission’s Rules, Adjustment of Civil Monetary Penalties to Reflect Inflation</w:t>
      </w:r>
      <w:r w:rsidRPr="00260854">
        <w:t xml:space="preserve">, DA 13-1615, 2013 WL 3963800 (Enf. Bur. 2013); </w:t>
      </w:r>
      <w:r w:rsidRPr="00260854">
        <w:rPr>
          <w:i/>
        </w:rPr>
        <w:t>see also</w:t>
      </w:r>
      <w:r w:rsidRPr="00260854">
        <w:t xml:space="preserve"> Inflation Adjustment of Monetary Penalties, 78 Fed. Reg. 49,370-01 (Aug. 14, 2013) (setting Sept. 13, 2013, as the effective date for the increases).  However, because the DCIA specifies that </w:t>
      </w:r>
      <w:r w:rsidRPr="00260854">
        <w:rPr>
          <w:color w:val="000000"/>
        </w:rPr>
        <w:t>any inflationary adjustment “shall apply only to violations which occur after the date the increase takes effect,”</w:t>
      </w:r>
      <w:r w:rsidRPr="00260854">
        <w:t xml:space="preserve"> we apply the forfeiture penalties in effect at the time the violation took place.  28 U.S.C. § 2461 note (6).  Here, because the violations at issue occurred </w:t>
      </w:r>
      <w:r w:rsidR="00885695" w:rsidRPr="00260854">
        <w:t xml:space="preserve">before </w:t>
      </w:r>
      <w:r w:rsidRPr="00260854">
        <w:t>September</w:t>
      </w:r>
      <w:r w:rsidR="00885695" w:rsidRPr="00260854">
        <w:t xml:space="preserve"> 13,</w:t>
      </w:r>
      <w:r w:rsidRPr="00260854">
        <w:t xml:space="preserve"> </w:t>
      </w:r>
      <w:r w:rsidR="00885695" w:rsidRPr="00260854">
        <w:t>2013</w:t>
      </w:r>
      <w:r w:rsidRPr="00260854">
        <w:t>, the applicable maximum penalties are based on the Commission’s previous inflation adjustment that became effective on September 2, 2008.</w:t>
      </w:r>
      <w:r w:rsidRPr="00260854">
        <w:rPr>
          <w:i/>
        </w:rPr>
        <w:t xml:space="preserve">  See</w:t>
      </w:r>
      <w:r w:rsidRPr="00260854">
        <w:t xml:space="preserve"> Inflation Adjustment of Maximum Forfeiture Penalties, 73 Fed. Reg. 44,663, 44,664 (July 31, 2008). </w:t>
      </w:r>
    </w:p>
  </w:footnote>
  <w:footnote w:id="38">
    <w:p w14:paraId="0F0EB29F" w14:textId="77777777" w:rsidR="00907ADA" w:rsidRPr="00260854" w:rsidRDefault="00907ADA" w:rsidP="001F0DAD">
      <w:pPr>
        <w:pStyle w:val="FootnoteText"/>
      </w:pPr>
      <w:r w:rsidRPr="00260854">
        <w:rPr>
          <w:rStyle w:val="FootnoteReference"/>
        </w:rPr>
        <w:footnoteRef/>
      </w:r>
      <w:r w:rsidRPr="00260854">
        <w:t xml:space="preserve"> 47 U.S.C. § 503(b)(2)(E).</w:t>
      </w:r>
    </w:p>
  </w:footnote>
  <w:footnote w:id="39">
    <w:p w14:paraId="41E73A14"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See</w:t>
      </w:r>
      <w:r w:rsidRPr="00260854">
        <w:t xml:space="preserve"> 47 C.F.R. § 1.80(b)(8); Note to Paragraph (b)(8): Guidelines for Assessing Forfeitures.  </w:t>
      </w:r>
    </w:p>
  </w:footnote>
  <w:footnote w:id="40">
    <w:p w14:paraId="5EABF392" w14:textId="2BFEBF91" w:rsidR="00907ADA" w:rsidRPr="00EA5AEB" w:rsidRDefault="00907ADA" w:rsidP="001F0DAD">
      <w:pPr>
        <w:spacing w:after="120"/>
        <w:rPr>
          <w:sz w:val="20"/>
        </w:rPr>
      </w:pPr>
      <w:r w:rsidRPr="00260854">
        <w:rPr>
          <w:rStyle w:val="FootnoteReference"/>
        </w:rPr>
        <w:footnoteRef/>
      </w:r>
      <w:r w:rsidRPr="00EA5AEB">
        <w:rPr>
          <w:sz w:val="20"/>
        </w:rPr>
        <w:t xml:space="preserve"> </w:t>
      </w:r>
      <w:r w:rsidRPr="00EA5AEB">
        <w:rPr>
          <w:i/>
          <w:sz w:val="20"/>
        </w:rPr>
        <w:t>VCI Company</w:t>
      </w:r>
      <w:r w:rsidRPr="00EA5AEB">
        <w:rPr>
          <w:sz w:val="20"/>
        </w:rPr>
        <w:t>, Notice of Apparent Liability for Forfeiture, 22 FCC Rcd 15933 (2007) (</w:t>
      </w:r>
      <w:r w:rsidRPr="00EA5AEB">
        <w:rPr>
          <w:i/>
          <w:sz w:val="20"/>
        </w:rPr>
        <w:t>VCI</w:t>
      </w:r>
      <w:r w:rsidRPr="00EA5AEB">
        <w:rPr>
          <w:sz w:val="20"/>
        </w:rPr>
        <w:t xml:space="preserve">).  The Commission imposed forfeitures for both Lifeline and Link Up overcollections in </w:t>
      </w:r>
      <w:r w:rsidRPr="00EA5AEB">
        <w:rPr>
          <w:i/>
          <w:sz w:val="20"/>
        </w:rPr>
        <w:t>VCI</w:t>
      </w:r>
      <w:r w:rsidRPr="00EA5AEB">
        <w:rPr>
          <w:sz w:val="20"/>
        </w:rPr>
        <w:t xml:space="preserve">, but it employed the same forfeiture methodology for both.  Overcollections of Link Up support are not at issue in this investigation.  The Commission did not subsequently release a forfeiture order in </w:t>
      </w:r>
      <w:r w:rsidRPr="00260854">
        <w:rPr>
          <w:sz w:val="20"/>
        </w:rPr>
        <w:t>that case</w:t>
      </w:r>
      <w:r w:rsidRPr="00EA5AEB">
        <w:rPr>
          <w:sz w:val="20"/>
        </w:rPr>
        <w:t xml:space="preserve">, as would be its normal practice, because the </w:t>
      </w:r>
      <w:r w:rsidRPr="00260854">
        <w:rPr>
          <w:sz w:val="20"/>
        </w:rPr>
        <w:t xml:space="preserve">target </w:t>
      </w:r>
      <w:r w:rsidRPr="00EA5AEB">
        <w:rPr>
          <w:sz w:val="20"/>
        </w:rPr>
        <w:t xml:space="preserve">company had ceased operations and ceased to exist as a corporate entity.  </w:t>
      </w:r>
    </w:p>
  </w:footnote>
  <w:footnote w:id="41">
    <w:p w14:paraId="05AC0DDF" w14:textId="77777777" w:rsidR="002830EC" w:rsidRPr="00260854" w:rsidRDefault="002830EC" w:rsidP="00F34496">
      <w:pPr>
        <w:pStyle w:val="FootnoteText"/>
      </w:pPr>
      <w:r w:rsidRPr="00260854">
        <w:rPr>
          <w:rStyle w:val="FootnoteReference"/>
        </w:rPr>
        <w:footnoteRef/>
      </w:r>
      <w:r w:rsidRPr="00260854">
        <w:t xml:space="preserve"> The Commission requires telecommunications providers to file Form 499 to report the revenues they receive from offering service.  </w:t>
      </w:r>
      <w:r w:rsidR="00933A8E" w:rsidRPr="00260854">
        <w:rPr>
          <w:i/>
        </w:rPr>
        <w:t xml:space="preserve">See </w:t>
      </w:r>
      <w:r w:rsidR="00933A8E" w:rsidRPr="00260854">
        <w:t xml:space="preserve">47 C.F.R. § 54.711.  </w:t>
      </w:r>
      <w:r w:rsidRPr="00260854">
        <w:t>The information providers report on Form 499 is used to calculate and assess contributions to the USF, the interstate Telecommunications Relay Services Fund, the administration of the North American Numbering Plan, and the shared costs of local number portability administration.</w:t>
      </w:r>
    </w:p>
  </w:footnote>
  <w:footnote w:id="42">
    <w:p w14:paraId="349CD1B8" w14:textId="33C9E181" w:rsidR="00907ADA" w:rsidRPr="00260854" w:rsidRDefault="00907ADA" w:rsidP="001F0DAD">
      <w:pPr>
        <w:pStyle w:val="FootnoteText"/>
      </w:pPr>
      <w:r w:rsidRPr="00260854">
        <w:rPr>
          <w:rStyle w:val="FootnoteReference"/>
        </w:rPr>
        <w:footnoteRef/>
      </w:r>
      <w:r w:rsidRPr="00260854">
        <w:t xml:space="preserve"> </w:t>
      </w:r>
      <w:r w:rsidR="007339A1" w:rsidRPr="00260854">
        <w:rPr>
          <w:i/>
        </w:rPr>
        <w:t>VCI</w:t>
      </w:r>
      <w:r w:rsidR="007339A1" w:rsidRPr="00260854">
        <w:t>, 22 FCC Rcd</w:t>
      </w:r>
      <w:r w:rsidRPr="00260854">
        <w:t xml:space="preserve"> at 15939-43, paras. 16–28.</w:t>
      </w:r>
    </w:p>
  </w:footnote>
  <w:footnote w:id="43">
    <w:p w14:paraId="7F265209"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See, e.g., Lifeline Duplicates Order</w:t>
      </w:r>
      <w:r w:rsidRPr="00260854">
        <w:t xml:space="preserve">, 22 FCC Rcd at 9026-32, paras. 8-18 (codifying the one-discount-per-eligible-customer rule); </w:t>
      </w:r>
      <w:r w:rsidRPr="00260854">
        <w:rPr>
          <w:i/>
        </w:rPr>
        <w:t>Lifeline Reform Order</w:t>
      </w:r>
      <w:r w:rsidRPr="00260854">
        <w:t>, 27 FCC Rcd at 6659-60, para. 2 (explaining that reforms adopted in February 2012 could save as much $2 billion over three years)</w:t>
      </w:r>
      <w:r w:rsidR="00636A8D" w:rsidRPr="00260854">
        <w:t xml:space="preserve">; </w:t>
      </w:r>
      <w:r w:rsidR="00636A8D" w:rsidRPr="00260854">
        <w:rPr>
          <w:i/>
        </w:rPr>
        <w:t>id.</w:t>
      </w:r>
      <w:r w:rsidR="00636A8D" w:rsidRPr="00260854">
        <w:t xml:space="preserve"> at 6687, para. 69 (codifying the one-per-household rule)</w:t>
      </w:r>
      <w:r w:rsidRPr="00260854">
        <w:t>.</w:t>
      </w:r>
    </w:p>
  </w:footnote>
  <w:footnote w:id="44">
    <w:p w14:paraId="7C262D6F" w14:textId="77777777" w:rsidR="00907ADA" w:rsidRPr="00260854" w:rsidRDefault="00907ADA" w:rsidP="001F0DAD">
      <w:pPr>
        <w:pStyle w:val="FootnoteText"/>
      </w:pPr>
      <w:r w:rsidRPr="00260854">
        <w:rPr>
          <w:rStyle w:val="FootnoteReference"/>
        </w:rPr>
        <w:footnoteRef/>
      </w:r>
      <w:r w:rsidRPr="00260854">
        <w:t xml:space="preserve"> 47 C.F.R. § 54.407(d).</w:t>
      </w:r>
    </w:p>
  </w:footnote>
  <w:footnote w:id="45">
    <w:p w14:paraId="5FA9F96D"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See VCI</w:t>
      </w:r>
      <w:r w:rsidRPr="00260854">
        <w:t>, 22 FCC Rcd at 15939-40, para. 18.</w:t>
      </w:r>
    </w:p>
  </w:footnote>
  <w:footnote w:id="46">
    <w:p w14:paraId="16D2BF6A" w14:textId="77777777" w:rsidR="00907ADA" w:rsidRPr="00260854" w:rsidRDefault="00907ADA" w:rsidP="001F0DAD">
      <w:pPr>
        <w:pStyle w:val="FootnoteText"/>
      </w:pPr>
      <w:r w:rsidRPr="00260854">
        <w:rPr>
          <w:rStyle w:val="FootnoteReference"/>
        </w:rPr>
        <w:footnoteRef/>
      </w:r>
      <w:r w:rsidRPr="00260854">
        <w:t xml:space="preserve"> 47 C.F.R. §§ 54.407, 54.409, 54.410.</w:t>
      </w:r>
    </w:p>
  </w:footnote>
  <w:footnote w:id="47">
    <w:p w14:paraId="2E05FFCE"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 xml:space="preserve">See </w:t>
      </w:r>
      <w:r w:rsidRPr="00260854">
        <w:t>47 C.F.R. § 1.80(b)(8) (providing that, in determining the amount of a forfeiture penalty, the Commission will take into account the extent and gravity of the violations, among other factors).</w:t>
      </w:r>
    </w:p>
  </w:footnote>
  <w:footnote w:id="48">
    <w:p w14:paraId="37334173" w14:textId="77777777" w:rsidR="00907ADA" w:rsidRPr="00260854" w:rsidRDefault="00907ADA" w:rsidP="001F0DAD">
      <w:pPr>
        <w:pStyle w:val="FootnoteText"/>
      </w:pPr>
      <w:r w:rsidRPr="00260854">
        <w:rPr>
          <w:rStyle w:val="FootnoteReference"/>
        </w:rPr>
        <w:footnoteRef/>
      </w:r>
      <w:r w:rsidRPr="00260854">
        <w:t xml:space="preserve"> </w:t>
      </w:r>
      <w:r w:rsidRPr="00260854">
        <w:rPr>
          <w:i/>
        </w:rPr>
        <w:t>See</w:t>
      </w:r>
      <w:r w:rsidRPr="00260854">
        <w:t xml:space="preserve"> 47 U.S.C. § 503(b)(2)(E); 47 C.F.R. § 1.80(b)(8).  </w:t>
      </w:r>
    </w:p>
  </w:footnote>
  <w:footnote w:id="49">
    <w:p w14:paraId="4462BAC9" w14:textId="77777777" w:rsidR="00907ADA" w:rsidRPr="00260854" w:rsidRDefault="00907ADA" w:rsidP="001F0DAD">
      <w:pPr>
        <w:pStyle w:val="FootnoteText"/>
      </w:pPr>
      <w:r w:rsidRPr="00260854">
        <w:rPr>
          <w:rStyle w:val="FootnoteReference"/>
        </w:rPr>
        <w:footnoteRef/>
      </w:r>
      <w:r w:rsidRPr="00260854">
        <w:t xml:space="preserve"> 47 U.S.C. § 503(a).</w:t>
      </w:r>
    </w:p>
  </w:footnote>
  <w:footnote w:id="50">
    <w:p w14:paraId="1AA47AFA" w14:textId="77777777" w:rsidR="00907ADA" w:rsidRPr="00260854" w:rsidRDefault="00907ADA" w:rsidP="00F34496">
      <w:pPr>
        <w:pStyle w:val="FootnoteText"/>
      </w:pPr>
      <w:r w:rsidRPr="00260854">
        <w:rPr>
          <w:rStyle w:val="FootnoteReference"/>
        </w:rPr>
        <w:footnoteRef/>
      </w:r>
      <w:r w:rsidRPr="00260854">
        <w:t xml:space="preserve"> 47 C.F.R. §§ 54.407, 54.409, 54.410.</w:t>
      </w:r>
    </w:p>
  </w:footnote>
  <w:footnote w:id="51">
    <w:p w14:paraId="330E8703" w14:textId="77777777" w:rsidR="00907ADA" w:rsidRPr="00260854" w:rsidRDefault="00907ADA">
      <w:pPr>
        <w:pStyle w:val="FootnoteText"/>
      </w:pPr>
      <w:r w:rsidRPr="00260854">
        <w:rPr>
          <w:rStyle w:val="FootnoteReference"/>
        </w:rPr>
        <w:footnoteRef/>
      </w:r>
      <w:r w:rsidRPr="00260854">
        <w:t xml:space="preserve"> 47 U.S.C. § 503(b); 47 C.F.R. § 1.80.</w:t>
      </w:r>
    </w:p>
  </w:footnote>
  <w:footnote w:id="52">
    <w:p w14:paraId="4F5E4EC9" w14:textId="77777777" w:rsidR="00907ADA" w:rsidRPr="00260854" w:rsidRDefault="00907ADA">
      <w:pPr>
        <w:pStyle w:val="FootnoteText"/>
      </w:pPr>
      <w:r w:rsidRPr="00260854">
        <w:rPr>
          <w:rStyle w:val="FootnoteReference"/>
        </w:rPr>
        <w:footnoteRef/>
      </w:r>
      <w:r w:rsidRPr="00260854">
        <w:t xml:space="preserve"> 47 C.F.R. §§ 54.407, 54.409, 54.410.</w:t>
      </w:r>
    </w:p>
  </w:footnote>
  <w:footnote w:id="53">
    <w:p w14:paraId="700166E8" w14:textId="77777777" w:rsidR="00907ADA" w:rsidRPr="00260854" w:rsidRDefault="00907ADA" w:rsidP="001F0DAD">
      <w:pPr>
        <w:pStyle w:val="FootnoteText"/>
      </w:pPr>
      <w:r w:rsidRPr="00260854">
        <w:rPr>
          <w:rStyle w:val="FootnoteReference"/>
        </w:rPr>
        <w:footnoteRef/>
      </w:r>
      <w:r w:rsidRPr="00260854">
        <w:t xml:space="preserve"> 47 C.F.R. § 1.80.</w:t>
      </w:r>
    </w:p>
  </w:footnote>
  <w:footnote w:id="54">
    <w:p w14:paraId="00D5D616" w14:textId="77777777" w:rsidR="00907ADA" w:rsidRPr="00260854" w:rsidRDefault="00907ADA" w:rsidP="000520BF">
      <w:pPr>
        <w:pStyle w:val="FootnoteText"/>
      </w:pPr>
      <w:r w:rsidRPr="00260854">
        <w:rPr>
          <w:rStyle w:val="FootnoteReference"/>
        </w:rPr>
        <w:footnoteRef/>
      </w:r>
      <w:r w:rsidRPr="00260854">
        <w:t xml:space="preserve"> </w:t>
      </w:r>
      <w:r w:rsidRPr="00260854">
        <w:rPr>
          <w:rFonts w:eastAsia="MS Mincho"/>
        </w:rPr>
        <w:t>An FCC Form 159 and detailed instructions for completing the form may be obtained at http://www.fcc.gov/Forms/Form159/159.pdf.</w:t>
      </w:r>
    </w:p>
  </w:footnote>
  <w:footnote w:id="55">
    <w:p w14:paraId="2682AA96" w14:textId="77777777" w:rsidR="00907ADA" w:rsidRPr="00260854" w:rsidRDefault="00907ADA">
      <w:pPr>
        <w:pStyle w:val="FootnoteText"/>
      </w:pPr>
      <w:r w:rsidRPr="00260854">
        <w:rPr>
          <w:rStyle w:val="FootnoteReference"/>
        </w:rPr>
        <w:footnoteRef/>
      </w:r>
      <w:r w:rsidRPr="00260854">
        <w:t xml:space="preserve"> </w:t>
      </w:r>
      <w:r w:rsidRPr="00260854">
        <w:rPr>
          <w:i/>
        </w:rPr>
        <w:t>See</w:t>
      </w:r>
      <w:r w:rsidRPr="00260854">
        <w:t xml:space="preserve"> 47 C.F.R. § 1.1914.</w:t>
      </w:r>
    </w:p>
  </w:footnote>
  <w:footnote w:id="56">
    <w:p w14:paraId="7DD716DA" w14:textId="77777777" w:rsidR="00907ADA" w:rsidRPr="00260854" w:rsidRDefault="00907ADA" w:rsidP="00F941FA">
      <w:pPr>
        <w:pStyle w:val="FootnoteText"/>
      </w:pPr>
      <w:r w:rsidRPr="00260854">
        <w:rPr>
          <w:rStyle w:val="FootnoteReference"/>
        </w:rPr>
        <w:footnoteRef/>
      </w:r>
      <w:r w:rsidRPr="00260854">
        <w:t xml:space="preserve"> 47 C.F.R. §§ 1.16, 1.80(f)(3).</w:t>
      </w:r>
    </w:p>
  </w:footnote>
  <w:footnote w:id="57">
    <w:p w14:paraId="3F94B726" w14:textId="77777777" w:rsidR="00333740" w:rsidRDefault="00333740" w:rsidP="00333740">
      <w:pPr>
        <w:pStyle w:val="FootnoteText"/>
      </w:pPr>
      <w:r>
        <w:rPr>
          <w:rStyle w:val="FootnoteReference"/>
        </w:rPr>
        <w:footnoteRef/>
      </w:r>
      <w:r>
        <w:t xml:space="preserve"> For example, </w:t>
      </w:r>
      <w:r w:rsidR="002B035A">
        <w:t>the</w:t>
      </w:r>
      <w:r>
        <w:t xml:space="preserve"> written statement </w:t>
      </w:r>
      <w:r w:rsidR="002B035A">
        <w:t>could include data showing that the month examined in the IDV was an outlier and that far fewer duplicates existed in the months preceding and following that month.</w:t>
      </w:r>
    </w:p>
  </w:footnote>
  <w:footnote w:id="58">
    <w:p w14:paraId="56BC8D64" w14:textId="77777777" w:rsidR="008C6C17" w:rsidRPr="004B1B89" w:rsidRDefault="008C6C17" w:rsidP="008C6C17">
      <w:pPr>
        <w:pStyle w:val="FootnoteText"/>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59">
    <w:p w14:paraId="1A8911CB" w14:textId="77777777" w:rsidR="008C6C17" w:rsidRPr="009F208A" w:rsidRDefault="008C6C17" w:rsidP="008C6C17">
      <w:pPr>
        <w:pStyle w:val="FootnoteText"/>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60">
    <w:p w14:paraId="177C51C5" w14:textId="77777777" w:rsidR="008C6C17" w:rsidRDefault="008C6C17" w:rsidP="008C6C17">
      <w:pPr>
        <w:pStyle w:val="FootnoteText"/>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4EDD" w14:textId="77777777" w:rsidR="00E565E5" w:rsidRDefault="00E56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F7F5" w14:textId="3B58BC79" w:rsidR="00907ADA" w:rsidRPr="00EA5AEB" w:rsidRDefault="00907ADA">
    <w:pPr>
      <w:pStyle w:val="Header"/>
      <w:rPr>
        <w:b w:val="0"/>
      </w:rPr>
    </w:pPr>
    <w:r w:rsidRPr="000520BF">
      <w:tab/>
      <w:t>Federal Communications Commission</w:t>
    </w:r>
    <w:r w:rsidRPr="000520BF">
      <w:tab/>
      <w:t>FCC 13-</w:t>
    </w:r>
    <w:r w:rsidR="003E4C97">
      <w:t>129</w:t>
    </w:r>
  </w:p>
  <w:p w14:paraId="6F2F52F5" w14:textId="77777777" w:rsidR="00907ADA" w:rsidRPr="000520BF" w:rsidRDefault="00D21B7D">
    <w:pPr>
      <w:pStyle w:val="Header"/>
    </w:pPr>
    <w:r>
      <w:rPr>
        <w:noProof/>
      </w:rPr>
      <w:pict w14:anchorId="2C32A437">
        <v:line id="_x0000_s2049" style="position:absolute;z-index:251657216"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B77FC" w14:textId="5A973C00" w:rsidR="00907ADA" w:rsidRPr="00EA5AEB" w:rsidRDefault="00907ADA">
    <w:pPr>
      <w:pStyle w:val="Header"/>
      <w:rPr>
        <w:b w:val="0"/>
      </w:rPr>
    </w:pPr>
    <w:r w:rsidRPr="000520BF">
      <w:tab/>
      <w:t>Federal Comm</w:t>
    </w:r>
    <w:r w:rsidR="003E4C97">
      <w:t>unications Commission</w:t>
    </w:r>
    <w:r w:rsidR="003E4C97">
      <w:tab/>
      <w:t>FCC 13-129</w:t>
    </w:r>
  </w:p>
  <w:p w14:paraId="4DE6F04A" w14:textId="77777777" w:rsidR="00907ADA" w:rsidRDefault="00D21B7D" w:rsidP="00C92CF2">
    <w:pPr>
      <w:pStyle w:val="Header"/>
    </w:pPr>
    <w:r>
      <w:rPr>
        <w:noProof/>
      </w:rPr>
      <w:pict w14:anchorId="2DD29A23">
        <v:line id="_x0000_s2050" style="position:absolute;z-index:251658240"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36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289D4EED"/>
    <w:multiLevelType w:val="hybridMultilevel"/>
    <w:tmpl w:val="26B2EBA0"/>
    <w:lvl w:ilvl="0" w:tplc="D006285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F53198B"/>
    <w:multiLevelType w:val="hybridMultilevel"/>
    <w:tmpl w:val="819CCCC4"/>
    <w:lvl w:ilvl="0" w:tplc="0409000F">
      <w:start w:val="1"/>
      <w:numFmt w:val="decimal"/>
      <w:lvlText w:val="%1."/>
      <w:lvlJc w:val="left"/>
      <w:pPr>
        <w:tabs>
          <w:tab w:val="num" w:pos="1080"/>
        </w:tabs>
        <w:ind w:left="1080" w:hanging="360"/>
      </w:pPr>
    </w:lvl>
    <w:lvl w:ilvl="1" w:tplc="838E6B4A">
      <w:start w:val="1"/>
      <w:numFmt w:val="lowerLetter"/>
      <w:lvlText w:val="%2)"/>
      <w:lvlJc w:val="left"/>
      <w:pPr>
        <w:tabs>
          <w:tab w:val="num" w:pos="2160"/>
        </w:tabs>
        <w:ind w:left="2160" w:hanging="360"/>
      </w:pPr>
      <w:rPr>
        <w:rFonts w:ascii="Times New Roman" w:eastAsia="Times New Roman" w:hAnsi="Times New Roman" w:cs="Times New Roman"/>
      </w:rPr>
    </w:lvl>
    <w:lvl w:ilvl="2" w:tplc="25C8E210">
      <w:start w:val="1"/>
      <w:numFmt w:val="lowerRoman"/>
      <w:lvlText w:val="%3.)"/>
      <w:lvlJc w:val="left"/>
      <w:pPr>
        <w:tabs>
          <w:tab w:val="num" w:pos="3060"/>
        </w:tabs>
        <w:ind w:left="3060" w:hanging="360"/>
      </w:pPr>
      <w:rPr>
        <w:rFonts w:hint="default"/>
      </w:rPr>
    </w:lvl>
    <w:lvl w:ilvl="3" w:tplc="F294CF0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73E2666"/>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61182925"/>
    <w:multiLevelType w:val="singleLevel"/>
    <w:tmpl w:val="7564DE3E"/>
    <w:lvl w:ilvl="0">
      <w:start w:val="1"/>
      <w:numFmt w:val="decimal"/>
      <w:pStyle w:val="ParaNum"/>
      <w:lvlText w:val="%1."/>
      <w:lvlJc w:val="left"/>
      <w:pPr>
        <w:tabs>
          <w:tab w:val="num" w:pos="1080"/>
        </w:tabs>
        <w:ind w:left="0" w:firstLine="720"/>
      </w:pPr>
      <w:rPr>
        <w:rFonts w:hint="default"/>
      </w:rPr>
    </w:lvl>
  </w:abstractNum>
  <w:abstractNum w:abstractNumId="16">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abstractNum>
  <w:abstractNum w:abstractNumId="1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13"/>
  </w:num>
  <w:num w:numId="2">
    <w:abstractNumId w:val="11"/>
  </w:num>
  <w:num w:numId="3">
    <w:abstractNumId w:val="8"/>
  </w:num>
  <w:num w:numId="4">
    <w:abstractNumId w:val="17"/>
  </w:num>
  <w:num w:numId="5">
    <w:abstractNumId w:val="9"/>
  </w:num>
  <w:num w:numId="6">
    <w:abstractNumId w:val="2"/>
  </w:num>
  <w:num w:numId="7">
    <w:abstractNumId w:val="14"/>
  </w:num>
  <w:num w:numId="8">
    <w:abstractNumId w:val="6"/>
  </w:num>
  <w:num w:numId="9">
    <w:abstractNumId w:val="16"/>
  </w:num>
  <w:num w:numId="10">
    <w:abstractNumId w:val="7"/>
  </w:num>
  <w:num w:numId="11">
    <w:abstractNumId w:val="13"/>
  </w:num>
  <w:num w:numId="12">
    <w:abstractNumId w:val="10"/>
  </w:num>
  <w:num w:numId="13">
    <w:abstractNumId w:val="0"/>
  </w:num>
  <w:num w:numId="14">
    <w:abstractNumId w:val="3"/>
  </w:num>
  <w:num w:numId="15">
    <w:abstractNumId w:val="15"/>
  </w:num>
  <w:num w:numId="16">
    <w:abstractNumId w:val="5"/>
  </w:num>
  <w:num w:numId="17">
    <w:abstractNumId w:val="12"/>
  </w:num>
  <w:num w:numId="18">
    <w:abstractNumId w:val="4"/>
  </w:num>
  <w:num w:numId="19">
    <w:abstractNumId w:val="1"/>
  </w:num>
  <w:num w:numId="20">
    <w:abstractNumId w:val="15"/>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433A"/>
    <w:rsid w:val="00001AD7"/>
    <w:rsid w:val="000068C0"/>
    <w:rsid w:val="000077DD"/>
    <w:rsid w:val="00012740"/>
    <w:rsid w:val="00013549"/>
    <w:rsid w:val="00013F1D"/>
    <w:rsid w:val="00016966"/>
    <w:rsid w:val="00021AEA"/>
    <w:rsid w:val="00021C81"/>
    <w:rsid w:val="0003089E"/>
    <w:rsid w:val="00036226"/>
    <w:rsid w:val="00041ED8"/>
    <w:rsid w:val="000451EB"/>
    <w:rsid w:val="0004773D"/>
    <w:rsid w:val="000520BF"/>
    <w:rsid w:val="0005495E"/>
    <w:rsid w:val="00060F6A"/>
    <w:rsid w:val="0006213D"/>
    <w:rsid w:val="00066C4A"/>
    <w:rsid w:val="000718C4"/>
    <w:rsid w:val="00084ADA"/>
    <w:rsid w:val="00086C81"/>
    <w:rsid w:val="0009019D"/>
    <w:rsid w:val="00091668"/>
    <w:rsid w:val="000947AC"/>
    <w:rsid w:val="000A2577"/>
    <w:rsid w:val="000A2BD8"/>
    <w:rsid w:val="000A7A2B"/>
    <w:rsid w:val="000B016E"/>
    <w:rsid w:val="000B471C"/>
    <w:rsid w:val="000B4ECE"/>
    <w:rsid w:val="000C33EE"/>
    <w:rsid w:val="000C3BEF"/>
    <w:rsid w:val="000C7CCF"/>
    <w:rsid w:val="000D12B4"/>
    <w:rsid w:val="000D2851"/>
    <w:rsid w:val="000D28D2"/>
    <w:rsid w:val="000E2144"/>
    <w:rsid w:val="000E780C"/>
    <w:rsid w:val="000F3F21"/>
    <w:rsid w:val="000F698F"/>
    <w:rsid w:val="00100DDE"/>
    <w:rsid w:val="001041FF"/>
    <w:rsid w:val="001046D7"/>
    <w:rsid w:val="00104B9C"/>
    <w:rsid w:val="00105C9B"/>
    <w:rsid w:val="00111139"/>
    <w:rsid w:val="00111B88"/>
    <w:rsid w:val="00112560"/>
    <w:rsid w:val="001144B1"/>
    <w:rsid w:val="00115579"/>
    <w:rsid w:val="00120EB8"/>
    <w:rsid w:val="00123FF1"/>
    <w:rsid w:val="00125114"/>
    <w:rsid w:val="00126E02"/>
    <w:rsid w:val="0012719E"/>
    <w:rsid w:val="001333A7"/>
    <w:rsid w:val="00143A08"/>
    <w:rsid w:val="00145DEC"/>
    <w:rsid w:val="00146CDE"/>
    <w:rsid w:val="001525A5"/>
    <w:rsid w:val="00153DDF"/>
    <w:rsid w:val="00161B94"/>
    <w:rsid w:val="00161EFE"/>
    <w:rsid w:val="00165546"/>
    <w:rsid w:val="001675CF"/>
    <w:rsid w:val="001704EF"/>
    <w:rsid w:val="00174522"/>
    <w:rsid w:val="00176D71"/>
    <w:rsid w:val="001835B8"/>
    <w:rsid w:val="001836A8"/>
    <w:rsid w:val="00186BAA"/>
    <w:rsid w:val="00191396"/>
    <w:rsid w:val="00192643"/>
    <w:rsid w:val="001951AF"/>
    <w:rsid w:val="001A243D"/>
    <w:rsid w:val="001A2AAC"/>
    <w:rsid w:val="001A6909"/>
    <w:rsid w:val="001A75CD"/>
    <w:rsid w:val="001B561D"/>
    <w:rsid w:val="001B64EF"/>
    <w:rsid w:val="001C0E32"/>
    <w:rsid w:val="001C1F8E"/>
    <w:rsid w:val="001C3153"/>
    <w:rsid w:val="001D201D"/>
    <w:rsid w:val="001E585D"/>
    <w:rsid w:val="001F0DAD"/>
    <w:rsid w:val="001F3C06"/>
    <w:rsid w:val="001F736D"/>
    <w:rsid w:val="002001FB"/>
    <w:rsid w:val="002005B8"/>
    <w:rsid w:val="00202650"/>
    <w:rsid w:val="002034D6"/>
    <w:rsid w:val="00203AE8"/>
    <w:rsid w:val="00206427"/>
    <w:rsid w:val="002170E4"/>
    <w:rsid w:val="0022637A"/>
    <w:rsid w:val="0022720F"/>
    <w:rsid w:val="0023463A"/>
    <w:rsid w:val="00241AFA"/>
    <w:rsid w:val="002455BE"/>
    <w:rsid w:val="002479BC"/>
    <w:rsid w:val="002506BE"/>
    <w:rsid w:val="0025373A"/>
    <w:rsid w:val="002542D2"/>
    <w:rsid w:val="00255383"/>
    <w:rsid w:val="00260854"/>
    <w:rsid w:val="00263131"/>
    <w:rsid w:val="00264E4F"/>
    <w:rsid w:val="00266640"/>
    <w:rsid w:val="00266DD1"/>
    <w:rsid w:val="00272D3F"/>
    <w:rsid w:val="002830EC"/>
    <w:rsid w:val="00283335"/>
    <w:rsid w:val="0028611B"/>
    <w:rsid w:val="0028682F"/>
    <w:rsid w:val="00287C10"/>
    <w:rsid w:val="00290116"/>
    <w:rsid w:val="00291AF3"/>
    <w:rsid w:val="00293CF5"/>
    <w:rsid w:val="00294BAC"/>
    <w:rsid w:val="002955FC"/>
    <w:rsid w:val="002967C3"/>
    <w:rsid w:val="002A2380"/>
    <w:rsid w:val="002B035A"/>
    <w:rsid w:val="002C0035"/>
    <w:rsid w:val="002C500E"/>
    <w:rsid w:val="002C7427"/>
    <w:rsid w:val="002D1020"/>
    <w:rsid w:val="002D1E3E"/>
    <w:rsid w:val="002D3BDA"/>
    <w:rsid w:val="002D5382"/>
    <w:rsid w:val="002D54BB"/>
    <w:rsid w:val="002D6398"/>
    <w:rsid w:val="002E2D8A"/>
    <w:rsid w:val="002E4E6B"/>
    <w:rsid w:val="002E57CF"/>
    <w:rsid w:val="002E672A"/>
    <w:rsid w:val="002F25CA"/>
    <w:rsid w:val="00303ED6"/>
    <w:rsid w:val="003056AF"/>
    <w:rsid w:val="00305AA3"/>
    <w:rsid w:val="00306657"/>
    <w:rsid w:val="00310562"/>
    <w:rsid w:val="00311CDD"/>
    <w:rsid w:val="00314389"/>
    <w:rsid w:val="00317568"/>
    <w:rsid w:val="00322877"/>
    <w:rsid w:val="0032431D"/>
    <w:rsid w:val="00327066"/>
    <w:rsid w:val="00332426"/>
    <w:rsid w:val="00332C9B"/>
    <w:rsid w:val="00333740"/>
    <w:rsid w:val="0033584C"/>
    <w:rsid w:val="003368C7"/>
    <w:rsid w:val="0034381F"/>
    <w:rsid w:val="00345281"/>
    <w:rsid w:val="00355999"/>
    <w:rsid w:val="00363A1A"/>
    <w:rsid w:val="00364F26"/>
    <w:rsid w:val="003709A8"/>
    <w:rsid w:val="00372F20"/>
    <w:rsid w:val="00377C4C"/>
    <w:rsid w:val="00381831"/>
    <w:rsid w:val="003850EF"/>
    <w:rsid w:val="003857D9"/>
    <w:rsid w:val="00392897"/>
    <w:rsid w:val="00392A93"/>
    <w:rsid w:val="00392D5C"/>
    <w:rsid w:val="0039355B"/>
    <w:rsid w:val="00394F32"/>
    <w:rsid w:val="00396C56"/>
    <w:rsid w:val="00397D8A"/>
    <w:rsid w:val="003A0135"/>
    <w:rsid w:val="003A2565"/>
    <w:rsid w:val="003A6818"/>
    <w:rsid w:val="003A7A35"/>
    <w:rsid w:val="003B0EF8"/>
    <w:rsid w:val="003B2E92"/>
    <w:rsid w:val="003B454C"/>
    <w:rsid w:val="003B5EF5"/>
    <w:rsid w:val="003C7BEE"/>
    <w:rsid w:val="003E11CB"/>
    <w:rsid w:val="003E4BBC"/>
    <w:rsid w:val="003E4C97"/>
    <w:rsid w:val="003E758E"/>
    <w:rsid w:val="003F086C"/>
    <w:rsid w:val="003F28B7"/>
    <w:rsid w:val="003F789C"/>
    <w:rsid w:val="004001D4"/>
    <w:rsid w:val="00401AAC"/>
    <w:rsid w:val="00411B71"/>
    <w:rsid w:val="00412984"/>
    <w:rsid w:val="00413F4F"/>
    <w:rsid w:val="00423647"/>
    <w:rsid w:val="0042453A"/>
    <w:rsid w:val="004264C0"/>
    <w:rsid w:val="00427645"/>
    <w:rsid w:val="00427A3F"/>
    <w:rsid w:val="004302FD"/>
    <w:rsid w:val="004321AC"/>
    <w:rsid w:val="00434938"/>
    <w:rsid w:val="00436B87"/>
    <w:rsid w:val="00437ED7"/>
    <w:rsid w:val="00440402"/>
    <w:rsid w:val="00450DD7"/>
    <w:rsid w:val="004543BA"/>
    <w:rsid w:val="004543DC"/>
    <w:rsid w:val="004575F4"/>
    <w:rsid w:val="00460C6D"/>
    <w:rsid w:val="00463A51"/>
    <w:rsid w:val="00464506"/>
    <w:rsid w:val="004670E1"/>
    <w:rsid w:val="004708AD"/>
    <w:rsid w:val="00472971"/>
    <w:rsid w:val="00481A18"/>
    <w:rsid w:val="00492562"/>
    <w:rsid w:val="004945B5"/>
    <w:rsid w:val="00494842"/>
    <w:rsid w:val="00495360"/>
    <w:rsid w:val="004A28B1"/>
    <w:rsid w:val="004A3DE1"/>
    <w:rsid w:val="004A7BB5"/>
    <w:rsid w:val="004B0D0B"/>
    <w:rsid w:val="004B3B8C"/>
    <w:rsid w:val="004B6484"/>
    <w:rsid w:val="004B7CC9"/>
    <w:rsid w:val="004C5FB1"/>
    <w:rsid w:val="004C6F5D"/>
    <w:rsid w:val="004C7720"/>
    <w:rsid w:val="004D34A9"/>
    <w:rsid w:val="004D7648"/>
    <w:rsid w:val="004E06F5"/>
    <w:rsid w:val="004E1407"/>
    <w:rsid w:val="004E14BB"/>
    <w:rsid w:val="004E7CB2"/>
    <w:rsid w:val="004F408C"/>
    <w:rsid w:val="004F7EAF"/>
    <w:rsid w:val="005026F8"/>
    <w:rsid w:val="00504F16"/>
    <w:rsid w:val="00505203"/>
    <w:rsid w:val="005157CF"/>
    <w:rsid w:val="00516541"/>
    <w:rsid w:val="0052673C"/>
    <w:rsid w:val="005336C1"/>
    <w:rsid w:val="00533A48"/>
    <w:rsid w:val="00536360"/>
    <w:rsid w:val="005375EE"/>
    <w:rsid w:val="00541AD8"/>
    <w:rsid w:val="00541E99"/>
    <w:rsid w:val="00542485"/>
    <w:rsid w:val="00542B10"/>
    <w:rsid w:val="00543FEA"/>
    <w:rsid w:val="0054686E"/>
    <w:rsid w:val="00553C61"/>
    <w:rsid w:val="005549CB"/>
    <w:rsid w:val="005557FE"/>
    <w:rsid w:val="005624B1"/>
    <w:rsid w:val="00564A18"/>
    <w:rsid w:val="00573663"/>
    <w:rsid w:val="00574239"/>
    <w:rsid w:val="0057426F"/>
    <w:rsid w:val="00575827"/>
    <w:rsid w:val="00576E64"/>
    <w:rsid w:val="00587C78"/>
    <w:rsid w:val="00591529"/>
    <w:rsid w:val="00592F65"/>
    <w:rsid w:val="005A12F4"/>
    <w:rsid w:val="005B1FDE"/>
    <w:rsid w:val="005B3CE9"/>
    <w:rsid w:val="005B492F"/>
    <w:rsid w:val="005B5BB3"/>
    <w:rsid w:val="005D7938"/>
    <w:rsid w:val="005E27DA"/>
    <w:rsid w:val="005E693E"/>
    <w:rsid w:val="006044E7"/>
    <w:rsid w:val="00604E20"/>
    <w:rsid w:val="00616F02"/>
    <w:rsid w:val="006204C3"/>
    <w:rsid w:val="00624949"/>
    <w:rsid w:val="00626981"/>
    <w:rsid w:val="00633212"/>
    <w:rsid w:val="00636A8D"/>
    <w:rsid w:val="00661AC7"/>
    <w:rsid w:val="0066471E"/>
    <w:rsid w:val="00665D2C"/>
    <w:rsid w:val="006765D6"/>
    <w:rsid w:val="00680E12"/>
    <w:rsid w:val="00684AA6"/>
    <w:rsid w:val="00685E51"/>
    <w:rsid w:val="00686E85"/>
    <w:rsid w:val="00686EED"/>
    <w:rsid w:val="0069211D"/>
    <w:rsid w:val="0069490B"/>
    <w:rsid w:val="006958FF"/>
    <w:rsid w:val="006A1021"/>
    <w:rsid w:val="006A5CD4"/>
    <w:rsid w:val="006A60F4"/>
    <w:rsid w:val="006A7EA1"/>
    <w:rsid w:val="006B09C8"/>
    <w:rsid w:val="006B545D"/>
    <w:rsid w:val="006B5E57"/>
    <w:rsid w:val="006C607A"/>
    <w:rsid w:val="006C69D9"/>
    <w:rsid w:val="006D67FD"/>
    <w:rsid w:val="006E5F3E"/>
    <w:rsid w:val="006E71D4"/>
    <w:rsid w:val="006F1DC3"/>
    <w:rsid w:val="006F2E43"/>
    <w:rsid w:val="006F5390"/>
    <w:rsid w:val="00700DA6"/>
    <w:rsid w:val="0070731B"/>
    <w:rsid w:val="00710D6C"/>
    <w:rsid w:val="007130D1"/>
    <w:rsid w:val="0071416E"/>
    <w:rsid w:val="00715559"/>
    <w:rsid w:val="00715869"/>
    <w:rsid w:val="00716077"/>
    <w:rsid w:val="007205A6"/>
    <w:rsid w:val="00721822"/>
    <w:rsid w:val="00723308"/>
    <w:rsid w:val="00725320"/>
    <w:rsid w:val="0072654D"/>
    <w:rsid w:val="007271EB"/>
    <w:rsid w:val="00727D43"/>
    <w:rsid w:val="00731FA3"/>
    <w:rsid w:val="0073221A"/>
    <w:rsid w:val="007339A1"/>
    <w:rsid w:val="007358A3"/>
    <w:rsid w:val="00735FEC"/>
    <w:rsid w:val="00736FD2"/>
    <w:rsid w:val="00740443"/>
    <w:rsid w:val="00740AB2"/>
    <w:rsid w:val="007444A9"/>
    <w:rsid w:val="00753D6C"/>
    <w:rsid w:val="0075417A"/>
    <w:rsid w:val="00754B22"/>
    <w:rsid w:val="00762E1E"/>
    <w:rsid w:val="007630B8"/>
    <w:rsid w:val="007654E0"/>
    <w:rsid w:val="007667F2"/>
    <w:rsid w:val="00774130"/>
    <w:rsid w:val="0077433A"/>
    <w:rsid w:val="007762D0"/>
    <w:rsid w:val="00776570"/>
    <w:rsid w:val="0078020A"/>
    <w:rsid w:val="00782BB5"/>
    <w:rsid w:val="00787781"/>
    <w:rsid w:val="00790357"/>
    <w:rsid w:val="00790FAE"/>
    <w:rsid w:val="00792429"/>
    <w:rsid w:val="00793EF1"/>
    <w:rsid w:val="007941F0"/>
    <w:rsid w:val="0079443F"/>
    <w:rsid w:val="007953DE"/>
    <w:rsid w:val="007A3454"/>
    <w:rsid w:val="007A5A4C"/>
    <w:rsid w:val="007B2C2F"/>
    <w:rsid w:val="007B4F04"/>
    <w:rsid w:val="007B708C"/>
    <w:rsid w:val="007C03AE"/>
    <w:rsid w:val="007C110F"/>
    <w:rsid w:val="007C3A5D"/>
    <w:rsid w:val="007C551D"/>
    <w:rsid w:val="007C65A0"/>
    <w:rsid w:val="007C6FAB"/>
    <w:rsid w:val="007D00F7"/>
    <w:rsid w:val="007D185D"/>
    <w:rsid w:val="007D6434"/>
    <w:rsid w:val="007E114D"/>
    <w:rsid w:val="007E1945"/>
    <w:rsid w:val="007E7238"/>
    <w:rsid w:val="007F1AF3"/>
    <w:rsid w:val="007F649B"/>
    <w:rsid w:val="008044CE"/>
    <w:rsid w:val="00805197"/>
    <w:rsid w:val="00805C4E"/>
    <w:rsid w:val="00806FA2"/>
    <w:rsid w:val="00812B5D"/>
    <w:rsid w:val="008239AE"/>
    <w:rsid w:val="0083408D"/>
    <w:rsid w:val="0083421A"/>
    <w:rsid w:val="00834E8C"/>
    <w:rsid w:val="00836DBD"/>
    <w:rsid w:val="0084392E"/>
    <w:rsid w:val="00852FA6"/>
    <w:rsid w:val="00861949"/>
    <w:rsid w:val="00862B78"/>
    <w:rsid w:val="00870301"/>
    <w:rsid w:val="00870696"/>
    <w:rsid w:val="00870D7A"/>
    <w:rsid w:val="00876A03"/>
    <w:rsid w:val="00881215"/>
    <w:rsid w:val="00885695"/>
    <w:rsid w:val="00885C8C"/>
    <w:rsid w:val="00887FF1"/>
    <w:rsid w:val="008925C6"/>
    <w:rsid w:val="00896071"/>
    <w:rsid w:val="008A154B"/>
    <w:rsid w:val="008A5AE3"/>
    <w:rsid w:val="008A5D51"/>
    <w:rsid w:val="008B0284"/>
    <w:rsid w:val="008B47AC"/>
    <w:rsid w:val="008B69EF"/>
    <w:rsid w:val="008B73CA"/>
    <w:rsid w:val="008C2A37"/>
    <w:rsid w:val="008C549F"/>
    <w:rsid w:val="008C6C17"/>
    <w:rsid w:val="008C75F0"/>
    <w:rsid w:val="008C76F6"/>
    <w:rsid w:val="008D1FC6"/>
    <w:rsid w:val="008D747A"/>
    <w:rsid w:val="008D7797"/>
    <w:rsid w:val="008E1336"/>
    <w:rsid w:val="008E234F"/>
    <w:rsid w:val="008E6C83"/>
    <w:rsid w:val="008F1F7A"/>
    <w:rsid w:val="008F3135"/>
    <w:rsid w:val="009001C0"/>
    <w:rsid w:val="00906745"/>
    <w:rsid w:val="00907ADA"/>
    <w:rsid w:val="00911198"/>
    <w:rsid w:val="00913A2C"/>
    <w:rsid w:val="00916A0F"/>
    <w:rsid w:val="00917848"/>
    <w:rsid w:val="00925744"/>
    <w:rsid w:val="00925C46"/>
    <w:rsid w:val="0092692E"/>
    <w:rsid w:val="00931A3B"/>
    <w:rsid w:val="00933A8E"/>
    <w:rsid w:val="00933D7F"/>
    <w:rsid w:val="00933E83"/>
    <w:rsid w:val="00940991"/>
    <w:rsid w:val="0094610B"/>
    <w:rsid w:val="009472E7"/>
    <w:rsid w:val="009539C8"/>
    <w:rsid w:val="00954136"/>
    <w:rsid w:val="00954A52"/>
    <w:rsid w:val="00955D58"/>
    <w:rsid w:val="00956F7D"/>
    <w:rsid w:val="00963212"/>
    <w:rsid w:val="00970032"/>
    <w:rsid w:val="00982FA6"/>
    <w:rsid w:val="00984C92"/>
    <w:rsid w:val="00995B97"/>
    <w:rsid w:val="00996C24"/>
    <w:rsid w:val="009A4E51"/>
    <w:rsid w:val="009A6974"/>
    <w:rsid w:val="009B4C38"/>
    <w:rsid w:val="009B69EB"/>
    <w:rsid w:val="009C2693"/>
    <w:rsid w:val="009C2978"/>
    <w:rsid w:val="009C4892"/>
    <w:rsid w:val="009C4D13"/>
    <w:rsid w:val="009D1AA7"/>
    <w:rsid w:val="009D3E4C"/>
    <w:rsid w:val="009D5F0D"/>
    <w:rsid w:val="009E0BC5"/>
    <w:rsid w:val="009E1352"/>
    <w:rsid w:val="009E1A48"/>
    <w:rsid w:val="009F121F"/>
    <w:rsid w:val="009F24FA"/>
    <w:rsid w:val="00A01A50"/>
    <w:rsid w:val="00A04A25"/>
    <w:rsid w:val="00A114F4"/>
    <w:rsid w:val="00A12419"/>
    <w:rsid w:val="00A14285"/>
    <w:rsid w:val="00A14A8B"/>
    <w:rsid w:val="00A1597D"/>
    <w:rsid w:val="00A265C7"/>
    <w:rsid w:val="00A35D89"/>
    <w:rsid w:val="00A41EF6"/>
    <w:rsid w:val="00A473FE"/>
    <w:rsid w:val="00A5160C"/>
    <w:rsid w:val="00A53348"/>
    <w:rsid w:val="00A5718D"/>
    <w:rsid w:val="00A61037"/>
    <w:rsid w:val="00A639BE"/>
    <w:rsid w:val="00A641CC"/>
    <w:rsid w:val="00A64C08"/>
    <w:rsid w:val="00A70E41"/>
    <w:rsid w:val="00A83BDF"/>
    <w:rsid w:val="00AA2E61"/>
    <w:rsid w:val="00AA34A6"/>
    <w:rsid w:val="00AA3818"/>
    <w:rsid w:val="00AA56D3"/>
    <w:rsid w:val="00AB0E42"/>
    <w:rsid w:val="00AB238A"/>
    <w:rsid w:val="00AB4282"/>
    <w:rsid w:val="00AB6733"/>
    <w:rsid w:val="00AC6E28"/>
    <w:rsid w:val="00AC7B75"/>
    <w:rsid w:val="00AD114D"/>
    <w:rsid w:val="00AD3CC2"/>
    <w:rsid w:val="00AD7F76"/>
    <w:rsid w:val="00AE0B9B"/>
    <w:rsid w:val="00AE1915"/>
    <w:rsid w:val="00AE2D27"/>
    <w:rsid w:val="00AE30FD"/>
    <w:rsid w:val="00AE4C6C"/>
    <w:rsid w:val="00AE79CF"/>
    <w:rsid w:val="00AF1562"/>
    <w:rsid w:val="00AF6F08"/>
    <w:rsid w:val="00AF719B"/>
    <w:rsid w:val="00B02787"/>
    <w:rsid w:val="00B0501C"/>
    <w:rsid w:val="00B05FD7"/>
    <w:rsid w:val="00B07ADB"/>
    <w:rsid w:val="00B11F3A"/>
    <w:rsid w:val="00B242D1"/>
    <w:rsid w:val="00B41779"/>
    <w:rsid w:val="00B426FB"/>
    <w:rsid w:val="00B44C1B"/>
    <w:rsid w:val="00B4550C"/>
    <w:rsid w:val="00B61062"/>
    <w:rsid w:val="00B61752"/>
    <w:rsid w:val="00B661B8"/>
    <w:rsid w:val="00B671B3"/>
    <w:rsid w:val="00B77962"/>
    <w:rsid w:val="00B84F2B"/>
    <w:rsid w:val="00B969CB"/>
    <w:rsid w:val="00BA0FCF"/>
    <w:rsid w:val="00BA1347"/>
    <w:rsid w:val="00BA17AB"/>
    <w:rsid w:val="00BA2123"/>
    <w:rsid w:val="00BA6A34"/>
    <w:rsid w:val="00BB3555"/>
    <w:rsid w:val="00BB3C8C"/>
    <w:rsid w:val="00BB3E3D"/>
    <w:rsid w:val="00BB4ACE"/>
    <w:rsid w:val="00BC1253"/>
    <w:rsid w:val="00BC5D3A"/>
    <w:rsid w:val="00BD0ADC"/>
    <w:rsid w:val="00BD345E"/>
    <w:rsid w:val="00BD52CF"/>
    <w:rsid w:val="00BD72C6"/>
    <w:rsid w:val="00BD7492"/>
    <w:rsid w:val="00BE13A8"/>
    <w:rsid w:val="00BE5449"/>
    <w:rsid w:val="00BF3010"/>
    <w:rsid w:val="00C0004D"/>
    <w:rsid w:val="00C008F0"/>
    <w:rsid w:val="00C00F66"/>
    <w:rsid w:val="00C02CD8"/>
    <w:rsid w:val="00C15DCB"/>
    <w:rsid w:val="00C2088B"/>
    <w:rsid w:val="00C237AF"/>
    <w:rsid w:val="00C237F8"/>
    <w:rsid w:val="00C2757C"/>
    <w:rsid w:val="00C3179D"/>
    <w:rsid w:val="00C344CF"/>
    <w:rsid w:val="00C35D6A"/>
    <w:rsid w:val="00C459BE"/>
    <w:rsid w:val="00C503EC"/>
    <w:rsid w:val="00C66134"/>
    <w:rsid w:val="00C67DDD"/>
    <w:rsid w:val="00C71D71"/>
    <w:rsid w:val="00C8230A"/>
    <w:rsid w:val="00C829E4"/>
    <w:rsid w:val="00C90CEB"/>
    <w:rsid w:val="00C928CE"/>
    <w:rsid w:val="00C92CF2"/>
    <w:rsid w:val="00C92E23"/>
    <w:rsid w:val="00CA5412"/>
    <w:rsid w:val="00CA75F2"/>
    <w:rsid w:val="00CB2049"/>
    <w:rsid w:val="00CB5E92"/>
    <w:rsid w:val="00CB636F"/>
    <w:rsid w:val="00CC21D4"/>
    <w:rsid w:val="00CC6F12"/>
    <w:rsid w:val="00CD08E3"/>
    <w:rsid w:val="00CD163E"/>
    <w:rsid w:val="00CD3690"/>
    <w:rsid w:val="00CD78D6"/>
    <w:rsid w:val="00CE5006"/>
    <w:rsid w:val="00CF559E"/>
    <w:rsid w:val="00CF5F97"/>
    <w:rsid w:val="00D11119"/>
    <w:rsid w:val="00D20548"/>
    <w:rsid w:val="00D21B7D"/>
    <w:rsid w:val="00D24F38"/>
    <w:rsid w:val="00D26B2D"/>
    <w:rsid w:val="00D278F0"/>
    <w:rsid w:val="00D27904"/>
    <w:rsid w:val="00D45985"/>
    <w:rsid w:val="00D5152A"/>
    <w:rsid w:val="00D56C92"/>
    <w:rsid w:val="00D620B5"/>
    <w:rsid w:val="00D64B3E"/>
    <w:rsid w:val="00D65B9A"/>
    <w:rsid w:val="00D671EF"/>
    <w:rsid w:val="00D740A2"/>
    <w:rsid w:val="00D8372C"/>
    <w:rsid w:val="00D8678A"/>
    <w:rsid w:val="00D9272B"/>
    <w:rsid w:val="00D92990"/>
    <w:rsid w:val="00DA518A"/>
    <w:rsid w:val="00DB28F0"/>
    <w:rsid w:val="00DB2B08"/>
    <w:rsid w:val="00DB3EE0"/>
    <w:rsid w:val="00DB6275"/>
    <w:rsid w:val="00DB7D32"/>
    <w:rsid w:val="00DC1163"/>
    <w:rsid w:val="00DC2B13"/>
    <w:rsid w:val="00DF1C94"/>
    <w:rsid w:val="00DF2E94"/>
    <w:rsid w:val="00DF42BE"/>
    <w:rsid w:val="00DF58B3"/>
    <w:rsid w:val="00E00C42"/>
    <w:rsid w:val="00E051F0"/>
    <w:rsid w:val="00E06922"/>
    <w:rsid w:val="00E06A6E"/>
    <w:rsid w:val="00E12ECF"/>
    <w:rsid w:val="00E134F0"/>
    <w:rsid w:val="00E165D0"/>
    <w:rsid w:val="00E20A4F"/>
    <w:rsid w:val="00E22BD6"/>
    <w:rsid w:val="00E263C1"/>
    <w:rsid w:val="00E26DFE"/>
    <w:rsid w:val="00E273C2"/>
    <w:rsid w:val="00E275E5"/>
    <w:rsid w:val="00E330CC"/>
    <w:rsid w:val="00E333DB"/>
    <w:rsid w:val="00E34817"/>
    <w:rsid w:val="00E40707"/>
    <w:rsid w:val="00E5446D"/>
    <w:rsid w:val="00E565E5"/>
    <w:rsid w:val="00E6162C"/>
    <w:rsid w:val="00E65663"/>
    <w:rsid w:val="00E71816"/>
    <w:rsid w:val="00E71B71"/>
    <w:rsid w:val="00E74920"/>
    <w:rsid w:val="00E80CCA"/>
    <w:rsid w:val="00E84CCA"/>
    <w:rsid w:val="00E84D55"/>
    <w:rsid w:val="00E85D05"/>
    <w:rsid w:val="00E86CD9"/>
    <w:rsid w:val="00E87C15"/>
    <w:rsid w:val="00E93447"/>
    <w:rsid w:val="00E9375D"/>
    <w:rsid w:val="00E95E75"/>
    <w:rsid w:val="00E966A3"/>
    <w:rsid w:val="00EA5AEB"/>
    <w:rsid w:val="00EA701E"/>
    <w:rsid w:val="00EA7A52"/>
    <w:rsid w:val="00EA7BFD"/>
    <w:rsid w:val="00EB1DDA"/>
    <w:rsid w:val="00EB5009"/>
    <w:rsid w:val="00EB5E44"/>
    <w:rsid w:val="00EC2058"/>
    <w:rsid w:val="00EC4F39"/>
    <w:rsid w:val="00EC6AD1"/>
    <w:rsid w:val="00ED0D9B"/>
    <w:rsid w:val="00ED2162"/>
    <w:rsid w:val="00ED31F5"/>
    <w:rsid w:val="00ED33A1"/>
    <w:rsid w:val="00EE4F08"/>
    <w:rsid w:val="00EE6480"/>
    <w:rsid w:val="00EF123A"/>
    <w:rsid w:val="00EF174C"/>
    <w:rsid w:val="00EF5115"/>
    <w:rsid w:val="00F000A5"/>
    <w:rsid w:val="00F03F09"/>
    <w:rsid w:val="00F105D2"/>
    <w:rsid w:val="00F13098"/>
    <w:rsid w:val="00F16178"/>
    <w:rsid w:val="00F21039"/>
    <w:rsid w:val="00F22043"/>
    <w:rsid w:val="00F2241C"/>
    <w:rsid w:val="00F23D1F"/>
    <w:rsid w:val="00F23F0D"/>
    <w:rsid w:val="00F3108D"/>
    <w:rsid w:val="00F33AB2"/>
    <w:rsid w:val="00F340FC"/>
    <w:rsid w:val="00F34496"/>
    <w:rsid w:val="00F36D20"/>
    <w:rsid w:val="00F4026B"/>
    <w:rsid w:val="00F4319D"/>
    <w:rsid w:val="00F44F16"/>
    <w:rsid w:val="00F52F8C"/>
    <w:rsid w:val="00F54B98"/>
    <w:rsid w:val="00F57481"/>
    <w:rsid w:val="00F63568"/>
    <w:rsid w:val="00F71156"/>
    <w:rsid w:val="00F74030"/>
    <w:rsid w:val="00F7410E"/>
    <w:rsid w:val="00F816A8"/>
    <w:rsid w:val="00F93639"/>
    <w:rsid w:val="00F941FA"/>
    <w:rsid w:val="00FA1274"/>
    <w:rsid w:val="00FA4542"/>
    <w:rsid w:val="00FB04A7"/>
    <w:rsid w:val="00FB28B4"/>
    <w:rsid w:val="00FB42B0"/>
    <w:rsid w:val="00FC4CD7"/>
    <w:rsid w:val="00FC56CB"/>
    <w:rsid w:val="00FD0CA5"/>
    <w:rsid w:val="00FD2930"/>
    <w:rsid w:val="00FD35FF"/>
    <w:rsid w:val="00FD4DA8"/>
    <w:rsid w:val="00FE2EF1"/>
    <w:rsid w:val="00FE33B3"/>
    <w:rsid w:val="00FE4C54"/>
    <w:rsid w:val="00FE57B7"/>
    <w:rsid w:val="00FF04D6"/>
    <w:rsid w:val="00FF6218"/>
    <w:rsid w:val="00FF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0BF"/>
    <w:pPr>
      <w:widowControl w:val="0"/>
    </w:pPr>
    <w:rPr>
      <w:snapToGrid w:val="0"/>
      <w:kern w:val="28"/>
      <w:sz w:val="22"/>
    </w:rPr>
  </w:style>
  <w:style w:type="paragraph" w:styleId="Heading1">
    <w:name w:val="heading 1"/>
    <w:basedOn w:val="Normal"/>
    <w:next w:val="ParaNum"/>
    <w:link w:val="Heading1Char"/>
    <w:qFormat/>
    <w:rsid w:val="000520BF"/>
    <w:pPr>
      <w:keepNext/>
      <w:numPr>
        <w:numId w:val="16"/>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20BF"/>
    <w:pPr>
      <w:keepNext/>
      <w:numPr>
        <w:ilvl w:val="1"/>
        <w:numId w:val="16"/>
      </w:numPr>
      <w:spacing w:after="120"/>
      <w:outlineLvl w:val="1"/>
    </w:pPr>
    <w:rPr>
      <w:b/>
    </w:rPr>
  </w:style>
  <w:style w:type="paragraph" w:styleId="Heading3">
    <w:name w:val="heading 3"/>
    <w:basedOn w:val="Normal"/>
    <w:next w:val="ParaNum"/>
    <w:link w:val="Heading3Char"/>
    <w:qFormat/>
    <w:rsid w:val="000520BF"/>
    <w:pPr>
      <w:keepNext/>
      <w:numPr>
        <w:ilvl w:val="2"/>
        <w:numId w:val="16"/>
      </w:numPr>
      <w:spacing w:after="120"/>
      <w:outlineLvl w:val="2"/>
    </w:pPr>
    <w:rPr>
      <w:b/>
    </w:rPr>
  </w:style>
  <w:style w:type="paragraph" w:styleId="Heading4">
    <w:name w:val="heading 4"/>
    <w:basedOn w:val="Normal"/>
    <w:next w:val="ParaNum"/>
    <w:link w:val="Heading4Char"/>
    <w:qFormat/>
    <w:rsid w:val="000520BF"/>
    <w:pPr>
      <w:keepNext/>
      <w:numPr>
        <w:ilvl w:val="3"/>
        <w:numId w:val="16"/>
      </w:numPr>
      <w:spacing w:after="120"/>
      <w:outlineLvl w:val="3"/>
    </w:pPr>
    <w:rPr>
      <w:b/>
    </w:rPr>
  </w:style>
  <w:style w:type="paragraph" w:styleId="Heading5">
    <w:name w:val="heading 5"/>
    <w:basedOn w:val="Normal"/>
    <w:next w:val="ParaNum"/>
    <w:link w:val="Heading5Char"/>
    <w:qFormat/>
    <w:rsid w:val="000520BF"/>
    <w:pPr>
      <w:keepNext/>
      <w:numPr>
        <w:ilvl w:val="4"/>
        <w:numId w:val="16"/>
      </w:numPr>
      <w:suppressAutoHyphens/>
      <w:spacing w:after="120"/>
      <w:outlineLvl w:val="4"/>
    </w:pPr>
    <w:rPr>
      <w:b/>
    </w:rPr>
  </w:style>
  <w:style w:type="paragraph" w:styleId="Heading6">
    <w:name w:val="heading 6"/>
    <w:basedOn w:val="Normal"/>
    <w:next w:val="ParaNum"/>
    <w:link w:val="Heading6Char"/>
    <w:qFormat/>
    <w:rsid w:val="000520BF"/>
    <w:pPr>
      <w:numPr>
        <w:ilvl w:val="5"/>
        <w:numId w:val="16"/>
      </w:numPr>
      <w:spacing w:after="120"/>
      <w:outlineLvl w:val="5"/>
    </w:pPr>
    <w:rPr>
      <w:b/>
    </w:rPr>
  </w:style>
  <w:style w:type="paragraph" w:styleId="Heading7">
    <w:name w:val="heading 7"/>
    <w:basedOn w:val="Normal"/>
    <w:next w:val="ParaNum"/>
    <w:link w:val="Heading7Char"/>
    <w:qFormat/>
    <w:rsid w:val="000520BF"/>
    <w:pPr>
      <w:numPr>
        <w:ilvl w:val="6"/>
        <w:numId w:val="16"/>
      </w:numPr>
      <w:spacing w:after="120"/>
      <w:outlineLvl w:val="6"/>
    </w:pPr>
    <w:rPr>
      <w:b/>
    </w:rPr>
  </w:style>
  <w:style w:type="paragraph" w:styleId="Heading8">
    <w:name w:val="heading 8"/>
    <w:basedOn w:val="Normal"/>
    <w:next w:val="ParaNum"/>
    <w:link w:val="Heading8Char"/>
    <w:qFormat/>
    <w:rsid w:val="000520BF"/>
    <w:pPr>
      <w:numPr>
        <w:ilvl w:val="7"/>
        <w:numId w:val="16"/>
      </w:numPr>
      <w:tabs>
        <w:tab w:val="left" w:pos="5760"/>
      </w:tabs>
      <w:spacing w:after="120"/>
      <w:outlineLvl w:val="7"/>
    </w:pPr>
    <w:rPr>
      <w:b/>
    </w:rPr>
  </w:style>
  <w:style w:type="paragraph" w:styleId="Heading9">
    <w:name w:val="heading 9"/>
    <w:basedOn w:val="Normal"/>
    <w:next w:val="ParaNum"/>
    <w:link w:val="Heading9Char"/>
    <w:qFormat/>
    <w:rsid w:val="000520B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uiPriority w:val="99"/>
    <w:rsid w:val="000520BF"/>
    <w:pPr>
      <w:spacing w:after="120"/>
    </w:pPr>
  </w:style>
  <w:style w:type="character" w:styleId="FootnoteReference">
    <w:name w:val="footnote reference"/>
    <w:aliases w:val="Style 12,(NECG) Footnote Reference,Appel note de bas de p,Style 124,Style 4,Style 13,o,fr,Style 3,FR,Style 17,Footnote Reference/,Style 6"/>
    <w:uiPriority w:val="99"/>
    <w:rsid w:val="002C7427"/>
    <w:rPr>
      <w:rFonts w:ascii="Times New Roman" w:hAnsi="Times New Roman"/>
      <w:dstrike w:val="0"/>
      <w:color w:val="auto"/>
      <w:sz w:val="20"/>
      <w:vertAlign w:val="superscript"/>
    </w:rPr>
  </w:style>
  <w:style w:type="character" w:styleId="Hyperlink">
    <w:name w:val="Hyperlink"/>
    <w:rsid w:val="002C7427"/>
    <w:rPr>
      <w:color w:val="0000FF"/>
      <w:u w:val="single"/>
    </w:rPr>
  </w:style>
  <w:style w:type="character" w:customStyle="1" w:styleId="documentbody">
    <w:name w:val="documentbody"/>
    <w:basedOn w:val="DefaultParagraphFont"/>
    <w:rsid w:val="0077433A"/>
  </w:style>
  <w:style w:type="character" w:customStyle="1" w:styleId="searchterm">
    <w:name w:val="searchterm"/>
    <w:basedOn w:val="DefaultParagraphFont"/>
    <w:rsid w:val="0077433A"/>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77433A"/>
  </w:style>
  <w:style w:type="character" w:customStyle="1" w:styleId="ptext-0">
    <w:name w:val="ptext-0"/>
    <w:basedOn w:val="DefaultParagraphFont"/>
    <w:rsid w:val="0077433A"/>
  </w:style>
  <w:style w:type="paragraph" w:styleId="Header">
    <w:name w:val="header"/>
    <w:basedOn w:val="Normal"/>
    <w:autoRedefine/>
    <w:rsid w:val="000520BF"/>
    <w:pPr>
      <w:tabs>
        <w:tab w:val="center" w:pos="4680"/>
        <w:tab w:val="right" w:pos="9360"/>
      </w:tabs>
    </w:pPr>
    <w:rPr>
      <w:b/>
    </w:rPr>
  </w:style>
  <w:style w:type="paragraph" w:styleId="Footer">
    <w:name w:val="footer"/>
    <w:basedOn w:val="Normal"/>
    <w:link w:val="FooterChar"/>
    <w:uiPriority w:val="99"/>
    <w:rsid w:val="000520BF"/>
    <w:pPr>
      <w:tabs>
        <w:tab w:val="center" w:pos="4320"/>
        <w:tab w:val="right" w:pos="8640"/>
      </w:tabs>
    </w:pPr>
  </w:style>
  <w:style w:type="paragraph" w:styleId="BalloonText">
    <w:name w:val="Balloon Text"/>
    <w:basedOn w:val="Normal"/>
    <w:semiHidden/>
    <w:rsid w:val="000520BF"/>
    <w:rPr>
      <w:rFonts w:ascii="Tahoma" w:hAnsi="Tahoma" w:cs="Tahoma"/>
      <w:sz w:val="16"/>
      <w:szCs w:val="16"/>
    </w:rPr>
  </w:style>
  <w:style w:type="paragraph" w:customStyle="1" w:styleId="ParaNum">
    <w:name w:val="ParaNum"/>
    <w:basedOn w:val="Normal"/>
    <w:link w:val="ParaNumChar"/>
    <w:rsid w:val="000520BF"/>
    <w:pPr>
      <w:numPr>
        <w:numId w:val="15"/>
      </w:numPr>
      <w:spacing w:after="120"/>
    </w:pPr>
  </w:style>
  <w:style w:type="character" w:customStyle="1" w:styleId="ParaNumChar">
    <w:name w:val="ParaNum Char"/>
    <w:link w:val="ParaNum"/>
    <w:rsid w:val="00995B97"/>
    <w:rPr>
      <w:snapToGrid w:val="0"/>
      <w:kern w:val="28"/>
      <w:sz w:val="22"/>
    </w:rPr>
  </w:style>
  <w:style w:type="paragraph" w:customStyle="1" w:styleId="MediumGrid1-Accent21">
    <w:name w:val="Medium Grid 1 - Accent 21"/>
    <w:basedOn w:val="Normal"/>
    <w:uiPriority w:val="34"/>
    <w:qFormat/>
    <w:rsid w:val="00F34496"/>
    <w:pPr>
      <w:ind w:left="720"/>
    </w:pPr>
  </w:style>
  <w:style w:type="character" w:customStyle="1" w:styleId="FooterChar">
    <w:name w:val="Footer Char"/>
    <w:link w:val="Footer"/>
    <w:uiPriority w:val="99"/>
    <w:rsid w:val="00C92CF2"/>
    <w:rPr>
      <w:snapToGrid w:val="0"/>
      <w:kern w:val="28"/>
      <w:sz w:val="22"/>
    </w:rPr>
  </w:style>
  <w:style w:type="character" w:styleId="PageNumber">
    <w:name w:val="page number"/>
    <w:basedOn w:val="DefaultParagraphFont"/>
    <w:rsid w:val="002C7427"/>
  </w:style>
  <w:style w:type="character" w:styleId="CommentReference">
    <w:name w:val="annotation reference"/>
    <w:semiHidden/>
    <w:rsid w:val="00604E20"/>
    <w:rPr>
      <w:sz w:val="16"/>
      <w:szCs w:val="16"/>
    </w:rPr>
  </w:style>
  <w:style w:type="paragraph" w:styleId="CommentText">
    <w:name w:val="annotation text"/>
    <w:basedOn w:val="Normal"/>
    <w:semiHidden/>
    <w:rsid w:val="000520BF"/>
  </w:style>
  <w:style w:type="paragraph" w:styleId="CommentSubject">
    <w:name w:val="annotation subject"/>
    <w:basedOn w:val="CommentText"/>
    <w:next w:val="CommentText"/>
    <w:semiHidden/>
    <w:rsid w:val="000520BF"/>
    <w:rPr>
      <w:b/>
      <w:bCs/>
    </w:rPr>
  </w:style>
  <w:style w:type="paragraph" w:customStyle="1" w:styleId="par1">
    <w:name w:val="par1"/>
    <w:basedOn w:val="Normal"/>
    <w:link w:val="par1Char"/>
    <w:rsid w:val="000520BF"/>
    <w:pPr>
      <w:widowControl/>
      <w:numPr>
        <w:numId w:val="9"/>
      </w:numPr>
    </w:pPr>
    <w:rPr>
      <w:lang w:val="x-none" w:eastAsia="x-none"/>
    </w:rPr>
  </w:style>
  <w:style w:type="character" w:customStyle="1" w:styleId="par1Char">
    <w:name w:val="par1 Char"/>
    <w:link w:val="par1"/>
    <w:locked/>
    <w:rsid w:val="00587C78"/>
    <w:rPr>
      <w:snapToGrid w:val="0"/>
      <w:kern w:val="28"/>
      <w:sz w:val="22"/>
      <w:lang w:val="x-none" w:eastAsia="x-none"/>
    </w:rPr>
  </w:style>
  <w:style w:type="character" w:customStyle="1" w:styleId="documentbody1">
    <w:name w:val="documentbody1"/>
    <w:rsid w:val="008C75F0"/>
    <w:rPr>
      <w:rFonts w:ascii="Verdana" w:hAnsi="Verdana" w:hint="default"/>
      <w:sz w:val="19"/>
      <w:szCs w:val="19"/>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5D7938"/>
  </w:style>
  <w:style w:type="paragraph" w:customStyle="1" w:styleId="ColorfulShading-Accent11">
    <w:name w:val="Colorful Shading - Accent 11"/>
    <w:hidden/>
    <w:uiPriority w:val="99"/>
    <w:semiHidden/>
    <w:rsid w:val="0084392E"/>
  </w:style>
  <w:style w:type="character" w:customStyle="1" w:styleId="bestsection">
    <w:name w:val="bestsection"/>
    <w:rsid w:val="007C551D"/>
  </w:style>
  <w:style w:type="paragraph" w:styleId="DocumentMap">
    <w:name w:val="Document Map"/>
    <w:basedOn w:val="Normal"/>
    <w:link w:val="DocumentMapChar"/>
    <w:rsid w:val="000520BF"/>
    <w:rPr>
      <w:rFonts w:ascii="Tahoma" w:hAnsi="Tahoma" w:cs="Tahoma"/>
      <w:sz w:val="16"/>
      <w:szCs w:val="16"/>
    </w:rPr>
  </w:style>
  <w:style w:type="character" w:customStyle="1" w:styleId="DocumentMapChar">
    <w:name w:val="Document Map Char"/>
    <w:link w:val="DocumentMap"/>
    <w:rsid w:val="001041FF"/>
    <w:rPr>
      <w:rFonts w:ascii="Tahoma" w:hAnsi="Tahoma" w:cs="Tahoma"/>
      <w:snapToGrid w:val="0"/>
      <w:kern w:val="28"/>
      <w:sz w:val="16"/>
      <w:szCs w:val="16"/>
    </w:rPr>
  </w:style>
  <w:style w:type="paragraph" w:styleId="EndnoteText">
    <w:name w:val="endnote text"/>
    <w:basedOn w:val="Normal"/>
    <w:link w:val="EndnoteTextChar"/>
    <w:rsid w:val="002C7427"/>
    <w:rPr>
      <w:sz w:val="20"/>
    </w:rPr>
  </w:style>
  <w:style w:type="character" w:customStyle="1" w:styleId="EndnoteTextChar">
    <w:name w:val="Endnote Text Char"/>
    <w:basedOn w:val="DefaultParagraphFont"/>
    <w:link w:val="EndnoteText"/>
    <w:rsid w:val="002C7427"/>
    <w:rPr>
      <w:snapToGrid w:val="0"/>
      <w:kern w:val="28"/>
    </w:rPr>
  </w:style>
  <w:style w:type="character" w:styleId="EndnoteReference">
    <w:name w:val="endnote reference"/>
    <w:rsid w:val="002C7427"/>
    <w:rPr>
      <w:vertAlign w:val="superscript"/>
    </w:rPr>
  </w:style>
  <w:style w:type="paragraph" w:styleId="TOC1">
    <w:name w:val="toc 1"/>
    <w:basedOn w:val="Normal"/>
    <w:next w:val="Normal"/>
    <w:rsid w:val="002C7427"/>
    <w:pPr>
      <w:tabs>
        <w:tab w:val="left" w:pos="360"/>
        <w:tab w:val="right" w:leader="dot" w:pos="9360"/>
      </w:tabs>
      <w:suppressAutoHyphens/>
      <w:ind w:left="360" w:right="720" w:hanging="360"/>
    </w:pPr>
    <w:rPr>
      <w:caps/>
      <w:noProof/>
    </w:rPr>
  </w:style>
  <w:style w:type="paragraph" w:styleId="TOC2">
    <w:name w:val="toc 2"/>
    <w:basedOn w:val="Normal"/>
    <w:next w:val="Normal"/>
    <w:rsid w:val="002C7427"/>
    <w:pPr>
      <w:tabs>
        <w:tab w:val="left" w:pos="720"/>
        <w:tab w:val="right" w:leader="dot" w:pos="9360"/>
      </w:tabs>
      <w:suppressAutoHyphens/>
      <w:ind w:left="720" w:right="720" w:hanging="360"/>
    </w:pPr>
    <w:rPr>
      <w:noProof/>
    </w:rPr>
  </w:style>
  <w:style w:type="paragraph" w:styleId="TOC3">
    <w:name w:val="toc 3"/>
    <w:basedOn w:val="Normal"/>
    <w:next w:val="Normal"/>
    <w:rsid w:val="002C742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C742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C742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C7427"/>
    <w:pPr>
      <w:tabs>
        <w:tab w:val="left" w:pos="2160"/>
        <w:tab w:val="right" w:leader="dot" w:pos="9360"/>
      </w:tabs>
      <w:suppressAutoHyphens/>
      <w:ind w:left="2160" w:hanging="360"/>
    </w:pPr>
    <w:rPr>
      <w:noProof/>
    </w:rPr>
  </w:style>
  <w:style w:type="paragraph" w:styleId="TOC7">
    <w:name w:val="toc 7"/>
    <w:basedOn w:val="Normal"/>
    <w:next w:val="Normal"/>
    <w:autoRedefine/>
    <w:rsid w:val="002C7427"/>
    <w:pPr>
      <w:tabs>
        <w:tab w:val="left" w:pos="2520"/>
        <w:tab w:val="right" w:leader="dot" w:pos="9360"/>
      </w:tabs>
      <w:suppressAutoHyphens/>
      <w:ind w:left="2520" w:hanging="360"/>
    </w:pPr>
    <w:rPr>
      <w:noProof/>
    </w:rPr>
  </w:style>
  <w:style w:type="paragraph" w:styleId="TOC8">
    <w:name w:val="toc 8"/>
    <w:basedOn w:val="Normal"/>
    <w:next w:val="Normal"/>
    <w:autoRedefine/>
    <w:rsid w:val="002C7427"/>
    <w:pPr>
      <w:tabs>
        <w:tab w:val="left" w:pos="2880"/>
        <w:tab w:val="right" w:leader="dot" w:pos="9360"/>
      </w:tabs>
      <w:suppressAutoHyphens/>
      <w:ind w:left="2880" w:hanging="360"/>
    </w:pPr>
    <w:rPr>
      <w:noProof/>
    </w:rPr>
  </w:style>
  <w:style w:type="paragraph" w:styleId="TOC9">
    <w:name w:val="toc 9"/>
    <w:basedOn w:val="Normal"/>
    <w:next w:val="Normal"/>
    <w:autoRedefine/>
    <w:rsid w:val="002C7427"/>
    <w:pPr>
      <w:tabs>
        <w:tab w:val="left" w:pos="3240"/>
        <w:tab w:val="right" w:leader="dot" w:pos="9360"/>
      </w:tabs>
      <w:suppressAutoHyphens/>
      <w:ind w:left="3240" w:hanging="360"/>
    </w:pPr>
    <w:rPr>
      <w:noProof/>
    </w:rPr>
  </w:style>
  <w:style w:type="paragraph" w:styleId="TOAHeading">
    <w:name w:val="toa heading"/>
    <w:basedOn w:val="Normal"/>
    <w:next w:val="Normal"/>
    <w:rsid w:val="002C7427"/>
    <w:pPr>
      <w:tabs>
        <w:tab w:val="right" w:pos="9360"/>
      </w:tabs>
      <w:suppressAutoHyphens/>
    </w:pPr>
  </w:style>
  <w:style w:type="character" w:customStyle="1" w:styleId="EquationCaption">
    <w:name w:val="_Equation Caption"/>
    <w:rsid w:val="002C7427"/>
  </w:style>
  <w:style w:type="paragraph" w:styleId="BlockText">
    <w:name w:val="Block Text"/>
    <w:basedOn w:val="Normal"/>
    <w:rsid w:val="002C7427"/>
    <w:pPr>
      <w:spacing w:after="240"/>
      <w:ind w:left="1440" w:right="1440"/>
    </w:pPr>
  </w:style>
  <w:style w:type="paragraph" w:customStyle="1" w:styleId="Paratitle">
    <w:name w:val="Para title"/>
    <w:basedOn w:val="Normal"/>
    <w:rsid w:val="002C7427"/>
    <w:pPr>
      <w:tabs>
        <w:tab w:val="center" w:pos="9270"/>
      </w:tabs>
      <w:spacing w:after="240"/>
    </w:pPr>
    <w:rPr>
      <w:spacing w:val="-2"/>
    </w:rPr>
  </w:style>
  <w:style w:type="paragraph" w:customStyle="1" w:styleId="Bullet">
    <w:name w:val="Bullet"/>
    <w:basedOn w:val="Normal"/>
    <w:rsid w:val="002C7427"/>
    <w:pPr>
      <w:tabs>
        <w:tab w:val="left" w:pos="2160"/>
      </w:tabs>
      <w:spacing w:after="220"/>
      <w:ind w:left="2160" w:hanging="720"/>
    </w:pPr>
  </w:style>
  <w:style w:type="paragraph" w:customStyle="1" w:styleId="TableFormat">
    <w:name w:val="TableFormat"/>
    <w:basedOn w:val="Bullet"/>
    <w:rsid w:val="002C7427"/>
    <w:pPr>
      <w:tabs>
        <w:tab w:val="clear" w:pos="2160"/>
        <w:tab w:val="left" w:pos="5040"/>
      </w:tabs>
      <w:ind w:left="5040" w:hanging="3600"/>
    </w:pPr>
  </w:style>
  <w:style w:type="paragraph" w:customStyle="1" w:styleId="TOCTitle">
    <w:name w:val="TOC Title"/>
    <w:basedOn w:val="Normal"/>
    <w:rsid w:val="002C74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7427"/>
    <w:pPr>
      <w:jc w:val="center"/>
    </w:pPr>
    <w:rPr>
      <w:rFonts w:ascii="Times New Roman Bold" w:hAnsi="Times New Roman Bold"/>
      <w:b/>
      <w:bCs/>
      <w:caps/>
      <w:szCs w:val="22"/>
    </w:rPr>
  </w:style>
  <w:style w:type="character" w:customStyle="1" w:styleId="Heading1Char">
    <w:name w:val="Heading 1 Char"/>
    <w:link w:val="Heading1"/>
    <w:rsid w:val="002C7427"/>
    <w:rPr>
      <w:rFonts w:ascii="Times New Roman Bold" w:hAnsi="Times New Roman Bold"/>
      <w:b/>
      <w:caps/>
      <w:snapToGrid w:val="0"/>
      <w:kern w:val="28"/>
      <w:sz w:val="22"/>
    </w:rPr>
  </w:style>
  <w:style w:type="character" w:customStyle="1" w:styleId="Heading2Char">
    <w:name w:val="Heading 2 Char"/>
    <w:link w:val="Heading2"/>
    <w:rsid w:val="002C7427"/>
    <w:rPr>
      <w:b/>
      <w:snapToGrid w:val="0"/>
      <w:kern w:val="28"/>
      <w:sz w:val="22"/>
    </w:rPr>
  </w:style>
  <w:style w:type="character" w:customStyle="1" w:styleId="Heading3Char">
    <w:name w:val="Heading 3 Char"/>
    <w:link w:val="Heading3"/>
    <w:rsid w:val="002C7427"/>
    <w:rPr>
      <w:b/>
      <w:snapToGrid w:val="0"/>
      <w:kern w:val="28"/>
      <w:sz w:val="22"/>
    </w:rPr>
  </w:style>
  <w:style w:type="character" w:customStyle="1" w:styleId="Heading4Char">
    <w:name w:val="Heading 4 Char"/>
    <w:link w:val="Heading4"/>
    <w:rsid w:val="002C7427"/>
    <w:rPr>
      <w:b/>
      <w:snapToGrid w:val="0"/>
      <w:kern w:val="28"/>
      <w:sz w:val="22"/>
    </w:rPr>
  </w:style>
  <w:style w:type="character" w:customStyle="1" w:styleId="Heading5Char">
    <w:name w:val="Heading 5 Char"/>
    <w:link w:val="Heading5"/>
    <w:rsid w:val="002C7427"/>
    <w:rPr>
      <w:b/>
      <w:snapToGrid w:val="0"/>
      <w:kern w:val="28"/>
      <w:sz w:val="22"/>
    </w:rPr>
  </w:style>
  <w:style w:type="character" w:customStyle="1" w:styleId="Heading6Char">
    <w:name w:val="Heading 6 Char"/>
    <w:link w:val="Heading6"/>
    <w:rsid w:val="002C7427"/>
    <w:rPr>
      <w:b/>
      <w:snapToGrid w:val="0"/>
      <w:kern w:val="28"/>
      <w:sz w:val="22"/>
    </w:rPr>
  </w:style>
  <w:style w:type="character" w:customStyle="1" w:styleId="Heading7Char">
    <w:name w:val="Heading 7 Char"/>
    <w:link w:val="Heading7"/>
    <w:rsid w:val="002C7427"/>
    <w:rPr>
      <w:b/>
      <w:snapToGrid w:val="0"/>
      <w:kern w:val="28"/>
      <w:sz w:val="22"/>
    </w:rPr>
  </w:style>
  <w:style w:type="character" w:customStyle="1" w:styleId="Heading8Char">
    <w:name w:val="Heading 8 Char"/>
    <w:link w:val="Heading8"/>
    <w:rsid w:val="002C7427"/>
    <w:rPr>
      <w:b/>
      <w:snapToGrid w:val="0"/>
      <w:kern w:val="28"/>
      <w:sz w:val="22"/>
    </w:rPr>
  </w:style>
  <w:style w:type="character" w:customStyle="1" w:styleId="Heading9Char">
    <w:name w:val="Heading 9 Char"/>
    <w:link w:val="Heading9"/>
    <w:rsid w:val="002C7427"/>
    <w:rPr>
      <w:b/>
      <w:snapToGrid w:val="0"/>
      <w:kern w:val="28"/>
      <w:sz w:val="22"/>
    </w:rPr>
  </w:style>
  <w:style w:type="character" w:customStyle="1" w:styleId="apple-converted-space">
    <w:name w:val="apple-converted-space"/>
    <w:basedOn w:val="DefaultParagraphFont"/>
    <w:rsid w:val="00104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0BF"/>
    <w:pPr>
      <w:widowControl w:val="0"/>
    </w:pPr>
    <w:rPr>
      <w:snapToGrid w:val="0"/>
      <w:kern w:val="28"/>
      <w:sz w:val="22"/>
    </w:rPr>
  </w:style>
  <w:style w:type="paragraph" w:styleId="Heading1">
    <w:name w:val="heading 1"/>
    <w:basedOn w:val="Normal"/>
    <w:next w:val="ParaNum"/>
    <w:link w:val="Heading1Char"/>
    <w:qFormat/>
    <w:rsid w:val="000520BF"/>
    <w:pPr>
      <w:keepNext/>
      <w:numPr>
        <w:numId w:val="16"/>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20BF"/>
    <w:pPr>
      <w:keepNext/>
      <w:numPr>
        <w:ilvl w:val="1"/>
        <w:numId w:val="16"/>
      </w:numPr>
      <w:spacing w:after="120"/>
      <w:outlineLvl w:val="1"/>
    </w:pPr>
    <w:rPr>
      <w:b/>
    </w:rPr>
  </w:style>
  <w:style w:type="paragraph" w:styleId="Heading3">
    <w:name w:val="heading 3"/>
    <w:basedOn w:val="Normal"/>
    <w:next w:val="ParaNum"/>
    <w:link w:val="Heading3Char"/>
    <w:qFormat/>
    <w:rsid w:val="000520BF"/>
    <w:pPr>
      <w:keepNext/>
      <w:numPr>
        <w:ilvl w:val="2"/>
        <w:numId w:val="16"/>
      </w:numPr>
      <w:spacing w:after="120"/>
      <w:outlineLvl w:val="2"/>
    </w:pPr>
    <w:rPr>
      <w:b/>
    </w:rPr>
  </w:style>
  <w:style w:type="paragraph" w:styleId="Heading4">
    <w:name w:val="heading 4"/>
    <w:basedOn w:val="Normal"/>
    <w:next w:val="ParaNum"/>
    <w:link w:val="Heading4Char"/>
    <w:qFormat/>
    <w:rsid w:val="000520BF"/>
    <w:pPr>
      <w:keepNext/>
      <w:numPr>
        <w:ilvl w:val="3"/>
        <w:numId w:val="16"/>
      </w:numPr>
      <w:spacing w:after="120"/>
      <w:outlineLvl w:val="3"/>
    </w:pPr>
    <w:rPr>
      <w:b/>
    </w:rPr>
  </w:style>
  <w:style w:type="paragraph" w:styleId="Heading5">
    <w:name w:val="heading 5"/>
    <w:basedOn w:val="Normal"/>
    <w:next w:val="ParaNum"/>
    <w:link w:val="Heading5Char"/>
    <w:qFormat/>
    <w:rsid w:val="000520BF"/>
    <w:pPr>
      <w:keepNext/>
      <w:numPr>
        <w:ilvl w:val="4"/>
        <w:numId w:val="16"/>
      </w:numPr>
      <w:suppressAutoHyphens/>
      <w:spacing w:after="120"/>
      <w:outlineLvl w:val="4"/>
    </w:pPr>
    <w:rPr>
      <w:b/>
    </w:rPr>
  </w:style>
  <w:style w:type="paragraph" w:styleId="Heading6">
    <w:name w:val="heading 6"/>
    <w:basedOn w:val="Normal"/>
    <w:next w:val="ParaNum"/>
    <w:link w:val="Heading6Char"/>
    <w:qFormat/>
    <w:rsid w:val="000520BF"/>
    <w:pPr>
      <w:numPr>
        <w:ilvl w:val="5"/>
        <w:numId w:val="16"/>
      </w:numPr>
      <w:spacing w:after="120"/>
      <w:outlineLvl w:val="5"/>
    </w:pPr>
    <w:rPr>
      <w:b/>
    </w:rPr>
  </w:style>
  <w:style w:type="paragraph" w:styleId="Heading7">
    <w:name w:val="heading 7"/>
    <w:basedOn w:val="Normal"/>
    <w:next w:val="ParaNum"/>
    <w:link w:val="Heading7Char"/>
    <w:qFormat/>
    <w:rsid w:val="000520BF"/>
    <w:pPr>
      <w:numPr>
        <w:ilvl w:val="6"/>
        <w:numId w:val="16"/>
      </w:numPr>
      <w:spacing w:after="120"/>
      <w:outlineLvl w:val="6"/>
    </w:pPr>
    <w:rPr>
      <w:b/>
    </w:rPr>
  </w:style>
  <w:style w:type="paragraph" w:styleId="Heading8">
    <w:name w:val="heading 8"/>
    <w:basedOn w:val="Normal"/>
    <w:next w:val="ParaNum"/>
    <w:link w:val="Heading8Char"/>
    <w:qFormat/>
    <w:rsid w:val="000520BF"/>
    <w:pPr>
      <w:numPr>
        <w:ilvl w:val="7"/>
        <w:numId w:val="16"/>
      </w:numPr>
      <w:tabs>
        <w:tab w:val="left" w:pos="5760"/>
      </w:tabs>
      <w:spacing w:after="120"/>
      <w:outlineLvl w:val="7"/>
    </w:pPr>
    <w:rPr>
      <w:b/>
    </w:rPr>
  </w:style>
  <w:style w:type="paragraph" w:styleId="Heading9">
    <w:name w:val="heading 9"/>
    <w:basedOn w:val="Normal"/>
    <w:next w:val="ParaNum"/>
    <w:link w:val="Heading9Char"/>
    <w:qFormat/>
    <w:rsid w:val="000520B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uiPriority w:val="99"/>
    <w:rsid w:val="000520BF"/>
    <w:pPr>
      <w:spacing w:after="120"/>
    </w:pPr>
  </w:style>
  <w:style w:type="character" w:styleId="FootnoteReference">
    <w:name w:val="footnote reference"/>
    <w:aliases w:val="Style 12,(NECG) Footnote Reference,Appel note de bas de p,Style 124,Style 4,Style 13,o,fr,Style 3,FR,Style 17,Footnote Reference/,Style 6"/>
    <w:uiPriority w:val="99"/>
    <w:rsid w:val="002C7427"/>
    <w:rPr>
      <w:rFonts w:ascii="Times New Roman" w:hAnsi="Times New Roman"/>
      <w:dstrike w:val="0"/>
      <w:color w:val="auto"/>
      <w:sz w:val="20"/>
      <w:vertAlign w:val="superscript"/>
    </w:rPr>
  </w:style>
  <w:style w:type="character" w:styleId="Hyperlink">
    <w:name w:val="Hyperlink"/>
    <w:rsid w:val="002C7427"/>
    <w:rPr>
      <w:color w:val="0000FF"/>
      <w:u w:val="single"/>
    </w:rPr>
  </w:style>
  <w:style w:type="character" w:customStyle="1" w:styleId="documentbody">
    <w:name w:val="documentbody"/>
    <w:basedOn w:val="DefaultParagraphFont"/>
    <w:rsid w:val="0077433A"/>
  </w:style>
  <w:style w:type="character" w:customStyle="1" w:styleId="searchterm">
    <w:name w:val="searchterm"/>
    <w:basedOn w:val="DefaultParagraphFont"/>
    <w:rsid w:val="0077433A"/>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77433A"/>
  </w:style>
  <w:style w:type="character" w:customStyle="1" w:styleId="ptext-0">
    <w:name w:val="ptext-0"/>
    <w:basedOn w:val="DefaultParagraphFont"/>
    <w:rsid w:val="0077433A"/>
  </w:style>
  <w:style w:type="paragraph" w:styleId="Header">
    <w:name w:val="header"/>
    <w:basedOn w:val="Normal"/>
    <w:autoRedefine/>
    <w:rsid w:val="000520BF"/>
    <w:pPr>
      <w:tabs>
        <w:tab w:val="center" w:pos="4680"/>
        <w:tab w:val="right" w:pos="9360"/>
      </w:tabs>
    </w:pPr>
    <w:rPr>
      <w:b/>
    </w:rPr>
  </w:style>
  <w:style w:type="paragraph" w:styleId="Footer">
    <w:name w:val="footer"/>
    <w:basedOn w:val="Normal"/>
    <w:link w:val="FooterChar"/>
    <w:uiPriority w:val="99"/>
    <w:rsid w:val="000520BF"/>
    <w:pPr>
      <w:tabs>
        <w:tab w:val="center" w:pos="4320"/>
        <w:tab w:val="right" w:pos="8640"/>
      </w:tabs>
    </w:pPr>
  </w:style>
  <w:style w:type="paragraph" w:styleId="BalloonText">
    <w:name w:val="Balloon Text"/>
    <w:basedOn w:val="Normal"/>
    <w:semiHidden/>
    <w:rsid w:val="000520BF"/>
    <w:rPr>
      <w:rFonts w:ascii="Tahoma" w:hAnsi="Tahoma" w:cs="Tahoma"/>
      <w:sz w:val="16"/>
      <w:szCs w:val="16"/>
    </w:rPr>
  </w:style>
  <w:style w:type="paragraph" w:customStyle="1" w:styleId="ParaNum">
    <w:name w:val="ParaNum"/>
    <w:basedOn w:val="Normal"/>
    <w:link w:val="ParaNumChar"/>
    <w:rsid w:val="000520BF"/>
    <w:pPr>
      <w:numPr>
        <w:numId w:val="15"/>
      </w:numPr>
      <w:spacing w:after="120"/>
    </w:pPr>
  </w:style>
  <w:style w:type="character" w:customStyle="1" w:styleId="ParaNumChar">
    <w:name w:val="ParaNum Char"/>
    <w:link w:val="ParaNum"/>
    <w:rsid w:val="00995B97"/>
    <w:rPr>
      <w:snapToGrid w:val="0"/>
      <w:kern w:val="28"/>
      <w:sz w:val="22"/>
    </w:rPr>
  </w:style>
  <w:style w:type="paragraph" w:customStyle="1" w:styleId="MediumGrid1-Accent21">
    <w:name w:val="Medium Grid 1 - Accent 21"/>
    <w:basedOn w:val="Normal"/>
    <w:uiPriority w:val="34"/>
    <w:qFormat/>
    <w:rsid w:val="00F34496"/>
    <w:pPr>
      <w:ind w:left="720"/>
    </w:pPr>
  </w:style>
  <w:style w:type="character" w:customStyle="1" w:styleId="FooterChar">
    <w:name w:val="Footer Char"/>
    <w:link w:val="Footer"/>
    <w:uiPriority w:val="99"/>
    <w:rsid w:val="00C92CF2"/>
    <w:rPr>
      <w:snapToGrid w:val="0"/>
      <w:kern w:val="28"/>
      <w:sz w:val="22"/>
    </w:rPr>
  </w:style>
  <w:style w:type="character" w:styleId="PageNumber">
    <w:name w:val="page number"/>
    <w:basedOn w:val="DefaultParagraphFont"/>
    <w:rsid w:val="002C7427"/>
  </w:style>
  <w:style w:type="character" w:styleId="CommentReference">
    <w:name w:val="annotation reference"/>
    <w:semiHidden/>
    <w:rsid w:val="00604E20"/>
    <w:rPr>
      <w:sz w:val="16"/>
      <w:szCs w:val="16"/>
    </w:rPr>
  </w:style>
  <w:style w:type="paragraph" w:styleId="CommentText">
    <w:name w:val="annotation text"/>
    <w:basedOn w:val="Normal"/>
    <w:semiHidden/>
    <w:rsid w:val="000520BF"/>
  </w:style>
  <w:style w:type="paragraph" w:styleId="CommentSubject">
    <w:name w:val="annotation subject"/>
    <w:basedOn w:val="CommentText"/>
    <w:next w:val="CommentText"/>
    <w:semiHidden/>
    <w:rsid w:val="000520BF"/>
    <w:rPr>
      <w:b/>
      <w:bCs/>
    </w:rPr>
  </w:style>
  <w:style w:type="paragraph" w:customStyle="1" w:styleId="par1">
    <w:name w:val="par1"/>
    <w:basedOn w:val="Normal"/>
    <w:link w:val="par1Char"/>
    <w:rsid w:val="000520BF"/>
    <w:pPr>
      <w:widowControl/>
      <w:numPr>
        <w:numId w:val="9"/>
      </w:numPr>
    </w:pPr>
    <w:rPr>
      <w:lang w:val="x-none" w:eastAsia="x-none"/>
    </w:rPr>
  </w:style>
  <w:style w:type="character" w:customStyle="1" w:styleId="par1Char">
    <w:name w:val="par1 Char"/>
    <w:link w:val="par1"/>
    <w:locked/>
    <w:rsid w:val="00587C78"/>
    <w:rPr>
      <w:snapToGrid w:val="0"/>
      <w:kern w:val="28"/>
      <w:sz w:val="22"/>
      <w:lang w:val="x-none" w:eastAsia="x-none"/>
    </w:rPr>
  </w:style>
  <w:style w:type="character" w:customStyle="1" w:styleId="documentbody1">
    <w:name w:val="documentbody1"/>
    <w:rsid w:val="008C75F0"/>
    <w:rPr>
      <w:rFonts w:ascii="Verdana" w:hAnsi="Verdana" w:hint="default"/>
      <w:sz w:val="19"/>
      <w:szCs w:val="19"/>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5D7938"/>
  </w:style>
  <w:style w:type="paragraph" w:customStyle="1" w:styleId="ColorfulShading-Accent11">
    <w:name w:val="Colorful Shading - Accent 11"/>
    <w:hidden/>
    <w:uiPriority w:val="99"/>
    <w:semiHidden/>
    <w:rsid w:val="0084392E"/>
  </w:style>
  <w:style w:type="character" w:customStyle="1" w:styleId="bestsection">
    <w:name w:val="bestsection"/>
    <w:rsid w:val="007C551D"/>
  </w:style>
  <w:style w:type="paragraph" w:styleId="DocumentMap">
    <w:name w:val="Document Map"/>
    <w:basedOn w:val="Normal"/>
    <w:link w:val="DocumentMapChar"/>
    <w:rsid w:val="000520BF"/>
    <w:rPr>
      <w:rFonts w:ascii="Tahoma" w:hAnsi="Tahoma" w:cs="Tahoma"/>
      <w:sz w:val="16"/>
      <w:szCs w:val="16"/>
    </w:rPr>
  </w:style>
  <w:style w:type="character" w:customStyle="1" w:styleId="DocumentMapChar">
    <w:name w:val="Document Map Char"/>
    <w:link w:val="DocumentMap"/>
    <w:rsid w:val="001041FF"/>
    <w:rPr>
      <w:rFonts w:ascii="Tahoma" w:hAnsi="Tahoma" w:cs="Tahoma"/>
      <w:snapToGrid w:val="0"/>
      <w:kern w:val="28"/>
      <w:sz w:val="16"/>
      <w:szCs w:val="16"/>
    </w:rPr>
  </w:style>
  <w:style w:type="paragraph" w:styleId="EndnoteText">
    <w:name w:val="endnote text"/>
    <w:basedOn w:val="Normal"/>
    <w:link w:val="EndnoteTextChar"/>
    <w:rsid w:val="002C7427"/>
    <w:rPr>
      <w:sz w:val="20"/>
    </w:rPr>
  </w:style>
  <w:style w:type="character" w:customStyle="1" w:styleId="EndnoteTextChar">
    <w:name w:val="Endnote Text Char"/>
    <w:basedOn w:val="DefaultParagraphFont"/>
    <w:link w:val="EndnoteText"/>
    <w:rsid w:val="002C7427"/>
    <w:rPr>
      <w:snapToGrid w:val="0"/>
      <w:kern w:val="28"/>
    </w:rPr>
  </w:style>
  <w:style w:type="character" w:styleId="EndnoteReference">
    <w:name w:val="endnote reference"/>
    <w:rsid w:val="002C7427"/>
    <w:rPr>
      <w:vertAlign w:val="superscript"/>
    </w:rPr>
  </w:style>
  <w:style w:type="paragraph" w:styleId="TOC1">
    <w:name w:val="toc 1"/>
    <w:basedOn w:val="Normal"/>
    <w:next w:val="Normal"/>
    <w:rsid w:val="002C7427"/>
    <w:pPr>
      <w:tabs>
        <w:tab w:val="left" w:pos="360"/>
        <w:tab w:val="right" w:leader="dot" w:pos="9360"/>
      </w:tabs>
      <w:suppressAutoHyphens/>
      <w:ind w:left="360" w:right="720" w:hanging="360"/>
    </w:pPr>
    <w:rPr>
      <w:caps/>
      <w:noProof/>
    </w:rPr>
  </w:style>
  <w:style w:type="paragraph" w:styleId="TOC2">
    <w:name w:val="toc 2"/>
    <w:basedOn w:val="Normal"/>
    <w:next w:val="Normal"/>
    <w:rsid w:val="002C7427"/>
    <w:pPr>
      <w:tabs>
        <w:tab w:val="left" w:pos="720"/>
        <w:tab w:val="right" w:leader="dot" w:pos="9360"/>
      </w:tabs>
      <w:suppressAutoHyphens/>
      <w:ind w:left="720" w:right="720" w:hanging="360"/>
    </w:pPr>
    <w:rPr>
      <w:noProof/>
    </w:rPr>
  </w:style>
  <w:style w:type="paragraph" w:styleId="TOC3">
    <w:name w:val="toc 3"/>
    <w:basedOn w:val="Normal"/>
    <w:next w:val="Normal"/>
    <w:rsid w:val="002C742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C742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C742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C7427"/>
    <w:pPr>
      <w:tabs>
        <w:tab w:val="left" w:pos="2160"/>
        <w:tab w:val="right" w:leader="dot" w:pos="9360"/>
      </w:tabs>
      <w:suppressAutoHyphens/>
      <w:ind w:left="2160" w:hanging="360"/>
    </w:pPr>
    <w:rPr>
      <w:noProof/>
    </w:rPr>
  </w:style>
  <w:style w:type="paragraph" w:styleId="TOC7">
    <w:name w:val="toc 7"/>
    <w:basedOn w:val="Normal"/>
    <w:next w:val="Normal"/>
    <w:autoRedefine/>
    <w:rsid w:val="002C7427"/>
    <w:pPr>
      <w:tabs>
        <w:tab w:val="left" w:pos="2520"/>
        <w:tab w:val="right" w:leader="dot" w:pos="9360"/>
      </w:tabs>
      <w:suppressAutoHyphens/>
      <w:ind w:left="2520" w:hanging="360"/>
    </w:pPr>
    <w:rPr>
      <w:noProof/>
    </w:rPr>
  </w:style>
  <w:style w:type="paragraph" w:styleId="TOC8">
    <w:name w:val="toc 8"/>
    <w:basedOn w:val="Normal"/>
    <w:next w:val="Normal"/>
    <w:autoRedefine/>
    <w:rsid w:val="002C7427"/>
    <w:pPr>
      <w:tabs>
        <w:tab w:val="left" w:pos="2880"/>
        <w:tab w:val="right" w:leader="dot" w:pos="9360"/>
      </w:tabs>
      <w:suppressAutoHyphens/>
      <w:ind w:left="2880" w:hanging="360"/>
    </w:pPr>
    <w:rPr>
      <w:noProof/>
    </w:rPr>
  </w:style>
  <w:style w:type="paragraph" w:styleId="TOC9">
    <w:name w:val="toc 9"/>
    <w:basedOn w:val="Normal"/>
    <w:next w:val="Normal"/>
    <w:autoRedefine/>
    <w:rsid w:val="002C7427"/>
    <w:pPr>
      <w:tabs>
        <w:tab w:val="left" w:pos="3240"/>
        <w:tab w:val="right" w:leader="dot" w:pos="9360"/>
      </w:tabs>
      <w:suppressAutoHyphens/>
      <w:ind w:left="3240" w:hanging="360"/>
    </w:pPr>
    <w:rPr>
      <w:noProof/>
    </w:rPr>
  </w:style>
  <w:style w:type="paragraph" w:styleId="TOAHeading">
    <w:name w:val="toa heading"/>
    <w:basedOn w:val="Normal"/>
    <w:next w:val="Normal"/>
    <w:rsid w:val="002C7427"/>
    <w:pPr>
      <w:tabs>
        <w:tab w:val="right" w:pos="9360"/>
      </w:tabs>
      <w:suppressAutoHyphens/>
    </w:pPr>
  </w:style>
  <w:style w:type="character" w:customStyle="1" w:styleId="EquationCaption">
    <w:name w:val="_Equation Caption"/>
    <w:rsid w:val="002C7427"/>
  </w:style>
  <w:style w:type="paragraph" w:styleId="BlockText">
    <w:name w:val="Block Text"/>
    <w:basedOn w:val="Normal"/>
    <w:rsid w:val="002C7427"/>
    <w:pPr>
      <w:spacing w:after="240"/>
      <w:ind w:left="1440" w:right="1440"/>
    </w:pPr>
  </w:style>
  <w:style w:type="paragraph" w:customStyle="1" w:styleId="Paratitle">
    <w:name w:val="Para title"/>
    <w:basedOn w:val="Normal"/>
    <w:rsid w:val="002C7427"/>
    <w:pPr>
      <w:tabs>
        <w:tab w:val="center" w:pos="9270"/>
      </w:tabs>
      <w:spacing w:after="240"/>
    </w:pPr>
    <w:rPr>
      <w:spacing w:val="-2"/>
    </w:rPr>
  </w:style>
  <w:style w:type="paragraph" w:customStyle="1" w:styleId="Bullet">
    <w:name w:val="Bullet"/>
    <w:basedOn w:val="Normal"/>
    <w:rsid w:val="002C7427"/>
    <w:pPr>
      <w:tabs>
        <w:tab w:val="left" w:pos="2160"/>
      </w:tabs>
      <w:spacing w:after="220"/>
      <w:ind w:left="2160" w:hanging="720"/>
    </w:pPr>
  </w:style>
  <w:style w:type="paragraph" w:customStyle="1" w:styleId="TableFormat">
    <w:name w:val="TableFormat"/>
    <w:basedOn w:val="Bullet"/>
    <w:rsid w:val="002C7427"/>
    <w:pPr>
      <w:tabs>
        <w:tab w:val="clear" w:pos="2160"/>
        <w:tab w:val="left" w:pos="5040"/>
      </w:tabs>
      <w:ind w:left="5040" w:hanging="3600"/>
    </w:pPr>
  </w:style>
  <w:style w:type="paragraph" w:customStyle="1" w:styleId="TOCTitle">
    <w:name w:val="TOC Title"/>
    <w:basedOn w:val="Normal"/>
    <w:rsid w:val="002C74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7427"/>
    <w:pPr>
      <w:jc w:val="center"/>
    </w:pPr>
    <w:rPr>
      <w:rFonts w:ascii="Times New Roman Bold" w:hAnsi="Times New Roman Bold"/>
      <w:b/>
      <w:bCs/>
      <w:caps/>
      <w:szCs w:val="22"/>
    </w:rPr>
  </w:style>
  <w:style w:type="character" w:customStyle="1" w:styleId="Heading1Char">
    <w:name w:val="Heading 1 Char"/>
    <w:link w:val="Heading1"/>
    <w:rsid w:val="002C7427"/>
    <w:rPr>
      <w:rFonts w:ascii="Times New Roman Bold" w:hAnsi="Times New Roman Bold"/>
      <w:b/>
      <w:caps/>
      <w:snapToGrid w:val="0"/>
      <w:kern w:val="28"/>
      <w:sz w:val="22"/>
    </w:rPr>
  </w:style>
  <w:style w:type="character" w:customStyle="1" w:styleId="Heading2Char">
    <w:name w:val="Heading 2 Char"/>
    <w:link w:val="Heading2"/>
    <w:rsid w:val="002C7427"/>
    <w:rPr>
      <w:b/>
      <w:snapToGrid w:val="0"/>
      <w:kern w:val="28"/>
      <w:sz w:val="22"/>
    </w:rPr>
  </w:style>
  <w:style w:type="character" w:customStyle="1" w:styleId="Heading3Char">
    <w:name w:val="Heading 3 Char"/>
    <w:link w:val="Heading3"/>
    <w:rsid w:val="002C7427"/>
    <w:rPr>
      <w:b/>
      <w:snapToGrid w:val="0"/>
      <w:kern w:val="28"/>
      <w:sz w:val="22"/>
    </w:rPr>
  </w:style>
  <w:style w:type="character" w:customStyle="1" w:styleId="Heading4Char">
    <w:name w:val="Heading 4 Char"/>
    <w:link w:val="Heading4"/>
    <w:rsid w:val="002C7427"/>
    <w:rPr>
      <w:b/>
      <w:snapToGrid w:val="0"/>
      <w:kern w:val="28"/>
      <w:sz w:val="22"/>
    </w:rPr>
  </w:style>
  <w:style w:type="character" w:customStyle="1" w:styleId="Heading5Char">
    <w:name w:val="Heading 5 Char"/>
    <w:link w:val="Heading5"/>
    <w:rsid w:val="002C7427"/>
    <w:rPr>
      <w:b/>
      <w:snapToGrid w:val="0"/>
      <w:kern w:val="28"/>
      <w:sz w:val="22"/>
    </w:rPr>
  </w:style>
  <w:style w:type="character" w:customStyle="1" w:styleId="Heading6Char">
    <w:name w:val="Heading 6 Char"/>
    <w:link w:val="Heading6"/>
    <w:rsid w:val="002C7427"/>
    <w:rPr>
      <w:b/>
      <w:snapToGrid w:val="0"/>
      <w:kern w:val="28"/>
      <w:sz w:val="22"/>
    </w:rPr>
  </w:style>
  <w:style w:type="character" w:customStyle="1" w:styleId="Heading7Char">
    <w:name w:val="Heading 7 Char"/>
    <w:link w:val="Heading7"/>
    <w:rsid w:val="002C7427"/>
    <w:rPr>
      <w:b/>
      <w:snapToGrid w:val="0"/>
      <w:kern w:val="28"/>
      <w:sz w:val="22"/>
    </w:rPr>
  </w:style>
  <w:style w:type="character" w:customStyle="1" w:styleId="Heading8Char">
    <w:name w:val="Heading 8 Char"/>
    <w:link w:val="Heading8"/>
    <w:rsid w:val="002C7427"/>
    <w:rPr>
      <w:b/>
      <w:snapToGrid w:val="0"/>
      <w:kern w:val="28"/>
      <w:sz w:val="22"/>
    </w:rPr>
  </w:style>
  <w:style w:type="character" w:customStyle="1" w:styleId="Heading9Char">
    <w:name w:val="Heading 9 Char"/>
    <w:link w:val="Heading9"/>
    <w:rsid w:val="002C7427"/>
    <w:rPr>
      <w:b/>
      <w:snapToGrid w:val="0"/>
      <w:kern w:val="28"/>
      <w:sz w:val="22"/>
    </w:rPr>
  </w:style>
  <w:style w:type="character" w:customStyle="1" w:styleId="apple-converted-space">
    <w:name w:val="apple-converted-space"/>
    <w:basedOn w:val="DefaultParagraphFont"/>
    <w:rsid w:val="0010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2737">
      <w:bodyDiv w:val="1"/>
      <w:marLeft w:val="0"/>
      <w:marRight w:val="0"/>
      <w:marTop w:val="0"/>
      <w:marBottom w:val="0"/>
      <w:divBdr>
        <w:top w:val="none" w:sz="0" w:space="0" w:color="auto"/>
        <w:left w:val="none" w:sz="0" w:space="0" w:color="auto"/>
        <w:bottom w:val="none" w:sz="0" w:space="0" w:color="auto"/>
        <w:right w:val="none" w:sz="0" w:space="0" w:color="auto"/>
      </w:divBdr>
    </w:div>
    <w:div w:id="893856557">
      <w:bodyDiv w:val="1"/>
      <w:marLeft w:val="0"/>
      <w:marRight w:val="0"/>
      <w:marTop w:val="0"/>
      <w:marBottom w:val="0"/>
      <w:divBdr>
        <w:top w:val="none" w:sz="0" w:space="0" w:color="auto"/>
        <w:left w:val="none" w:sz="0" w:space="0" w:color="auto"/>
        <w:bottom w:val="none" w:sz="0" w:space="0" w:color="auto"/>
        <w:right w:val="none" w:sz="0" w:space="0" w:color="auto"/>
      </w:divBdr>
      <w:divsChild>
        <w:div w:id="2078698519">
          <w:marLeft w:val="0"/>
          <w:marRight w:val="0"/>
          <w:marTop w:val="0"/>
          <w:marBottom w:val="0"/>
          <w:divBdr>
            <w:top w:val="none" w:sz="0" w:space="0" w:color="auto"/>
            <w:left w:val="none" w:sz="0" w:space="0" w:color="auto"/>
            <w:bottom w:val="none" w:sz="0" w:space="0" w:color="auto"/>
            <w:right w:val="none" w:sz="0" w:space="0" w:color="auto"/>
          </w:divBdr>
        </w:div>
        <w:div w:id="1457794396">
          <w:marLeft w:val="0"/>
          <w:marRight w:val="0"/>
          <w:marTop w:val="0"/>
          <w:marBottom w:val="0"/>
          <w:divBdr>
            <w:top w:val="none" w:sz="0" w:space="0" w:color="auto"/>
            <w:left w:val="none" w:sz="0" w:space="0" w:color="auto"/>
            <w:bottom w:val="none" w:sz="0" w:space="0" w:color="auto"/>
            <w:right w:val="none" w:sz="0" w:space="0" w:color="auto"/>
          </w:divBdr>
        </w:div>
        <w:div w:id="1102800716">
          <w:marLeft w:val="0"/>
          <w:marRight w:val="0"/>
          <w:marTop w:val="0"/>
          <w:marBottom w:val="0"/>
          <w:divBdr>
            <w:top w:val="none" w:sz="0" w:space="0" w:color="auto"/>
            <w:left w:val="none" w:sz="0" w:space="0" w:color="auto"/>
            <w:bottom w:val="none" w:sz="0" w:space="0" w:color="auto"/>
            <w:right w:val="none" w:sz="0" w:space="0" w:color="auto"/>
          </w:divBdr>
        </w:div>
        <w:div w:id="1801144732">
          <w:marLeft w:val="0"/>
          <w:marRight w:val="0"/>
          <w:marTop w:val="0"/>
          <w:marBottom w:val="0"/>
          <w:divBdr>
            <w:top w:val="none" w:sz="0" w:space="0" w:color="auto"/>
            <w:left w:val="none" w:sz="0" w:space="0" w:color="auto"/>
            <w:bottom w:val="none" w:sz="0" w:space="0" w:color="auto"/>
            <w:right w:val="none" w:sz="0" w:space="0" w:color="auto"/>
          </w:divBdr>
        </w:div>
        <w:div w:id="2097632093">
          <w:marLeft w:val="0"/>
          <w:marRight w:val="0"/>
          <w:marTop w:val="0"/>
          <w:marBottom w:val="0"/>
          <w:divBdr>
            <w:top w:val="none" w:sz="0" w:space="0" w:color="auto"/>
            <w:left w:val="none" w:sz="0" w:space="0" w:color="auto"/>
            <w:bottom w:val="none" w:sz="0" w:space="0" w:color="auto"/>
            <w:right w:val="none" w:sz="0" w:space="0" w:color="auto"/>
          </w:divBdr>
        </w:div>
        <w:div w:id="1093745258">
          <w:marLeft w:val="0"/>
          <w:marRight w:val="0"/>
          <w:marTop w:val="0"/>
          <w:marBottom w:val="0"/>
          <w:divBdr>
            <w:top w:val="none" w:sz="0" w:space="0" w:color="auto"/>
            <w:left w:val="none" w:sz="0" w:space="0" w:color="auto"/>
            <w:bottom w:val="none" w:sz="0" w:space="0" w:color="auto"/>
            <w:right w:val="none" w:sz="0" w:space="0" w:color="auto"/>
          </w:divBdr>
        </w:div>
        <w:div w:id="460731897">
          <w:marLeft w:val="0"/>
          <w:marRight w:val="0"/>
          <w:marTop w:val="0"/>
          <w:marBottom w:val="0"/>
          <w:divBdr>
            <w:top w:val="none" w:sz="0" w:space="0" w:color="auto"/>
            <w:left w:val="none" w:sz="0" w:space="0" w:color="auto"/>
            <w:bottom w:val="none" w:sz="0" w:space="0" w:color="auto"/>
            <w:right w:val="none" w:sz="0" w:space="0" w:color="auto"/>
          </w:divBdr>
        </w:div>
        <w:div w:id="391464352">
          <w:marLeft w:val="0"/>
          <w:marRight w:val="0"/>
          <w:marTop w:val="0"/>
          <w:marBottom w:val="0"/>
          <w:divBdr>
            <w:top w:val="none" w:sz="0" w:space="0" w:color="auto"/>
            <w:left w:val="none" w:sz="0" w:space="0" w:color="auto"/>
            <w:bottom w:val="none" w:sz="0" w:space="0" w:color="auto"/>
            <w:right w:val="none" w:sz="0" w:space="0" w:color="auto"/>
          </w:divBdr>
        </w:div>
        <w:div w:id="892930841">
          <w:marLeft w:val="0"/>
          <w:marRight w:val="0"/>
          <w:marTop w:val="0"/>
          <w:marBottom w:val="0"/>
          <w:divBdr>
            <w:top w:val="none" w:sz="0" w:space="0" w:color="auto"/>
            <w:left w:val="none" w:sz="0" w:space="0" w:color="auto"/>
            <w:bottom w:val="none" w:sz="0" w:space="0" w:color="auto"/>
            <w:right w:val="none" w:sz="0" w:space="0" w:color="auto"/>
          </w:divBdr>
        </w:div>
        <w:div w:id="976649236">
          <w:marLeft w:val="0"/>
          <w:marRight w:val="0"/>
          <w:marTop w:val="0"/>
          <w:marBottom w:val="0"/>
          <w:divBdr>
            <w:top w:val="none" w:sz="0" w:space="0" w:color="auto"/>
            <w:left w:val="none" w:sz="0" w:space="0" w:color="auto"/>
            <w:bottom w:val="none" w:sz="0" w:space="0" w:color="auto"/>
            <w:right w:val="none" w:sz="0" w:space="0" w:color="auto"/>
          </w:divBdr>
        </w:div>
        <w:div w:id="1028146752">
          <w:marLeft w:val="0"/>
          <w:marRight w:val="0"/>
          <w:marTop w:val="0"/>
          <w:marBottom w:val="0"/>
          <w:divBdr>
            <w:top w:val="none" w:sz="0" w:space="0" w:color="auto"/>
            <w:left w:val="none" w:sz="0" w:space="0" w:color="auto"/>
            <w:bottom w:val="none" w:sz="0" w:space="0" w:color="auto"/>
            <w:right w:val="none" w:sz="0" w:space="0" w:color="auto"/>
          </w:divBdr>
        </w:div>
        <w:div w:id="680400445">
          <w:marLeft w:val="0"/>
          <w:marRight w:val="0"/>
          <w:marTop w:val="0"/>
          <w:marBottom w:val="0"/>
          <w:divBdr>
            <w:top w:val="none" w:sz="0" w:space="0" w:color="auto"/>
            <w:left w:val="none" w:sz="0" w:space="0" w:color="auto"/>
            <w:bottom w:val="none" w:sz="0" w:space="0" w:color="auto"/>
            <w:right w:val="none" w:sz="0" w:space="0" w:color="auto"/>
          </w:divBdr>
        </w:div>
        <w:div w:id="1025710109">
          <w:marLeft w:val="0"/>
          <w:marRight w:val="0"/>
          <w:marTop w:val="0"/>
          <w:marBottom w:val="0"/>
          <w:divBdr>
            <w:top w:val="none" w:sz="0" w:space="0" w:color="auto"/>
            <w:left w:val="none" w:sz="0" w:space="0" w:color="auto"/>
            <w:bottom w:val="none" w:sz="0" w:space="0" w:color="auto"/>
            <w:right w:val="none" w:sz="0" w:space="0" w:color="auto"/>
          </w:divBdr>
        </w:div>
        <w:div w:id="455374581">
          <w:marLeft w:val="0"/>
          <w:marRight w:val="0"/>
          <w:marTop w:val="0"/>
          <w:marBottom w:val="0"/>
          <w:divBdr>
            <w:top w:val="none" w:sz="0" w:space="0" w:color="auto"/>
            <w:left w:val="none" w:sz="0" w:space="0" w:color="auto"/>
            <w:bottom w:val="none" w:sz="0" w:space="0" w:color="auto"/>
            <w:right w:val="none" w:sz="0" w:space="0" w:color="auto"/>
          </w:divBdr>
        </w:div>
      </w:divsChild>
    </w:div>
    <w:div w:id="1042904236">
      <w:bodyDiv w:val="1"/>
      <w:marLeft w:val="0"/>
      <w:marRight w:val="0"/>
      <w:marTop w:val="0"/>
      <w:marBottom w:val="0"/>
      <w:divBdr>
        <w:top w:val="none" w:sz="0" w:space="0" w:color="auto"/>
        <w:left w:val="none" w:sz="0" w:space="0" w:color="auto"/>
        <w:bottom w:val="none" w:sz="0" w:space="0" w:color="auto"/>
        <w:right w:val="none" w:sz="0" w:space="0" w:color="auto"/>
      </w:divBdr>
      <w:divsChild>
        <w:div w:id="675041631">
          <w:marLeft w:val="0"/>
          <w:marRight w:val="0"/>
          <w:marTop w:val="0"/>
          <w:marBottom w:val="0"/>
          <w:divBdr>
            <w:top w:val="none" w:sz="0" w:space="0" w:color="auto"/>
            <w:left w:val="none" w:sz="0" w:space="0" w:color="auto"/>
            <w:bottom w:val="none" w:sz="0" w:space="0" w:color="auto"/>
            <w:right w:val="none" w:sz="0" w:space="0" w:color="auto"/>
          </w:divBdr>
        </w:div>
        <w:div w:id="1328828513">
          <w:marLeft w:val="0"/>
          <w:marRight w:val="0"/>
          <w:marTop w:val="0"/>
          <w:marBottom w:val="0"/>
          <w:divBdr>
            <w:top w:val="none" w:sz="0" w:space="0" w:color="auto"/>
            <w:left w:val="none" w:sz="0" w:space="0" w:color="auto"/>
            <w:bottom w:val="none" w:sz="0" w:space="0" w:color="auto"/>
            <w:right w:val="none" w:sz="0" w:space="0" w:color="auto"/>
          </w:divBdr>
        </w:div>
        <w:div w:id="1466700501">
          <w:marLeft w:val="0"/>
          <w:marRight w:val="0"/>
          <w:marTop w:val="0"/>
          <w:marBottom w:val="0"/>
          <w:divBdr>
            <w:top w:val="none" w:sz="0" w:space="0" w:color="auto"/>
            <w:left w:val="none" w:sz="0" w:space="0" w:color="auto"/>
            <w:bottom w:val="none" w:sz="0" w:space="0" w:color="auto"/>
            <w:right w:val="none" w:sz="0" w:space="0" w:color="auto"/>
          </w:divBdr>
        </w:div>
        <w:div w:id="1774593209">
          <w:marLeft w:val="0"/>
          <w:marRight w:val="0"/>
          <w:marTop w:val="0"/>
          <w:marBottom w:val="0"/>
          <w:divBdr>
            <w:top w:val="none" w:sz="0" w:space="0" w:color="auto"/>
            <w:left w:val="none" w:sz="0" w:space="0" w:color="auto"/>
            <w:bottom w:val="none" w:sz="0" w:space="0" w:color="auto"/>
            <w:right w:val="none" w:sz="0" w:space="0" w:color="auto"/>
          </w:divBdr>
        </w:div>
        <w:div w:id="2007047381">
          <w:marLeft w:val="0"/>
          <w:marRight w:val="0"/>
          <w:marTop w:val="0"/>
          <w:marBottom w:val="0"/>
          <w:divBdr>
            <w:top w:val="none" w:sz="0" w:space="0" w:color="auto"/>
            <w:left w:val="none" w:sz="0" w:space="0" w:color="auto"/>
            <w:bottom w:val="none" w:sz="0" w:space="0" w:color="auto"/>
            <w:right w:val="none" w:sz="0" w:space="0" w:color="auto"/>
          </w:divBdr>
        </w:div>
      </w:divsChild>
    </w:div>
    <w:div w:id="1248462777">
      <w:bodyDiv w:val="1"/>
      <w:marLeft w:val="0"/>
      <w:marRight w:val="0"/>
      <w:marTop w:val="0"/>
      <w:marBottom w:val="0"/>
      <w:divBdr>
        <w:top w:val="none" w:sz="0" w:space="0" w:color="auto"/>
        <w:left w:val="none" w:sz="0" w:space="0" w:color="auto"/>
        <w:bottom w:val="none" w:sz="0" w:space="0" w:color="auto"/>
        <w:right w:val="none" w:sz="0" w:space="0" w:color="auto"/>
      </w:divBdr>
    </w:div>
    <w:div w:id="1299185744">
      <w:bodyDiv w:val="1"/>
      <w:marLeft w:val="0"/>
      <w:marRight w:val="0"/>
      <w:marTop w:val="0"/>
      <w:marBottom w:val="0"/>
      <w:divBdr>
        <w:top w:val="none" w:sz="0" w:space="0" w:color="auto"/>
        <w:left w:val="none" w:sz="0" w:space="0" w:color="auto"/>
        <w:bottom w:val="none" w:sz="0" w:space="0" w:color="auto"/>
        <w:right w:val="none" w:sz="0" w:space="0" w:color="auto"/>
      </w:divBdr>
      <w:divsChild>
        <w:div w:id="594558190">
          <w:marLeft w:val="0"/>
          <w:marRight w:val="0"/>
          <w:marTop w:val="0"/>
          <w:marBottom w:val="0"/>
          <w:divBdr>
            <w:top w:val="none" w:sz="0" w:space="0" w:color="auto"/>
            <w:left w:val="none" w:sz="0" w:space="0" w:color="auto"/>
            <w:bottom w:val="none" w:sz="0" w:space="0" w:color="auto"/>
            <w:right w:val="none" w:sz="0" w:space="0" w:color="auto"/>
          </w:divBdr>
        </w:div>
        <w:div w:id="259804167">
          <w:marLeft w:val="0"/>
          <w:marRight w:val="0"/>
          <w:marTop w:val="0"/>
          <w:marBottom w:val="0"/>
          <w:divBdr>
            <w:top w:val="none" w:sz="0" w:space="0" w:color="auto"/>
            <w:left w:val="none" w:sz="0" w:space="0" w:color="auto"/>
            <w:bottom w:val="none" w:sz="0" w:space="0" w:color="auto"/>
            <w:right w:val="none" w:sz="0" w:space="0" w:color="auto"/>
          </w:divBdr>
        </w:div>
        <w:div w:id="1254972971">
          <w:marLeft w:val="0"/>
          <w:marRight w:val="0"/>
          <w:marTop w:val="0"/>
          <w:marBottom w:val="0"/>
          <w:divBdr>
            <w:top w:val="none" w:sz="0" w:space="0" w:color="auto"/>
            <w:left w:val="none" w:sz="0" w:space="0" w:color="auto"/>
            <w:bottom w:val="none" w:sz="0" w:space="0" w:color="auto"/>
            <w:right w:val="none" w:sz="0" w:space="0" w:color="auto"/>
          </w:divBdr>
        </w:div>
      </w:divsChild>
    </w:div>
    <w:div w:id="1811634696">
      <w:bodyDiv w:val="1"/>
      <w:marLeft w:val="0"/>
      <w:marRight w:val="0"/>
      <w:marTop w:val="0"/>
      <w:marBottom w:val="0"/>
      <w:divBdr>
        <w:top w:val="none" w:sz="0" w:space="0" w:color="auto"/>
        <w:left w:val="none" w:sz="0" w:space="0" w:color="auto"/>
        <w:bottom w:val="none" w:sz="0" w:space="0" w:color="auto"/>
        <w:right w:val="none" w:sz="0" w:space="0" w:color="auto"/>
      </w:divBdr>
      <w:divsChild>
        <w:div w:id="2018115888">
          <w:marLeft w:val="0"/>
          <w:marRight w:val="0"/>
          <w:marTop w:val="0"/>
          <w:marBottom w:val="0"/>
          <w:divBdr>
            <w:top w:val="none" w:sz="0" w:space="0" w:color="auto"/>
            <w:left w:val="none" w:sz="0" w:space="0" w:color="auto"/>
            <w:bottom w:val="none" w:sz="0" w:space="0" w:color="auto"/>
            <w:right w:val="none" w:sz="0" w:space="0" w:color="auto"/>
          </w:divBdr>
        </w:div>
        <w:div w:id="178668144">
          <w:marLeft w:val="0"/>
          <w:marRight w:val="0"/>
          <w:marTop w:val="0"/>
          <w:marBottom w:val="0"/>
          <w:divBdr>
            <w:top w:val="none" w:sz="0" w:space="0" w:color="auto"/>
            <w:left w:val="none" w:sz="0" w:space="0" w:color="auto"/>
            <w:bottom w:val="none" w:sz="0" w:space="0" w:color="auto"/>
            <w:right w:val="none" w:sz="0" w:space="0" w:color="auto"/>
          </w:divBdr>
        </w:div>
        <w:div w:id="1365132095">
          <w:marLeft w:val="0"/>
          <w:marRight w:val="0"/>
          <w:marTop w:val="0"/>
          <w:marBottom w:val="0"/>
          <w:divBdr>
            <w:top w:val="none" w:sz="0" w:space="0" w:color="auto"/>
            <w:left w:val="none" w:sz="0" w:space="0" w:color="auto"/>
            <w:bottom w:val="none" w:sz="0" w:space="0" w:color="auto"/>
            <w:right w:val="none" w:sz="0" w:space="0" w:color="auto"/>
          </w:divBdr>
        </w:div>
      </w:divsChild>
    </w:div>
    <w:div w:id="1877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a.Sigmund\AppData\Local\Microsoft\Windows\Temporary%20Internet%20Files\Content.MSO\2C6D2F4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2C6D2F49</Template>
  <TotalTime>0</TotalTime>
  <Pages>2</Pages>
  <Words>3922</Words>
  <Characters>21701</Characters>
  <Application>Microsoft Office Word</Application>
  <DocSecurity>0</DocSecurity>
  <Lines>329</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25753</CharactersWithSpaces>
  <SharedDoc>false</SharedDoc>
  <HyperlinkBase> </HyperlinkBase>
  <HLinks>
    <vt:vector size="24" baseType="variant">
      <vt:variant>
        <vt:i4>1638518</vt:i4>
      </vt:variant>
      <vt:variant>
        <vt:i4>9</vt:i4>
      </vt:variant>
      <vt:variant>
        <vt:i4>0</vt:i4>
      </vt:variant>
      <vt:variant>
        <vt:i4>5</vt:i4>
      </vt:variant>
      <vt:variant>
        <vt:lpwstr>mailto:Pam.Slipakoff@fcc.gov</vt:lpwstr>
      </vt:variant>
      <vt:variant>
        <vt:lpwstr/>
      </vt:variant>
      <vt:variant>
        <vt:i4>1048622</vt:i4>
      </vt:variant>
      <vt:variant>
        <vt:i4>6</vt:i4>
      </vt:variant>
      <vt:variant>
        <vt:i4>0</vt:i4>
      </vt:variant>
      <vt:variant>
        <vt:i4>5</vt:i4>
      </vt:variant>
      <vt:variant>
        <vt:lpwstr>mailto:Cavanaugh@fcc.gov</vt:lpwstr>
      </vt:variant>
      <vt:variant>
        <vt:lpwstr/>
      </vt:variant>
      <vt:variant>
        <vt:i4>1638518</vt:i4>
      </vt:variant>
      <vt:variant>
        <vt:i4>3</vt:i4>
      </vt:variant>
      <vt:variant>
        <vt:i4>0</vt:i4>
      </vt:variant>
      <vt:variant>
        <vt:i4>5</vt:i4>
      </vt:variant>
      <vt:variant>
        <vt:lpwstr>mailto:Pam.Slipakoff@fcc.gov</vt:lpwstr>
      </vt:variant>
      <vt:variant>
        <vt:lpwstr/>
      </vt:variant>
      <vt:variant>
        <vt:i4>7274519</vt:i4>
      </vt:variant>
      <vt:variant>
        <vt:i4>0</vt:i4>
      </vt:variant>
      <vt:variant>
        <vt:i4>0</vt:i4>
      </vt:variant>
      <vt:variant>
        <vt:i4>5</vt:i4>
      </vt:variant>
      <vt:variant>
        <vt:lpwstr>mailto:Terry.Cavanaugh@fcc.gov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2013-09-30T19:10:00Z</cp:lastPrinted>
  <dcterms:created xsi:type="dcterms:W3CDTF">2013-10-18T19:05:00Z</dcterms:created>
  <dcterms:modified xsi:type="dcterms:W3CDTF">2013-10-18T19:05:00Z</dcterms:modified>
  <cp:category> </cp:category>
  <cp:contentStatus> </cp:contentStatus>
</cp:coreProperties>
</file>