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4330B" w14:textId="77777777" w:rsidR="00F07E8C" w:rsidRPr="00472DB8" w:rsidRDefault="00F07E8C" w:rsidP="00831EC9">
      <w:pPr>
        <w:jc w:val="center"/>
        <w:rPr>
          <w:rFonts w:ascii="Times" w:hAnsi="Times" w:cs="Times"/>
          <w:b/>
        </w:rPr>
      </w:pPr>
      <w:bookmarkStart w:id="0" w:name="_GoBack"/>
      <w:bookmarkEnd w:id="0"/>
      <w:r w:rsidRPr="00472DB8">
        <w:rPr>
          <w:rFonts w:ascii="Times" w:hAnsi="Times" w:cs="Times"/>
          <w:b/>
        </w:rPr>
        <w:t>Before the</w:t>
      </w:r>
    </w:p>
    <w:p w14:paraId="51B728DA" w14:textId="77777777" w:rsidR="00F07E8C" w:rsidRPr="00472DB8" w:rsidRDefault="00F07E8C" w:rsidP="00831EC9">
      <w:pPr>
        <w:pStyle w:val="StyleBoldCentered"/>
        <w:widowControl/>
        <w:rPr>
          <w:rFonts w:ascii="Times" w:hAnsi="Times" w:cs="Times"/>
        </w:rPr>
      </w:pPr>
      <w:r w:rsidRPr="00472DB8">
        <w:rPr>
          <w:rFonts w:ascii="Times" w:hAnsi="Times" w:cs="Times"/>
        </w:rPr>
        <w:t>F</w:t>
      </w:r>
      <w:r w:rsidRPr="00472DB8">
        <w:rPr>
          <w:rFonts w:ascii="Times" w:hAnsi="Times" w:cs="Times"/>
          <w:caps w:val="0"/>
        </w:rPr>
        <w:t>ederal Communications Commission</w:t>
      </w:r>
    </w:p>
    <w:p w14:paraId="7AA716C6" w14:textId="23E82486" w:rsidR="00F07E8C" w:rsidRPr="00472DB8" w:rsidRDefault="004F32D8" w:rsidP="00831EC9">
      <w:pPr>
        <w:pStyle w:val="StyleBoldCentered"/>
        <w:widowControl/>
        <w:rPr>
          <w:rFonts w:ascii="Times" w:hAnsi="Times" w:cs="Times"/>
        </w:rPr>
      </w:pPr>
      <w:r w:rsidRPr="00472DB8">
        <w:rPr>
          <w:rFonts w:ascii="Times" w:hAnsi="Times" w:cs="Times"/>
          <w:caps w:val="0"/>
        </w:rPr>
        <w:t>Washington</w:t>
      </w:r>
      <w:r w:rsidR="00F07E8C" w:rsidRPr="00472DB8">
        <w:rPr>
          <w:rFonts w:ascii="Times" w:hAnsi="Times" w:cs="Times"/>
        </w:rPr>
        <w:t>, D.C. 20554</w:t>
      </w:r>
    </w:p>
    <w:p w14:paraId="77219320" w14:textId="77777777" w:rsidR="00F07E8C" w:rsidRPr="00472DB8" w:rsidRDefault="00F07E8C" w:rsidP="00831EC9">
      <w:pPr>
        <w:rPr>
          <w:rFonts w:ascii="Times" w:hAnsi="Times" w:cs="Times"/>
        </w:rPr>
      </w:pPr>
    </w:p>
    <w:p w14:paraId="5E1633BA" w14:textId="77777777" w:rsidR="00F07E8C" w:rsidRPr="00472DB8" w:rsidRDefault="00F07E8C" w:rsidP="00831EC9">
      <w:pPr>
        <w:rPr>
          <w:rFonts w:ascii="Times" w:hAnsi="Times" w:cs="Times"/>
        </w:rPr>
      </w:pPr>
    </w:p>
    <w:tbl>
      <w:tblPr>
        <w:tblW w:w="0" w:type="auto"/>
        <w:tblLayout w:type="fixed"/>
        <w:tblLook w:val="0000" w:firstRow="0" w:lastRow="0" w:firstColumn="0" w:lastColumn="0" w:noHBand="0" w:noVBand="0"/>
      </w:tblPr>
      <w:tblGrid>
        <w:gridCol w:w="4698"/>
        <w:gridCol w:w="630"/>
        <w:gridCol w:w="4248"/>
      </w:tblGrid>
      <w:tr w:rsidR="00F07E8C" w:rsidRPr="00472DB8" w14:paraId="200FBA71" w14:textId="77777777">
        <w:tc>
          <w:tcPr>
            <w:tcW w:w="4698" w:type="dxa"/>
          </w:tcPr>
          <w:p w14:paraId="14CB3F37" w14:textId="77777777" w:rsidR="00F07E8C" w:rsidRPr="00472DB8" w:rsidRDefault="00F07E8C" w:rsidP="00831EC9">
            <w:pPr>
              <w:tabs>
                <w:tab w:val="center" w:pos="4680"/>
              </w:tabs>
              <w:suppressAutoHyphens/>
              <w:ind w:firstLine="0"/>
              <w:rPr>
                <w:rFonts w:ascii="Times" w:hAnsi="Times" w:cs="Times"/>
                <w:spacing w:val="-2"/>
              </w:rPr>
            </w:pPr>
            <w:r w:rsidRPr="00472DB8">
              <w:rPr>
                <w:rFonts w:ascii="Times" w:hAnsi="Times" w:cs="Times"/>
                <w:spacing w:val="-2"/>
              </w:rPr>
              <w:t>In the Matter of</w:t>
            </w:r>
          </w:p>
          <w:p w14:paraId="5444CFE2" w14:textId="77777777" w:rsidR="00F07E8C" w:rsidRPr="00472DB8" w:rsidRDefault="00F07E8C" w:rsidP="00831EC9">
            <w:pPr>
              <w:tabs>
                <w:tab w:val="center" w:pos="4680"/>
              </w:tabs>
              <w:suppressAutoHyphens/>
              <w:ind w:firstLine="0"/>
              <w:rPr>
                <w:rFonts w:ascii="Times" w:hAnsi="Times" w:cs="Times"/>
                <w:spacing w:val="-2"/>
              </w:rPr>
            </w:pPr>
          </w:p>
          <w:p w14:paraId="6EE80610" w14:textId="77777777" w:rsidR="00F07E8C" w:rsidRPr="00472DB8" w:rsidRDefault="00F07E8C" w:rsidP="00831EC9">
            <w:pPr>
              <w:tabs>
                <w:tab w:val="center" w:pos="4680"/>
              </w:tabs>
              <w:suppressAutoHyphens/>
              <w:ind w:firstLine="0"/>
              <w:rPr>
                <w:rFonts w:ascii="Times" w:hAnsi="Times" w:cs="Times"/>
                <w:spacing w:val="-2"/>
              </w:rPr>
            </w:pPr>
            <w:r w:rsidRPr="00472DB8">
              <w:rPr>
                <w:rFonts w:ascii="Times" w:hAnsi="Times" w:cs="Times"/>
                <w:spacing w:val="-2"/>
              </w:rPr>
              <w:t>Creation of a Low Power Radio Service</w:t>
            </w:r>
          </w:p>
          <w:p w14:paraId="563D8268" w14:textId="77777777" w:rsidR="00F07E8C" w:rsidRPr="00472DB8" w:rsidRDefault="00F07E8C" w:rsidP="00831EC9">
            <w:pPr>
              <w:tabs>
                <w:tab w:val="center" w:pos="4680"/>
              </w:tabs>
              <w:suppressAutoHyphens/>
              <w:ind w:firstLine="0"/>
              <w:rPr>
                <w:rFonts w:ascii="Times" w:hAnsi="Times" w:cs="Times"/>
                <w:spacing w:val="-2"/>
              </w:rPr>
            </w:pPr>
          </w:p>
          <w:p w14:paraId="10C0AD85" w14:textId="77777777" w:rsidR="00115C2F" w:rsidRPr="00472DB8" w:rsidRDefault="00F07E8C" w:rsidP="00831EC9">
            <w:pPr>
              <w:tabs>
                <w:tab w:val="center" w:pos="4680"/>
              </w:tabs>
              <w:suppressAutoHyphens/>
              <w:ind w:firstLine="0"/>
              <w:rPr>
                <w:rFonts w:ascii="Times" w:hAnsi="Times" w:cs="Times"/>
                <w:spacing w:val="-2"/>
              </w:rPr>
            </w:pPr>
            <w:r w:rsidRPr="00472DB8">
              <w:rPr>
                <w:rFonts w:ascii="Times" w:hAnsi="Times" w:cs="Times"/>
                <w:spacing w:val="-2"/>
              </w:rPr>
              <w:t>Amendment of Service and Eligibility</w:t>
            </w:r>
          </w:p>
          <w:p w14:paraId="4ACD83B5" w14:textId="18B1CB85" w:rsidR="00F07E8C" w:rsidRPr="00472DB8" w:rsidRDefault="00115C2F" w:rsidP="00831EC9">
            <w:pPr>
              <w:tabs>
                <w:tab w:val="center" w:pos="4680"/>
              </w:tabs>
              <w:suppressAutoHyphens/>
              <w:ind w:firstLine="0"/>
              <w:rPr>
                <w:rFonts w:ascii="Times" w:hAnsi="Times" w:cs="Times"/>
                <w:spacing w:val="-2"/>
              </w:rPr>
            </w:pPr>
            <w:r w:rsidRPr="00472DB8">
              <w:rPr>
                <w:rFonts w:ascii="Times" w:hAnsi="Times" w:cs="Times"/>
                <w:spacing w:val="-2"/>
              </w:rPr>
              <w:t>Rules for FM Broadcast Translator Stations</w:t>
            </w:r>
            <w:r w:rsidR="00F07E8C" w:rsidRPr="00472DB8">
              <w:rPr>
                <w:rFonts w:ascii="Times" w:hAnsi="Times" w:cs="Times"/>
                <w:spacing w:val="-2"/>
              </w:rPr>
              <w:t xml:space="preserve"> </w:t>
            </w:r>
            <w:r w:rsidRPr="00472DB8">
              <w:rPr>
                <w:rFonts w:ascii="Times" w:hAnsi="Times" w:cs="Times"/>
                <w:spacing w:val="-2"/>
              </w:rPr>
              <w:t xml:space="preserve"> </w:t>
            </w:r>
          </w:p>
        </w:tc>
        <w:tc>
          <w:tcPr>
            <w:tcW w:w="630" w:type="dxa"/>
          </w:tcPr>
          <w:p w14:paraId="4942A007" w14:textId="77777777" w:rsidR="00F07E8C" w:rsidRPr="00472DB8" w:rsidRDefault="00F07E8C" w:rsidP="00831EC9">
            <w:pPr>
              <w:tabs>
                <w:tab w:val="center" w:pos="4680"/>
              </w:tabs>
              <w:suppressAutoHyphens/>
              <w:ind w:firstLine="0"/>
              <w:rPr>
                <w:rFonts w:ascii="Times" w:hAnsi="Times" w:cs="Times"/>
                <w:b/>
                <w:spacing w:val="-2"/>
              </w:rPr>
            </w:pPr>
            <w:r w:rsidRPr="00472DB8">
              <w:rPr>
                <w:rFonts w:ascii="Times" w:hAnsi="Times" w:cs="Times"/>
                <w:b/>
                <w:spacing w:val="-2"/>
              </w:rPr>
              <w:t>)</w:t>
            </w:r>
          </w:p>
          <w:p w14:paraId="1C020E41" w14:textId="77777777" w:rsidR="00F07E8C" w:rsidRPr="00472DB8" w:rsidRDefault="00F07E8C" w:rsidP="00831EC9">
            <w:pPr>
              <w:tabs>
                <w:tab w:val="center" w:pos="4680"/>
              </w:tabs>
              <w:suppressAutoHyphens/>
              <w:ind w:firstLine="0"/>
              <w:rPr>
                <w:rFonts w:ascii="Times" w:hAnsi="Times" w:cs="Times"/>
                <w:b/>
                <w:spacing w:val="-2"/>
              </w:rPr>
            </w:pPr>
            <w:r w:rsidRPr="00472DB8">
              <w:rPr>
                <w:rFonts w:ascii="Times" w:hAnsi="Times" w:cs="Times"/>
                <w:b/>
                <w:spacing w:val="-2"/>
              </w:rPr>
              <w:t>)</w:t>
            </w:r>
          </w:p>
          <w:p w14:paraId="15E981B2" w14:textId="77777777" w:rsidR="00F07E8C" w:rsidRPr="00472DB8" w:rsidRDefault="00F07E8C" w:rsidP="00831EC9">
            <w:pPr>
              <w:tabs>
                <w:tab w:val="center" w:pos="4680"/>
              </w:tabs>
              <w:suppressAutoHyphens/>
              <w:ind w:firstLine="0"/>
              <w:rPr>
                <w:rFonts w:ascii="Times" w:hAnsi="Times" w:cs="Times"/>
                <w:b/>
                <w:spacing w:val="-2"/>
              </w:rPr>
            </w:pPr>
            <w:r w:rsidRPr="00472DB8">
              <w:rPr>
                <w:rFonts w:ascii="Times" w:hAnsi="Times" w:cs="Times"/>
                <w:b/>
                <w:spacing w:val="-2"/>
              </w:rPr>
              <w:t>)</w:t>
            </w:r>
          </w:p>
          <w:p w14:paraId="3A215857" w14:textId="77777777" w:rsidR="00F07E8C" w:rsidRPr="00472DB8" w:rsidRDefault="00F07E8C" w:rsidP="00831EC9">
            <w:pPr>
              <w:tabs>
                <w:tab w:val="center" w:pos="4680"/>
              </w:tabs>
              <w:suppressAutoHyphens/>
              <w:ind w:firstLine="0"/>
              <w:rPr>
                <w:rFonts w:ascii="Times" w:hAnsi="Times" w:cs="Times"/>
                <w:b/>
                <w:spacing w:val="-2"/>
              </w:rPr>
            </w:pPr>
            <w:r w:rsidRPr="00472DB8">
              <w:rPr>
                <w:rFonts w:ascii="Times" w:hAnsi="Times" w:cs="Times"/>
                <w:b/>
                <w:spacing w:val="-2"/>
              </w:rPr>
              <w:t>)</w:t>
            </w:r>
          </w:p>
          <w:p w14:paraId="2C46D0CE" w14:textId="77777777" w:rsidR="00F07E8C" w:rsidRPr="00472DB8" w:rsidRDefault="00F07E8C" w:rsidP="00831EC9">
            <w:pPr>
              <w:tabs>
                <w:tab w:val="center" w:pos="4680"/>
              </w:tabs>
              <w:suppressAutoHyphens/>
              <w:ind w:firstLine="0"/>
              <w:rPr>
                <w:rFonts w:ascii="Times" w:hAnsi="Times" w:cs="Times"/>
                <w:b/>
                <w:spacing w:val="-2"/>
              </w:rPr>
            </w:pPr>
            <w:r w:rsidRPr="00472DB8">
              <w:rPr>
                <w:rFonts w:ascii="Times" w:hAnsi="Times" w:cs="Times"/>
                <w:b/>
                <w:spacing w:val="-2"/>
              </w:rPr>
              <w:t>)</w:t>
            </w:r>
          </w:p>
          <w:p w14:paraId="33C54874" w14:textId="77777777" w:rsidR="00F07E8C" w:rsidRPr="00472DB8" w:rsidRDefault="00F07E8C" w:rsidP="00831EC9">
            <w:pPr>
              <w:tabs>
                <w:tab w:val="center" w:pos="4680"/>
              </w:tabs>
              <w:suppressAutoHyphens/>
              <w:ind w:firstLine="0"/>
              <w:rPr>
                <w:rFonts w:ascii="Times" w:hAnsi="Times" w:cs="Times"/>
                <w:b/>
                <w:spacing w:val="-2"/>
              </w:rPr>
            </w:pPr>
            <w:r w:rsidRPr="00472DB8">
              <w:rPr>
                <w:rFonts w:ascii="Times" w:hAnsi="Times" w:cs="Times"/>
                <w:b/>
                <w:spacing w:val="-2"/>
              </w:rPr>
              <w:t>)</w:t>
            </w:r>
          </w:p>
        </w:tc>
        <w:tc>
          <w:tcPr>
            <w:tcW w:w="4248" w:type="dxa"/>
          </w:tcPr>
          <w:p w14:paraId="327946E9" w14:textId="77777777" w:rsidR="00F07E8C" w:rsidRPr="00472DB8" w:rsidRDefault="00F07E8C" w:rsidP="00831EC9">
            <w:pPr>
              <w:tabs>
                <w:tab w:val="center" w:pos="4680"/>
              </w:tabs>
              <w:suppressAutoHyphens/>
              <w:ind w:firstLine="0"/>
              <w:rPr>
                <w:rFonts w:ascii="Times" w:hAnsi="Times" w:cs="Times"/>
                <w:spacing w:val="-2"/>
              </w:rPr>
            </w:pPr>
          </w:p>
          <w:p w14:paraId="71A21808" w14:textId="77777777" w:rsidR="00F07E8C" w:rsidRPr="00472DB8" w:rsidRDefault="00F07E8C" w:rsidP="00831EC9">
            <w:pPr>
              <w:pStyle w:val="TOAHeading"/>
              <w:widowControl/>
              <w:tabs>
                <w:tab w:val="clear" w:pos="9360"/>
                <w:tab w:val="center" w:pos="4680"/>
              </w:tabs>
              <w:ind w:firstLine="0"/>
              <w:rPr>
                <w:rFonts w:ascii="Times" w:hAnsi="Times" w:cs="Times"/>
                <w:spacing w:val="-2"/>
                <w:szCs w:val="22"/>
              </w:rPr>
            </w:pPr>
          </w:p>
          <w:p w14:paraId="7280DE5E" w14:textId="77777777" w:rsidR="00F07E8C" w:rsidRPr="00472DB8" w:rsidRDefault="00F07E8C" w:rsidP="00831EC9">
            <w:pPr>
              <w:tabs>
                <w:tab w:val="center" w:pos="4680"/>
              </w:tabs>
              <w:suppressAutoHyphens/>
              <w:ind w:firstLine="0"/>
              <w:rPr>
                <w:rFonts w:ascii="Times" w:hAnsi="Times" w:cs="Times"/>
                <w:spacing w:val="-2"/>
              </w:rPr>
            </w:pPr>
            <w:r w:rsidRPr="00472DB8">
              <w:rPr>
                <w:rFonts w:ascii="Times" w:hAnsi="Times" w:cs="Times"/>
                <w:spacing w:val="-2"/>
              </w:rPr>
              <w:t>MM Docket No. 99-25</w:t>
            </w:r>
          </w:p>
          <w:p w14:paraId="54DFB8E7" w14:textId="77777777" w:rsidR="00F07E8C" w:rsidRPr="00472DB8" w:rsidRDefault="00F07E8C" w:rsidP="00831EC9">
            <w:pPr>
              <w:tabs>
                <w:tab w:val="center" w:pos="4680"/>
              </w:tabs>
              <w:suppressAutoHyphens/>
              <w:ind w:firstLine="0"/>
              <w:rPr>
                <w:rFonts w:ascii="Times" w:hAnsi="Times" w:cs="Times"/>
                <w:spacing w:val="-2"/>
              </w:rPr>
            </w:pPr>
          </w:p>
          <w:p w14:paraId="3B8D3EBD" w14:textId="77777777" w:rsidR="00F9344A" w:rsidRDefault="00F07E8C" w:rsidP="00F9344A">
            <w:pPr>
              <w:tabs>
                <w:tab w:val="center" w:pos="4680"/>
              </w:tabs>
              <w:suppressAutoHyphens/>
              <w:ind w:firstLine="0"/>
              <w:rPr>
                <w:rFonts w:ascii="Times" w:hAnsi="Times" w:cs="Times"/>
                <w:spacing w:val="-2"/>
              </w:rPr>
            </w:pPr>
            <w:r w:rsidRPr="00472DB8">
              <w:rPr>
                <w:rFonts w:ascii="Times" w:hAnsi="Times" w:cs="Times"/>
                <w:spacing w:val="-2"/>
              </w:rPr>
              <w:t>MB Docket No. 07-172</w:t>
            </w:r>
          </w:p>
          <w:p w14:paraId="25C56065" w14:textId="5D3ACD59" w:rsidR="00F07E8C" w:rsidRPr="00472DB8" w:rsidRDefault="00F07E8C" w:rsidP="00F9344A">
            <w:pPr>
              <w:tabs>
                <w:tab w:val="center" w:pos="4680"/>
              </w:tabs>
              <w:suppressAutoHyphens/>
              <w:ind w:firstLine="0"/>
              <w:rPr>
                <w:rFonts w:ascii="Times" w:hAnsi="Times" w:cs="Times"/>
                <w:spacing w:val="-2"/>
              </w:rPr>
            </w:pPr>
            <w:r w:rsidRPr="00472DB8">
              <w:rPr>
                <w:rFonts w:ascii="Times" w:hAnsi="Times" w:cs="Times"/>
                <w:spacing w:val="-2"/>
              </w:rPr>
              <w:t>RM 11338</w:t>
            </w:r>
          </w:p>
        </w:tc>
      </w:tr>
    </w:tbl>
    <w:p w14:paraId="167039ED" w14:textId="77777777" w:rsidR="00F07E8C" w:rsidRPr="00472DB8" w:rsidRDefault="00F07E8C" w:rsidP="00831EC9">
      <w:pPr>
        <w:ind w:firstLine="0"/>
        <w:rPr>
          <w:rFonts w:ascii="Times" w:hAnsi="Times" w:cs="Times"/>
        </w:rPr>
      </w:pPr>
    </w:p>
    <w:p w14:paraId="223C3E00" w14:textId="77777777" w:rsidR="00DF0919" w:rsidRPr="00472DB8" w:rsidRDefault="00DF0919" w:rsidP="00831EC9">
      <w:pPr>
        <w:pStyle w:val="StyleBoldCentered"/>
        <w:widowControl/>
        <w:rPr>
          <w:rFonts w:ascii="Times" w:hAnsi="Times" w:cs="Times"/>
        </w:rPr>
      </w:pPr>
    </w:p>
    <w:p w14:paraId="49E51F9B" w14:textId="77777777" w:rsidR="00DD3916" w:rsidRPr="00472DB8" w:rsidRDefault="00DD3916" w:rsidP="00831EC9">
      <w:pPr>
        <w:pStyle w:val="StyleBoldCentered"/>
        <w:widowControl/>
        <w:rPr>
          <w:rFonts w:ascii="Times" w:hAnsi="Times" w:cs="Times"/>
        </w:rPr>
      </w:pPr>
    </w:p>
    <w:p w14:paraId="7C2348D5" w14:textId="77777777" w:rsidR="00F07E8C" w:rsidRPr="00472DB8" w:rsidRDefault="00233C74" w:rsidP="00831EC9">
      <w:pPr>
        <w:pStyle w:val="StyleBoldCentered"/>
        <w:widowControl/>
        <w:rPr>
          <w:rFonts w:ascii="Times" w:hAnsi="Times" w:cs="Times"/>
        </w:rPr>
      </w:pPr>
      <w:r w:rsidRPr="00472DB8">
        <w:rPr>
          <w:rFonts w:ascii="Times" w:hAnsi="Times" w:cs="Times"/>
        </w:rPr>
        <w:t>sixth</w:t>
      </w:r>
      <w:r w:rsidR="00F07E8C" w:rsidRPr="00472DB8">
        <w:rPr>
          <w:rFonts w:ascii="Times" w:hAnsi="Times" w:cs="Times"/>
        </w:rPr>
        <w:t xml:space="preserve"> ORDER ON RECONSIDERATION </w:t>
      </w:r>
    </w:p>
    <w:p w14:paraId="70AE147A" w14:textId="77777777" w:rsidR="00F07E8C" w:rsidRPr="00472DB8" w:rsidRDefault="00F07E8C" w:rsidP="00831EC9">
      <w:pPr>
        <w:tabs>
          <w:tab w:val="left" w:pos="-720"/>
        </w:tabs>
        <w:suppressAutoHyphens/>
        <w:rPr>
          <w:rFonts w:ascii="Times" w:hAnsi="Times" w:cs="Times"/>
          <w:spacing w:val="-2"/>
        </w:rPr>
      </w:pPr>
    </w:p>
    <w:p w14:paraId="61548B52" w14:textId="3D07706C" w:rsidR="00F07E8C" w:rsidRPr="00472DB8" w:rsidRDefault="00F07E8C" w:rsidP="00831EC9">
      <w:pPr>
        <w:tabs>
          <w:tab w:val="left" w:pos="720"/>
          <w:tab w:val="left" w:pos="5760"/>
        </w:tabs>
        <w:suppressAutoHyphens/>
        <w:ind w:firstLine="0"/>
        <w:rPr>
          <w:rFonts w:ascii="Times" w:hAnsi="Times" w:cs="Times"/>
          <w:b/>
          <w:spacing w:val="-2"/>
        </w:rPr>
      </w:pPr>
      <w:r w:rsidRPr="00472DB8">
        <w:rPr>
          <w:rFonts w:ascii="Times" w:hAnsi="Times" w:cs="Times"/>
          <w:b/>
          <w:spacing w:val="-2"/>
        </w:rPr>
        <w:t xml:space="preserve">Adopted:  </w:t>
      </w:r>
      <w:r w:rsidR="00214C40">
        <w:rPr>
          <w:rFonts w:ascii="Times" w:hAnsi="Times" w:cs="Times"/>
          <w:b/>
          <w:spacing w:val="-2"/>
        </w:rPr>
        <w:t>September</w:t>
      </w:r>
      <w:r w:rsidR="003E3C4B">
        <w:rPr>
          <w:rFonts w:ascii="Times" w:hAnsi="Times" w:cs="Times"/>
          <w:b/>
          <w:spacing w:val="-2"/>
        </w:rPr>
        <w:t xml:space="preserve"> </w:t>
      </w:r>
      <w:r w:rsidR="00214C40">
        <w:rPr>
          <w:rFonts w:ascii="Times" w:hAnsi="Times" w:cs="Times"/>
          <w:b/>
          <w:spacing w:val="-2"/>
        </w:rPr>
        <w:t>30, 2013</w:t>
      </w:r>
      <w:r w:rsidRPr="00472DB8">
        <w:rPr>
          <w:rFonts w:ascii="Times" w:hAnsi="Times" w:cs="Times"/>
          <w:b/>
          <w:spacing w:val="-2"/>
        </w:rPr>
        <w:tab/>
        <w:t xml:space="preserve">Released:  </w:t>
      </w:r>
      <w:r w:rsidR="00214C40">
        <w:rPr>
          <w:rFonts w:ascii="Times" w:hAnsi="Times" w:cs="Times"/>
          <w:b/>
          <w:spacing w:val="-2"/>
        </w:rPr>
        <w:t>October 17, 2013</w:t>
      </w:r>
    </w:p>
    <w:p w14:paraId="0371C480" w14:textId="77777777" w:rsidR="00F07E8C" w:rsidRPr="00472DB8" w:rsidRDefault="00F07E8C" w:rsidP="00831EC9">
      <w:pPr>
        <w:rPr>
          <w:rFonts w:ascii="Times" w:hAnsi="Times" w:cs="Times"/>
        </w:rPr>
      </w:pPr>
    </w:p>
    <w:p w14:paraId="60E4B30B" w14:textId="77777777" w:rsidR="00472DB8" w:rsidRDefault="00472DB8" w:rsidP="00831EC9">
      <w:pPr>
        <w:ind w:firstLine="0"/>
        <w:rPr>
          <w:rFonts w:ascii="Times" w:hAnsi="Times" w:cs="Times"/>
        </w:rPr>
      </w:pPr>
    </w:p>
    <w:p w14:paraId="3E8C11B5" w14:textId="77777777" w:rsidR="00F07E8C" w:rsidRPr="00472DB8" w:rsidRDefault="00F07E8C" w:rsidP="00831EC9">
      <w:pPr>
        <w:ind w:firstLine="0"/>
        <w:rPr>
          <w:rFonts w:ascii="Times" w:hAnsi="Times" w:cs="Times"/>
          <w:spacing w:val="-2"/>
        </w:rPr>
      </w:pPr>
      <w:r w:rsidRPr="00472DB8">
        <w:rPr>
          <w:rFonts w:ascii="Times" w:hAnsi="Times" w:cs="Times"/>
        </w:rPr>
        <w:t xml:space="preserve">By the </w:t>
      </w:r>
      <w:r w:rsidRPr="00472DB8">
        <w:rPr>
          <w:rFonts w:ascii="Times" w:hAnsi="Times" w:cs="Times"/>
          <w:spacing w:val="-2"/>
        </w:rPr>
        <w:t xml:space="preserve">Commission: </w:t>
      </w:r>
    </w:p>
    <w:p w14:paraId="770E16C4" w14:textId="77777777" w:rsidR="00A95BB2" w:rsidRPr="00472DB8" w:rsidRDefault="00A95BB2" w:rsidP="00831EC9">
      <w:pPr>
        <w:ind w:firstLine="0"/>
        <w:rPr>
          <w:rFonts w:ascii="Times" w:hAnsi="Times" w:cs="Times"/>
          <w:spacing w:val="-2"/>
        </w:rPr>
      </w:pPr>
    </w:p>
    <w:p w14:paraId="1E9010DE" w14:textId="77777777" w:rsidR="00F07E8C" w:rsidRPr="00472DB8" w:rsidRDefault="00F07E8C" w:rsidP="00831EC9">
      <w:pPr>
        <w:rPr>
          <w:rFonts w:ascii="Times" w:hAnsi="Times" w:cs="Times"/>
          <w:b/>
        </w:rPr>
      </w:pPr>
    </w:p>
    <w:p w14:paraId="17E3CC66" w14:textId="77777777" w:rsidR="005F71A0" w:rsidRPr="00472DB8" w:rsidRDefault="005F71A0" w:rsidP="00831EC9">
      <w:pPr>
        <w:pStyle w:val="ListParagraph"/>
        <w:numPr>
          <w:ilvl w:val="0"/>
          <w:numId w:val="1"/>
        </w:numPr>
        <w:ind w:left="0" w:firstLine="0"/>
        <w:rPr>
          <w:rFonts w:ascii="Times" w:hAnsi="Times" w:cs="Times"/>
          <w:b/>
        </w:rPr>
      </w:pPr>
      <w:r w:rsidRPr="00472DB8">
        <w:rPr>
          <w:rFonts w:ascii="Times" w:hAnsi="Times" w:cs="Times"/>
          <w:b/>
        </w:rPr>
        <w:t>INTRODUCTION</w:t>
      </w:r>
    </w:p>
    <w:p w14:paraId="19251DEE" w14:textId="77777777" w:rsidR="00E427FE" w:rsidRPr="00472DB8" w:rsidRDefault="00E427FE" w:rsidP="00831EC9">
      <w:pPr>
        <w:pStyle w:val="ListParagraph"/>
        <w:ind w:left="0" w:firstLine="0"/>
        <w:rPr>
          <w:rFonts w:ascii="Times" w:hAnsi="Times" w:cs="Times"/>
          <w:b/>
        </w:rPr>
      </w:pPr>
    </w:p>
    <w:p w14:paraId="3FF9E1C4" w14:textId="3295C53F" w:rsidR="005F71A0" w:rsidRPr="00472DB8" w:rsidRDefault="005F71A0" w:rsidP="00E75380">
      <w:pPr>
        <w:pStyle w:val="ListParagraph"/>
        <w:numPr>
          <w:ilvl w:val="0"/>
          <w:numId w:val="16"/>
        </w:numPr>
        <w:ind w:left="0"/>
        <w:jc w:val="left"/>
        <w:rPr>
          <w:rFonts w:ascii="Times" w:hAnsi="Times" w:cs="Times"/>
          <w:i/>
        </w:rPr>
      </w:pPr>
      <w:r w:rsidRPr="00472DB8">
        <w:rPr>
          <w:rFonts w:ascii="Times" w:hAnsi="Times" w:cs="Times"/>
        </w:rPr>
        <w:t xml:space="preserve">In this </w:t>
      </w:r>
      <w:r w:rsidRPr="00472DB8">
        <w:rPr>
          <w:rFonts w:ascii="Times" w:hAnsi="Times" w:cs="Times"/>
          <w:i/>
        </w:rPr>
        <w:t>Sixth Order on Reconsideration</w:t>
      </w:r>
      <w:r w:rsidRPr="00472DB8">
        <w:rPr>
          <w:rFonts w:ascii="Times" w:hAnsi="Times" w:cs="Times"/>
        </w:rPr>
        <w:t>, we grant in part</w:t>
      </w:r>
      <w:r w:rsidR="00BC45E6" w:rsidRPr="00472DB8">
        <w:rPr>
          <w:rFonts w:ascii="Times" w:hAnsi="Times" w:cs="Times"/>
        </w:rPr>
        <w:t xml:space="preserve"> and deny in part</w:t>
      </w:r>
      <w:r w:rsidRPr="00472DB8">
        <w:rPr>
          <w:rFonts w:ascii="Times" w:hAnsi="Times" w:cs="Times"/>
        </w:rPr>
        <w:t xml:space="preserve"> </w:t>
      </w:r>
      <w:r w:rsidR="0003619C" w:rsidRPr="00472DB8">
        <w:rPr>
          <w:rFonts w:ascii="Times" w:hAnsi="Times" w:cs="Times"/>
        </w:rPr>
        <w:t>Prometheus Radio Project’s Petition</w:t>
      </w:r>
      <w:r w:rsidRPr="00472DB8">
        <w:rPr>
          <w:rFonts w:ascii="Times" w:hAnsi="Times" w:cs="Times"/>
        </w:rPr>
        <w:t xml:space="preserve"> for Reconsideration of the </w:t>
      </w:r>
      <w:r w:rsidRPr="00472DB8">
        <w:rPr>
          <w:rFonts w:ascii="Times" w:hAnsi="Times" w:cs="Times"/>
          <w:i/>
        </w:rPr>
        <w:t>Sixth Report and Order</w:t>
      </w:r>
      <w:r w:rsidRPr="00472DB8">
        <w:rPr>
          <w:rFonts w:ascii="Times" w:hAnsi="Times" w:cs="Times"/>
        </w:rPr>
        <w:t xml:space="preserve"> in this proceeding.</w:t>
      </w:r>
      <w:r w:rsidR="00234B43" w:rsidRPr="00472DB8">
        <w:rPr>
          <w:rStyle w:val="FootnoteReference"/>
          <w:rFonts w:ascii="Times" w:hAnsi="Times" w:cs="Times"/>
        </w:rPr>
        <w:footnoteReference w:id="2"/>
      </w:r>
      <w:r w:rsidRPr="00472DB8">
        <w:rPr>
          <w:rFonts w:ascii="Times" w:hAnsi="Times" w:cs="Times"/>
        </w:rPr>
        <w:t xml:space="preserve">  In particular, we </w:t>
      </w:r>
      <w:r w:rsidR="009729F5" w:rsidRPr="00472DB8">
        <w:rPr>
          <w:rFonts w:ascii="Times" w:hAnsi="Times" w:cs="Times"/>
        </w:rPr>
        <w:t xml:space="preserve">make minor revisions to the rule </w:t>
      </w:r>
      <w:r w:rsidR="009D229E" w:rsidRPr="00472DB8">
        <w:rPr>
          <w:rFonts w:ascii="Times" w:hAnsi="Times" w:cs="Times"/>
        </w:rPr>
        <w:t xml:space="preserve">that </w:t>
      </w:r>
      <w:r w:rsidR="000B3345" w:rsidRPr="00472DB8">
        <w:rPr>
          <w:rFonts w:ascii="Times" w:hAnsi="Times" w:cs="Times"/>
        </w:rPr>
        <w:t>protects the input signals</w:t>
      </w:r>
      <w:r w:rsidR="00183BC9" w:rsidRPr="00472DB8">
        <w:rPr>
          <w:rStyle w:val="FootnoteReference"/>
          <w:rFonts w:ascii="Times" w:hAnsi="Times" w:cs="Times"/>
        </w:rPr>
        <w:footnoteReference w:id="3"/>
      </w:r>
      <w:r w:rsidR="000B3345" w:rsidRPr="00472DB8">
        <w:rPr>
          <w:rFonts w:ascii="Times" w:hAnsi="Times" w:cs="Times"/>
        </w:rPr>
        <w:t xml:space="preserve"> of FM translator and FM booster stations from </w:t>
      </w:r>
      <w:r w:rsidR="009729F5" w:rsidRPr="00472DB8">
        <w:rPr>
          <w:rFonts w:ascii="Times" w:hAnsi="Times" w:cs="Times"/>
        </w:rPr>
        <w:t xml:space="preserve">interference </w:t>
      </w:r>
      <w:r w:rsidR="00D676BA" w:rsidRPr="00472DB8">
        <w:rPr>
          <w:rFonts w:ascii="Times" w:hAnsi="Times" w:cs="Times"/>
        </w:rPr>
        <w:t>by low power FM (“LPFM”) stations</w:t>
      </w:r>
      <w:r w:rsidRPr="00472DB8">
        <w:rPr>
          <w:rFonts w:ascii="Times" w:hAnsi="Times" w:cs="Times"/>
        </w:rPr>
        <w:t xml:space="preserve">.  We also deny </w:t>
      </w:r>
      <w:r w:rsidR="0003619C" w:rsidRPr="00472DB8">
        <w:rPr>
          <w:rFonts w:ascii="Times" w:hAnsi="Times" w:cs="Times"/>
        </w:rPr>
        <w:t>the remaining</w:t>
      </w:r>
      <w:r w:rsidRPr="00472DB8">
        <w:rPr>
          <w:rFonts w:ascii="Times" w:hAnsi="Times" w:cs="Times"/>
        </w:rPr>
        <w:t xml:space="preserve"> </w:t>
      </w:r>
      <w:r w:rsidR="00F95836" w:rsidRPr="00472DB8">
        <w:rPr>
          <w:rFonts w:ascii="Times" w:hAnsi="Times" w:cs="Times"/>
        </w:rPr>
        <w:t>four p</w:t>
      </w:r>
      <w:r w:rsidRPr="00472DB8">
        <w:rPr>
          <w:rFonts w:ascii="Times" w:hAnsi="Times" w:cs="Times"/>
        </w:rPr>
        <w:t xml:space="preserve">etitions for </w:t>
      </w:r>
      <w:r w:rsidR="00F95836" w:rsidRPr="00472DB8">
        <w:rPr>
          <w:rFonts w:ascii="Times" w:hAnsi="Times" w:cs="Times"/>
        </w:rPr>
        <w:t>r</w:t>
      </w:r>
      <w:r w:rsidRPr="00472DB8">
        <w:rPr>
          <w:rFonts w:ascii="Times" w:hAnsi="Times" w:cs="Times"/>
        </w:rPr>
        <w:t>econsideration</w:t>
      </w:r>
      <w:r w:rsidR="002D08C4" w:rsidRPr="00472DB8">
        <w:rPr>
          <w:rStyle w:val="FootnoteReference"/>
          <w:rFonts w:ascii="Times" w:hAnsi="Times" w:cs="Times"/>
        </w:rPr>
        <w:footnoteReference w:id="4"/>
      </w:r>
      <w:r w:rsidR="000B3345" w:rsidRPr="00472DB8">
        <w:rPr>
          <w:rFonts w:ascii="Times" w:hAnsi="Times" w:cs="Times"/>
        </w:rPr>
        <w:t xml:space="preserve"> </w:t>
      </w:r>
      <w:r w:rsidR="00042E5B" w:rsidRPr="00472DB8">
        <w:rPr>
          <w:rFonts w:ascii="Times" w:hAnsi="Times" w:cs="Times"/>
        </w:rPr>
        <w:t>f</w:t>
      </w:r>
      <w:r w:rsidR="00683E35" w:rsidRPr="00472DB8">
        <w:rPr>
          <w:rFonts w:ascii="Times" w:hAnsi="Times" w:cs="Times"/>
        </w:rPr>
        <w:t>or the reasons set forth below.</w:t>
      </w:r>
      <w:r w:rsidR="009729F5" w:rsidRPr="00472DB8">
        <w:rPr>
          <w:rFonts w:ascii="Times" w:hAnsi="Times" w:cs="Times"/>
        </w:rPr>
        <w:t xml:space="preserve"> </w:t>
      </w:r>
      <w:r w:rsidR="003334C4" w:rsidRPr="00472DB8">
        <w:rPr>
          <w:rFonts w:ascii="Times" w:hAnsi="Times" w:cs="Times"/>
        </w:rPr>
        <w:t xml:space="preserve">The actions we take will provide </w:t>
      </w:r>
      <w:r w:rsidR="00CC300A" w:rsidRPr="00472DB8">
        <w:rPr>
          <w:rFonts w:ascii="Times" w:hAnsi="Times" w:cs="Times"/>
        </w:rPr>
        <w:t xml:space="preserve">clarification of the LPFM rules </w:t>
      </w:r>
      <w:r w:rsidR="00043275" w:rsidRPr="00472DB8">
        <w:rPr>
          <w:rFonts w:ascii="Times" w:hAnsi="Times" w:cs="Times"/>
        </w:rPr>
        <w:t>for</w:t>
      </w:r>
      <w:r w:rsidR="00CC300A" w:rsidRPr="00472DB8">
        <w:rPr>
          <w:rFonts w:ascii="Times" w:hAnsi="Times" w:cs="Times"/>
        </w:rPr>
        <w:t xml:space="preserve"> entities preparing </w:t>
      </w:r>
      <w:r w:rsidR="007B309B" w:rsidRPr="00472DB8">
        <w:rPr>
          <w:rFonts w:ascii="Times" w:hAnsi="Times" w:cs="Times"/>
        </w:rPr>
        <w:t xml:space="preserve">for </w:t>
      </w:r>
      <w:r w:rsidR="00CC300A" w:rsidRPr="00472DB8">
        <w:rPr>
          <w:rFonts w:ascii="Times" w:hAnsi="Times" w:cs="Times"/>
        </w:rPr>
        <w:t>the upcoming LPFM filing window.</w:t>
      </w:r>
      <w:r w:rsidR="00384188" w:rsidRPr="00472DB8">
        <w:rPr>
          <w:rStyle w:val="FootnoteReference"/>
          <w:rFonts w:ascii="Times" w:hAnsi="Times" w:cs="Times"/>
        </w:rPr>
        <w:footnoteReference w:id="5"/>
      </w:r>
    </w:p>
    <w:p w14:paraId="7056FFC8" w14:textId="77777777" w:rsidR="005F71A0" w:rsidRPr="00472DB8" w:rsidRDefault="005F71A0" w:rsidP="00E75380">
      <w:pPr>
        <w:pStyle w:val="ListParagraph"/>
        <w:ind w:left="0"/>
        <w:jc w:val="left"/>
        <w:rPr>
          <w:rFonts w:ascii="Times" w:hAnsi="Times" w:cs="Times"/>
          <w:b/>
        </w:rPr>
      </w:pPr>
    </w:p>
    <w:p w14:paraId="549F84DB" w14:textId="77777777" w:rsidR="005F71A0" w:rsidRPr="00472DB8" w:rsidRDefault="005F71A0" w:rsidP="00E75380">
      <w:pPr>
        <w:pStyle w:val="ListParagraph"/>
        <w:numPr>
          <w:ilvl w:val="0"/>
          <w:numId w:val="1"/>
        </w:numPr>
        <w:ind w:left="0" w:firstLine="0"/>
        <w:jc w:val="left"/>
        <w:rPr>
          <w:rFonts w:ascii="Times" w:hAnsi="Times" w:cs="Times"/>
          <w:b/>
        </w:rPr>
      </w:pPr>
      <w:r w:rsidRPr="00472DB8">
        <w:rPr>
          <w:rFonts w:ascii="Times" w:hAnsi="Times" w:cs="Times"/>
          <w:b/>
        </w:rPr>
        <w:t>BACKGROUND</w:t>
      </w:r>
    </w:p>
    <w:p w14:paraId="06B8A04D" w14:textId="77777777" w:rsidR="00866AFD" w:rsidRPr="00472DB8" w:rsidRDefault="00866AFD" w:rsidP="00E75380">
      <w:pPr>
        <w:pStyle w:val="ListParagraph"/>
        <w:ind w:left="0" w:firstLine="0"/>
        <w:jc w:val="left"/>
        <w:rPr>
          <w:rFonts w:ascii="Times" w:hAnsi="Times" w:cs="Times"/>
          <w:b/>
        </w:rPr>
      </w:pPr>
    </w:p>
    <w:p w14:paraId="73EA5C2C" w14:textId="77777777" w:rsidR="00193DB0" w:rsidRPr="00472DB8" w:rsidRDefault="00B72A09" w:rsidP="00E75380">
      <w:pPr>
        <w:pStyle w:val="ListParagraph"/>
        <w:numPr>
          <w:ilvl w:val="0"/>
          <w:numId w:val="16"/>
        </w:numPr>
        <w:ind w:left="0"/>
        <w:jc w:val="left"/>
        <w:rPr>
          <w:rFonts w:ascii="Times" w:hAnsi="Times" w:cs="Times"/>
        </w:rPr>
      </w:pPr>
      <w:r w:rsidRPr="00472DB8">
        <w:rPr>
          <w:rFonts w:ascii="Times" w:hAnsi="Times" w:cs="Times"/>
        </w:rPr>
        <w:lastRenderedPageBreak/>
        <w:t xml:space="preserve">On March 19, 2012, </w:t>
      </w:r>
      <w:r w:rsidR="00751AA1" w:rsidRPr="00472DB8">
        <w:rPr>
          <w:rFonts w:ascii="Times" w:hAnsi="Times" w:cs="Times"/>
        </w:rPr>
        <w:t xml:space="preserve">the Commission </w:t>
      </w:r>
      <w:r w:rsidRPr="00472DB8">
        <w:rPr>
          <w:rFonts w:ascii="Times" w:hAnsi="Times" w:cs="Times"/>
        </w:rPr>
        <w:t xml:space="preserve">released a </w:t>
      </w:r>
      <w:r w:rsidRPr="00472DB8">
        <w:rPr>
          <w:rFonts w:ascii="Times" w:hAnsi="Times" w:cs="Times"/>
          <w:i/>
        </w:rPr>
        <w:t>Fourth Furthe</w:t>
      </w:r>
      <w:r w:rsidR="00EC26DE" w:rsidRPr="00472DB8">
        <w:rPr>
          <w:rFonts w:ascii="Times" w:hAnsi="Times" w:cs="Times"/>
          <w:i/>
        </w:rPr>
        <w:t>r Notice of Proposed Rulemaking</w:t>
      </w:r>
      <w:r w:rsidRPr="00472DB8">
        <w:rPr>
          <w:rFonts w:ascii="Times" w:hAnsi="Times" w:cs="Times"/>
        </w:rPr>
        <w:t>,</w:t>
      </w:r>
      <w:r w:rsidRPr="00472DB8">
        <w:rPr>
          <w:rStyle w:val="FootnoteReference"/>
          <w:rFonts w:ascii="Times" w:hAnsi="Times" w:cs="Times"/>
        </w:rPr>
        <w:footnoteReference w:id="6"/>
      </w:r>
      <w:r w:rsidRPr="00472DB8">
        <w:rPr>
          <w:rFonts w:ascii="Times" w:hAnsi="Times" w:cs="Times"/>
        </w:rPr>
        <w:t xml:space="preserve"> seeking comment on proposals to amend the Commission’s rules (“Rules”) to implement provisions of the Local Community Radio Act of 2010 (“LCRA”)</w:t>
      </w:r>
      <w:r w:rsidRPr="00472DB8">
        <w:rPr>
          <w:rStyle w:val="FootnoteReference"/>
          <w:rFonts w:ascii="Times" w:hAnsi="Times" w:cs="Times"/>
        </w:rPr>
        <w:footnoteReference w:id="7"/>
      </w:r>
      <w:r w:rsidRPr="00472DB8">
        <w:rPr>
          <w:rFonts w:ascii="Times" w:hAnsi="Times" w:cs="Times"/>
        </w:rPr>
        <w:t xml:space="preserve"> and to promote a more sustainable community radio service.  These proposed changes were intended to advance the LCRA’s core goals of localism and diversity while preserving the technical integrity of all of the FM services.  </w:t>
      </w:r>
    </w:p>
    <w:p w14:paraId="00DEF8A7" w14:textId="77777777" w:rsidR="00193DB0" w:rsidRPr="00472DB8" w:rsidRDefault="00193DB0" w:rsidP="00E75380">
      <w:pPr>
        <w:pStyle w:val="ListParagraph"/>
        <w:ind w:left="0"/>
        <w:jc w:val="left"/>
        <w:rPr>
          <w:rFonts w:ascii="Times" w:hAnsi="Times" w:cs="Times"/>
        </w:rPr>
      </w:pPr>
    </w:p>
    <w:p w14:paraId="04F5CB1B" w14:textId="3BB94822" w:rsidR="00106DAD" w:rsidRPr="00472DB8" w:rsidRDefault="00193DB0" w:rsidP="00E75380">
      <w:pPr>
        <w:pStyle w:val="ListParagraph"/>
        <w:numPr>
          <w:ilvl w:val="0"/>
          <w:numId w:val="16"/>
        </w:numPr>
        <w:ind w:left="0"/>
        <w:jc w:val="left"/>
        <w:rPr>
          <w:rFonts w:ascii="Times" w:hAnsi="Times" w:cs="Times"/>
        </w:rPr>
      </w:pPr>
      <w:r w:rsidRPr="00472DB8">
        <w:rPr>
          <w:rFonts w:ascii="Times" w:hAnsi="Times" w:cs="Times"/>
        </w:rPr>
        <w:t xml:space="preserve">On </w:t>
      </w:r>
      <w:r w:rsidR="00EA6A48" w:rsidRPr="00472DB8">
        <w:rPr>
          <w:rFonts w:ascii="Times" w:hAnsi="Times" w:cs="Times"/>
        </w:rPr>
        <w:t xml:space="preserve">December 4, 2012, </w:t>
      </w:r>
      <w:r w:rsidR="00751AA1" w:rsidRPr="00472DB8">
        <w:rPr>
          <w:rFonts w:ascii="Times" w:hAnsi="Times" w:cs="Times"/>
        </w:rPr>
        <w:t>the Commission</w:t>
      </w:r>
      <w:r w:rsidR="00EA6A48" w:rsidRPr="00472DB8">
        <w:rPr>
          <w:rFonts w:ascii="Times" w:hAnsi="Times" w:cs="Times"/>
        </w:rPr>
        <w:t xml:space="preserve"> released </w:t>
      </w:r>
      <w:r w:rsidR="00B72A09" w:rsidRPr="00472DB8">
        <w:rPr>
          <w:rFonts w:ascii="Times" w:hAnsi="Times" w:cs="Times"/>
        </w:rPr>
        <w:t xml:space="preserve">the </w:t>
      </w:r>
      <w:r w:rsidR="00B72A09" w:rsidRPr="00472DB8">
        <w:rPr>
          <w:rFonts w:ascii="Times" w:hAnsi="Times" w:cs="Times"/>
          <w:i/>
        </w:rPr>
        <w:t>Sixth Report and Order</w:t>
      </w:r>
      <w:r w:rsidR="00B72A09" w:rsidRPr="00472DB8">
        <w:rPr>
          <w:rFonts w:ascii="Times" w:hAnsi="Times" w:cs="Times"/>
        </w:rPr>
        <w:t xml:space="preserve">, </w:t>
      </w:r>
      <w:r w:rsidRPr="00472DB8">
        <w:rPr>
          <w:rFonts w:ascii="Times" w:hAnsi="Times" w:cs="Times"/>
        </w:rPr>
        <w:t xml:space="preserve">in which </w:t>
      </w:r>
      <w:r w:rsidR="00751AA1" w:rsidRPr="00472DB8">
        <w:rPr>
          <w:rFonts w:ascii="Times" w:hAnsi="Times" w:cs="Times"/>
        </w:rPr>
        <w:t xml:space="preserve">it </w:t>
      </w:r>
      <w:r w:rsidR="00B72A09" w:rsidRPr="00472DB8">
        <w:rPr>
          <w:rFonts w:ascii="Times" w:hAnsi="Times" w:cs="Times"/>
        </w:rPr>
        <w:t>adopted numerous measures to complete implementation of the LCRA</w:t>
      </w:r>
      <w:r w:rsidR="000B3345" w:rsidRPr="00472DB8">
        <w:rPr>
          <w:rFonts w:ascii="Times" w:hAnsi="Times" w:cs="Times"/>
        </w:rPr>
        <w:t xml:space="preserve">, service and licensing rules </w:t>
      </w:r>
      <w:r w:rsidR="00B72A09" w:rsidRPr="00472DB8">
        <w:rPr>
          <w:rFonts w:ascii="Times" w:hAnsi="Times" w:cs="Times"/>
        </w:rPr>
        <w:t xml:space="preserve">to promote </w:t>
      </w:r>
      <w:r w:rsidR="00892F1C" w:rsidRPr="00472DB8">
        <w:rPr>
          <w:rFonts w:ascii="Times" w:hAnsi="Times" w:cs="Times"/>
        </w:rPr>
        <w:t>the LCRA’s aforementioned</w:t>
      </w:r>
      <w:r w:rsidR="000718D6" w:rsidRPr="00472DB8">
        <w:rPr>
          <w:rFonts w:ascii="Times" w:hAnsi="Times" w:cs="Times"/>
        </w:rPr>
        <w:t xml:space="preserve"> </w:t>
      </w:r>
      <w:r w:rsidR="000B3345" w:rsidRPr="00472DB8">
        <w:rPr>
          <w:rFonts w:ascii="Times" w:hAnsi="Times" w:cs="Times"/>
        </w:rPr>
        <w:t>goals</w:t>
      </w:r>
      <w:r w:rsidR="0040446C" w:rsidRPr="00472DB8">
        <w:rPr>
          <w:rFonts w:ascii="Times" w:hAnsi="Times" w:cs="Times"/>
        </w:rPr>
        <w:t>,</w:t>
      </w:r>
      <w:r w:rsidR="000B3345" w:rsidRPr="00472DB8">
        <w:rPr>
          <w:rFonts w:ascii="Times" w:hAnsi="Times" w:cs="Times"/>
        </w:rPr>
        <w:t xml:space="preserve"> and technical rules to </w:t>
      </w:r>
      <w:r w:rsidR="0040446C" w:rsidRPr="00472DB8">
        <w:rPr>
          <w:rFonts w:ascii="Times" w:hAnsi="Times" w:cs="Times"/>
        </w:rPr>
        <w:t>ensure</w:t>
      </w:r>
      <w:r w:rsidR="000B3345" w:rsidRPr="00472DB8">
        <w:rPr>
          <w:rFonts w:ascii="Times" w:hAnsi="Times" w:cs="Times"/>
        </w:rPr>
        <w:t xml:space="preserve"> the</w:t>
      </w:r>
      <w:r w:rsidR="00B72A09" w:rsidRPr="00472DB8">
        <w:rPr>
          <w:rFonts w:ascii="Times" w:hAnsi="Times" w:cs="Times"/>
        </w:rPr>
        <w:t xml:space="preserve"> efficient use of the radio broadcast spectrum.  </w:t>
      </w:r>
      <w:r w:rsidR="00892F1C" w:rsidRPr="00472DB8">
        <w:rPr>
          <w:rFonts w:ascii="Times" w:hAnsi="Times" w:cs="Times"/>
        </w:rPr>
        <w:t>The f</w:t>
      </w:r>
      <w:r w:rsidR="00B72A09" w:rsidRPr="00472DB8">
        <w:rPr>
          <w:rFonts w:ascii="Times" w:hAnsi="Times" w:cs="Times"/>
        </w:rPr>
        <w:t xml:space="preserve">ive </w:t>
      </w:r>
      <w:r w:rsidR="00892F1C" w:rsidRPr="00472DB8">
        <w:rPr>
          <w:rFonts w:ascii="Times" w:hAnsi="Times" w:cs="Times"/>
        </w:rPr>
        <w:t>P</w:t>
      </w:r>
      <w:r w:rsidR="00B72A09" w:rsidRPr="00472DB8">
        <w:rPr>
          <w:rFonts w:ascii="Times" w:hAnsi="Times" w:cs="Times"/>
        </w:rPr>
        <w:t xml:space="preserve">etitions were filed following Federal Register publication of the </w:t>
      </w:r>
      <w:r w:rsidR="00B72A09" w:rsidRPr="00472DB8">
        <w:rPr>
          <w:rFonts w:ascii="Times" w:hAnsi="Times" w:cs="Times"/>
          <w:i/>
        </w:rPr>
        <w:t>Sixth Report and Order</w:t>
      </w:r>
      <w:r w:rsidR="00B72A09" w:rsidRPr="00472DB8">
        <w:rPr>
          <w:rFonts w:ascii="Times" w:hAnsi="Times" w:cs="Times"/>
        </w:rPr>
        <w:t>.</w:t>
      </w:r>
      <w:r w:rsidR="00B72A09" w:rsidRPr="00472DB8">
        <w:rPr>
          <w:rStyle w:val="FootnoteReference"/>
          <w:rFonts w:ascii="Times" w:hAnsi="Times" w:cs="Times"/>
        </w:rPr>
        <w:footnoteReference w:id="8"/>
      </w:r>
      <w:r w:rsidR="00B72A09" w:rsidRPr="00472DB8">
        <w:rPr>
          <w:rFonts w:ascii="Times" w:hAnsi="Times" w:cs="Times"/>
        </w:rPr>
        <w:t xml:space="preserve">  </w:t>
      </w:r>
      <w:r w:rsidR="00062F9B" w:rsidRPr="00472DB8">
        <w:rPr>
          <w:rFonts w:ascii="Times" w:hAnsi="Times" w:cs="Times"/>
        </w:rPr>
        <w:t xml:space="preserve">These </w:t>
      </w:r>
      <w:r w:rsidR="00892F1C" w:rsidRPr="00472DB8">
        <w:rPr>
          <w:rFonts w:ascii="Times" w:hAnsi="Times" w:cs="Times"/>
        </w:rPr>
        <w:t>P</w:t>
      </w:r>
      <w:r w:rsidR="00062F9B" w:rsidRPr="00472DB8">
        <w:rPr>
          <w:rFonts w:ascii="Times" w:hAnsi="Times" w:cs="Times"/>
        </w:rPr>
        <w:t xml:space="preserve">etitions address only a narrow range of rule changes -- </w:t>
      </w:r>
      <w:r w:rsidR="00043856" w:rsidRPr="000B08B9">
        <w:rPr>
          <w:rFonts w:ascii="Times" w:hAnsi="Times" w:cs="Times"/>
        </w:rPr>
        <w:t>LPFM eligibility requirements, whether to identify and award construction permits to “secondary” grantees</w:t>
      </w:r>
      <w:r w:rsidR="00043856">
        <w:rPr>
          <w:rFonts w:ascii="Times" w:hAnsi="Times" w:cs="Times"/>
        </w:rPr>
        <w:t xml:space="preserve">, </w:t>
      </w:r>
      <w:r w:rsidR="00043856" w:rsidRPr="000B08B9">
        <w:rPr>
          <w:rFonts w:ascii="Times" w:hAnsi="Times" w:cs="Times"/>
        </w:rPr>
        <w:t>protection standards for FM translator input signals</w:t>
      </w:r>
      <w:r w:rsidR="00043856">
        <w:rPr>
          <w:rFonts w:ascii="Times" w:hAnsi="Times" w:cs="Times"/>
        </w:rPr>
        <w:t xml:space="preserve">, </w:t>
      </w:r>
      <w:r w:rsidR="00043856" w:rsidRPr="000B08B9">
        <w:rPr>
          <w:rFonts w:ascii="Times" w:hAnsi="Times" w:cs="Times"/>
        </w:rPr>
        <w:t>protection requirements toward LPFM stations operating with reduced power</w:t>
      </w:r>
      <w:r w:rsidR="00043856">
        <w:rPr>
          <w:rFonts w:ascii="Times" w:hAnsi="Times" w:cs="Times"/>
        </w:rPr>
        <w:t xml:space="preserve">, and </w:t>
      </w:r>
      <w:r w:rsidR="00043856" w:rsidRPr="000B08B9">
        <w:rPr>
          <w:rFonts w:ascii="Times" w:hAnsi="Times" w:cs="Times"/>
        </w:rPr>
        <w:t>periodic announcements by LPFM stations regarding potential interference</w:t>
      </w:r>
      <w:r w:rsidR="005F5BC0" w:rsidRPr="00472DB8">
        <w:rPr>
          <w:rFonts w:ascii="Times" w:hAnsi="Times" w:cs="Times"/>
        </w:rPr>
        <w:t>.</w:t>
      </w:r>
      <w:r w:rsidR="00384188" w:rsidRPr="00472DB8">
        <w:rPr>
          <w:rStyle w:val="FootnoteReference"/>
          <w:rFonts w:ascii="Times" w:hAnsi="Times" w:cs="Times"/>
        </w:rPr>
        <w:footnoteReference w:id="9"/>
      </w:r>
      <w:r w:rsidR="00461F5E" w:rsidRPr="00472DB8">
        <w:rPr>
          <w:rFonts w:ascii="Times" w:hAnsi="Times" w:cs="Times"/>
        </w:rPr>
        <w:t xml:space="preserve"> </w:t>
      </w:r>
      <w:r w:rsidR="00751AA1" w:rsidRPr="00472DB8">
        <w:rPr>
          <w:rFonts w:ascii="Times" w:hAnsi="Times" w:cs="Times"/>
        </w:rPr>
        <w:t xml:space="preserve"> </w:t>
      </w:r>
      <w:r w:rsidR="009466A5" w:rsidRPr="00472DB8">
        <w:rPr>
          <w:rFonts w:ascii="Times" w:hAnsi="Times" w:cs="Times"/>
        </w:rPr>
        <w:t xml:space="preserve">One petition addresses the </w:t>
      </w:r>
      <w:r w:rsidR="00462346" w:rsidRPr="00472DB8">
        <w:rPr>
          <w:rFonts w:ascii="Times" w:hAnsi="Times" w:cs="Times"/>
        </w:rPr>
        <w:t>decision</w:t>
      </w:r>
      <w:r w:rsidR="005908F2" w:rsidRPr="00472DB8">
        <w:rPr>
          <w:rFonts w:ascii="Times" w:hAnsi="Times" w:cs="Times"/>
        </w:rPr>
        <w:t>s</w:t>
      </w:r>
      <w:r w:rsidR="00462346" w:rsidRPr="00472DB8">
        <w:rPr>
          <w:rFonts w:ascii="Times" w:hAnsi="Times" w:cs="Times"/>
        </w:rPr>
        <w:t xml:space="preserve"> to eliminate the LP10 </w:t>
      </w:r>
      <w:r w:rsidR="005908F2" w:rsidRPr="00472DB8">
        <w:rPr>
          <w:rFonts w:ascii="Times" w:hAnsi="Times" w:cs="Times"/>
        </w:rPr>
        <w:t xml:space="preserve">service </w:t>
      </w:r>
      <w:r w:rsidR="00462346" w:rsidRPr="00472DB8">
        <w:rPr>
          <w:rFonts w:ascii="Times" w:hAnsi="Times" w:cs="Times"/>
        </w:rPr>
        <w:t>class</w:t>
      </w:r>
      <w:r w:rsidR="005908F2" w:rsidRPr="00472DB8">
        <w:rPr>
          <w:rFonts w:ascii="Times" w:hAnsi="Times" w:cs="Times"/>
        </w:rPr>
        <w:t xml:space="preserve"> </w:t>
      </w:r>
      <w:r w:rsidR="00320811" w:rsidRPr="00472DB8">
        <w:rPr>
          <w:rFonts w:ascii="Times" w:hAnsi="Times" w:cs="Times"/>
        </w:rPr>
        <w:t xml:space="preserve">(that is, the class </w:t>
      </w:r>
      <w:r w:rsidR="00E408A6" w:rsidRPr="00472DB8">
        <w:rPr>
          <w:rFonts w:ascii="Times" w:hAnsi="Times" w:cs="Times"/>
        </w:rPr>
        <w:t xml:space="preserve">of LPFM stations that </w:t>
      </w:r>
      <w:r w:rsidR="00852CF5" w:rsidRPr="00472DB8">
        <w:rPr>
          <w:rFonts w:ascii="Times" w:hAnsi="Times" w:cs="Times"/>
        </w:rPr>
        <w:t>is authorized</w:t>
      </w:r>
      <w:r w:rsidR="00E408A6" w:rsidRPr="00472DB8">
        <w:rPr>
          <w:rFonts w:ascii="Times" w:hAnsi="Times" w:cs="Times"/>
        </w:rPr>
        <w:t xml:space="preserve"> to operate</w:t>
      </w:r>
      <w:r w:rsidR="00320811" w:rsidRPr="00472DB8">
        <w:rPr>
          <w:rFonts w:ascii="Times" w:hAnsi="Times" w:cs="Times"/>
        </w:rPr>
        <w:t xml:space="preserve"> at a power level </w:t>
      </w:r>
      <w:r w:rsidR="00E408A6" w:rsidRPr="00472DB8">
        <w:rPr>
          <w:rFonts w:ascii="Times" w:hAnsi="Times" w:cs="Times"/>
        </w:rPr>
        <w:t xml:space="preserve">of </w:t>
      </w:r>
      <w:r w:rsidR="00320811" w:rsidRPr="00472DB8">
        <w:rPr>
          <w:rFonts w:ascii="Times" w:hAnsi="Times" w:cs="Times"/>
        </w:rPr>
        <w:t xml:space="preserve">up to 10 Watts) </w:t>
      </w:r>
      <w:r w:rsidR="005908F2" w:rsidRPr="00472DB8">
        <w:rPr>
          <w:rFonts w:ascii="Times" w:hAnsi="Times" w:cs="Times"/>
        </w:rPr>
        <w:t xml:space="preserve">and </w:t>
      </w:r>
      <w:r w:rsidR="009466A5" w:rsidRPr="00472DB8">
        <w:rPr>
          <w:rFonts w:ascii="Times" w:hAnsi="Times" w:cs="Times"/>
        </w:rPr>
        <w:t>decline adoption of</w:t>
      </w:r>
      <w:r w:rsidR="005908F2" w:rsidRPr="00472DB8">
        <w:rPr>
          <w:rFonts w:ascii="Times" w:hAnsi="Times" w:cs="Times"/>
        </w:rPr>
        <w:t xml:space="preserve"> an LP50 service class</w:t>
      </w:r>
      <w:r w:rsidR="00320811" w:rsidRPr="00472DB8">
        <w:rPr>
          <w:rFonts w:ascii="Times" w:hAnsi="Times" w:cs="Times"/>
        </w:rPr>
        <w:t xml:space="preserve"> (that is, a class that </w:t>
      </w:r>
      <w:r w:rsidR="00852CF5" w:rsidRPr="00472DB8">
        <w:rPr>
          <w:rFonts w:ascii="Times" w:hAnsi="Times" w:cs="Times"/>
        </w:rPr>
        <w:t>would be</w:t>
      </w:r>
      <w:r w:rsidR="00E408A6" w:rsidRPr="00472DB8">
        <w:rPr>
          <w:rFonts w:ascii="Times" w:hAnsi="Times" w:cs="Times"/>
        </w:rPr>
        <w:t xml:space="preserve"> authorized to operate</w:t>
      </w:r>
      <w:r w:rsidR="00320811" w:rsidRPr="00472DB8">
        <w:rPr>
          <w:rFonts w:ascii="Times" w:hAnsi="Times" w:cs="Times"/>
        </w:rPr>
        <w:t xml:space="preserve"> at a power level of up to 50 Watts)</w:t>
      </w:r>
      <w:r w:rsidR="00E170DD" w:rsidRPr="00472DB8">
        <w:rPr>
          <w:rFonts w:ascii="Times" w:hAnsi="Times" w:cs="Times"/>
        </w:rPr>
        <w:t>.</w:t>
      </w:r>
      <w:r w:rsidR="00384188" w:rsidRPr="00472DB8">
        <w:rPr>
          <w:rStyle w:val="FootnoteReference"/>
          <w:rFonts w:ascii="Times" w:hAnsi="Times" w:cs="Times"/>
        </w:rPr>
        <w:footnoteReference w:id="10"/>
      </w:r>
    </w:p>
    <w:p w14:paraId="647D7345" w14:textId="77777777" w:rsidR="000E3C47" w:rsidRPr="00472DB8" w:rsidRDefault="000E3C47" w:rsidP="00E75380">
      <w:pPr>
        <w:jc w:val="left"/>
        <w:rPr>
          <w:rFonts w:ascii="Times" w:hAnsi="Times" w:cs="Times"/>
        </w:rPr>
      </w:pPr>
    </w:p>
    <w:p w14:paraId="3BBC06B3" w14:textId="77777777" w:rsidR="00F318B6" w:rsidRPr="00472DB8" w:rsidRDefault="000E3C47" w:rsidP="00E75380">
      <w:pPr>
        <w:pStyle w:val="ListParagraph"/>
        <w:numPr>
          <w:ilvl w:val="0"/>
          <w:numId w:val="1"/>
        </w:numPr>
        <w:ind w:left="0" w:firstLine="0"/>
        <w:jc w:val="left"/>
        <w:rPr>
          <w:rFonts w:ascii="Times" w:hAnsi="Times" w:cs="Times"/>
          <w:b/>
        </w:rPr>
      </w:pPr>
      <w:r w:rsidRPr="00472DB8">
        <w:rPr>
          <w:rFonts w:ascii="Times" w:hAnsi="Times" w:cs="Times"/>
          <w:b/>
        </w:rPr>
        <w:t>DISCUSSION</w:t>
      </w:r>
    </w:p>
    <w:p w14:paraId="3759D972" w14:textId="77777777" w:rsidR="000E3C47" w:rsidRPr="00472DB8" w:rsidRDefault="000E3C47" w:rsidP="00E75380">
      <w:pPr>
        <w:pStyle w:val="ListParagraph"/>
        <w:ind w:left="0"/>
        <w:jc w:val="left"/>
        <w:rPr>
          <w:rFonts w:ascii="Times" w:hAnsi="Times" w:cs="Times"/>
          <w:b/>
        </w:rPr>
      </w:pPr>
    </w:p>
    <w:p w14:paraId="0CF7AAC8" w14:textId="5E2DDD0E" w:rsidR="007E3BC9" w:rsidRPr="00472DB8" w:rsidRDefault="004A624A" w:rsidP="00E75380">
      <w:pPr>
        <w:pStyle w:val="ListParagraph"/>
        <w:numPr>
          <w:ilvl w:val="0"/>
          <w:numId w:val="16"/>
        </w:numPr>
        <w:ind w:left="0"/>
        <w:jc w:val="left"/>
        <w:rPr>
          <w:rFonts w:ascii="Times" w:hAnsi="Times" w:cs="Times"/>
        </w:rPr>
      </w:pPr>
      <w:r w:rsidRPr="00472DB8">
        <w:rPr>
          <w:rFonts w:ascii="Times" w:hAnsi="Times" w:cs="Times"/>
        </w:rPr>
        <w:t>T</w:t>
      </w:r>
      <w:r w:rsidR="000E3C47" w:rsidRPr="00472DB8">
        <w:rPr>
          <w:rFonts w:ascii="Times" w:hAnsi="Times" w:cs="Times"/>
        </w:rPr>
        <w:t xml:space="preserve">he </w:t>
      </w:r>
      <w:r w:rsidR="00892F1C" w:rsidRPr="00472DB8">
        <w:rPr>
          <w:rFonts w:ascii="Times" w:hAnsi="Times" w:cs="Times"/>
        </w:rPr>
        <w:t>Petitions</w:t>
      </w:r>
      <w:r w:rsidR="000E3C47" w:rsidRPr="00472DB8">
        <w:rPr>
          <w:rFonts w:ascii="Times" w:hAnsi="Times" w:cs="Times"/>
        </w:rPr>
        <w:t xml:space="preserve">, </w:t>
      </w:r>
      <w:r w:rsidR="00F95836" w:rsidRPr="00472DB8">
        <w:rPr>
          <w:rFonts w:ascii="Times" w:hAnsi="Times" w:cs="Times"/>
        </w:rPr>
        <w:t xml:space="preserve">for the </w:t>
      </w:r>
      <w:r w:rsidR="000E3C47" w:rsidRPr="00472DB8">
        <w:rPr>
          <w:rFonts w:ascii="Times" w:hAnsi="Times" w:cs="Times"/>
        </w:rPr>
        <w:t xml:space="preserve">most </w:t>
      </w:r>
      <w:r w:rsidR="00F95836" w:rsidRPr="00472DB8">
        <w:rPr>
          <w:rFonts w:ascii="Times" w:hAnsi="Times" w:cs="Times"/>
        </w:rPr>
        <w:t>part</w:t>
      </w:r>
      <w:r w:rsidR="00CB5F3A" w:rsidRPr="00472DB8">
        <w:rPr>
          <w:rFonts w:ascii="Times" w:hAnsi="Times" w:cs="Times"/>
        </w:rPr>
        <w:t>,</w:t>
      </w:r>
      <w:r w:rsidR="00F95836" w:rsidRPr="00472DB8">
        <w:rPr>
          <w:rFonts w:ascii="Times" w:hAnsi="Times" w:cs="Times"/>
        </w:rPr>
        <w:t xml:space="preserve"> </w:t>
      </w:r>
      <w:r w:rsidR="000E3C47" w:rsidRPr="00472DB8">
        <w:rPr>
          <w:rFonts w:ascii="Times" w:hAnsi="Times" w:cs="Times"/>
        </w:rPr>
        <w:t>either repeat</w:t>
      </w:r>
      <w:r w:rsidR="00462346" w:rsidRPr="00472DB8">
        <w:rPr>
          <w:rFonts w:ascii="Times" w:hAnsi="Times" w:cs="Times"/>
        </w:rPr>
        <w:t xml:space="preserve"> </w:t>
      </w:r>
      <w:r w:rsidR="000B4775" w:rsidRPr="00472DB8">
        <w:rPr>
          <w:rFonts w:ascii="Times" w:hAnsi="Times" w:cs="Times"/>
        </w:rPr>
        <w:t xml:space="preserve">arguments </w:t>
      </w:r>
      <w:r w:rsidR="000E3C47" w:rsidRPr="00472DB8">
        <w:rPr>
          <w:rFonts w:ascii="Times" w:hAnsi="Times" w:cs="Times"/>
        </w:rPr>
        <w:t xml:space="preserve">that were considered and rejected in the </w:t>
      </w:r>
      <w:r w:rsidR="000E3C47" w:rsidRPr="00472DB8">
        <w:rPr>
          <w:rFonts w:ascii="Times" w:hAnsi="Times" w:cs="Times"/>
          <w:i/>
        </w:rPr>
        <w:t>Sixth Report and Order</w:t>
      </w:r>
      <w:r w:rsidR="000E3C47" w:rsidRPr="00472DB8">
        <w:rPr>
          <w:rFonts w:ascii="Times" w:hAnsi="Times" w:cs="Times"/>
        </w:rPr>
        <w:t xml:space="preserve">, raise issues that are beyond the scope of the </w:t>
      </w:r>
      <w:r w:rsidR="000E3C47" w:rsidRPr="00472DB8">
        <w:rPr>
          <w:rFonts w:ascii="Times" w:hAnsi="Times" w:cs="Times"/>
          <w:i/>
        </w:rPr>
        <w:t>Sixth Report and Order</w:t>
      </w:r>
      <w:r w:rsidR="000E3C47" w:rsidRPr="00472DB8">
        <w:rPr>
          <w:rFonts w:ascii="Times" w:hAnsi="Times" w:cs="Times"/>
        </w:rPr>
        <w:t>,</w:t>
      </w:r>
      <w:r w:rsidR="000E3C47" w:rsidRPr="00472DB8">
        <w:rPr>
          <w:rFonts w:ascii="Times" w:hAnsi="Times" w:cs="Times"/>
          <w:i/>
        </w:rPr>
        <w:t xml:space="preserve"> </w:t>
      </w:r>
      <w:r w:rsidR="000E3C47" w:rsidRPr="00472DB8">
        <w:rPr>
          <w:rFonts w:ascii="Times" w:hAnsi="Times" w:cs="Times"/>
        </w:rPr>
        <w:t xml:space="preserve">or rely on arguments that were not previously presented.  </w:t>
      </w:r>
      <w:r w:rsidR="003218DB" w:rsidRPr="00472DB8">
        <w:rPr>
          <w:rFonts w:ascii="Times" w:hAnsi="Times" w:cs="Times"/>
        </w:rPr>
        <w:t xml:space="preserve">While reconsideration in </w:t>
      </w:r>
      <w:r w:rsidR="000E3C47" w:rsidRPr="00472DB8">
        <w:rPr>
          <w:rFonts w:ascii="Times" w:hAnsi="Times" w:cs="Times"/>
        </w:rPr>
        <w:t>these circumstances</w:t>
      </w:r>
      <w:r w:rsidR="003218DB" w:rsidRPr="00472DB8">
        <w:rPr>
          <w:rFonts w:ascii="Times" w:hAnsi="Times" w:cs="Times"/>
        </w:rPr>
        <w:t xml:space="preserve"> is generally unwarranted</w:t>
      </w:r>
      <w:r w:rsidR="000E3C47" w:rsidRPr="00472DB8">
        <w:rPr>
          <w:rFonts w:ascii="Times" w:hAnsi="Times" w:cs="Times"/>
        </w:rPr>
        <w:t>,</w:t>
      </w:r>
      <w:r w:rsidR="000E3C47" w:rsidRPr="00472DB8">
        <w:rPr>
          <w:rStyle w:val="FootnoteReference"/>
          <w:rFonts w:ascii="Times" w:hAnsi="Times" w:cs="Times"/>
        </w:rPr>
        <w:footnoteReference w:id="11"/>
      </w:r>
      <w:r w:rsidR="000E3C47" w:rsidRPr="00472DB8">
        <w:rPr>
          <w:rFonts w:ascii="Times" w:hAnsi="Times" w:cs="Times"/>
        </w:rPr>
        <w:t xml:space="preserve"> we believe it </w:t>
      </w:r>
      <w:r w:rsidR="00923641" w:rsidRPr="00472DB8">
        <w:rPr>
          <w:rFonts w:ascii="Times" w:hAnsi="Times" w:cs="Times"/>
        </w:rPr>
        <w:t>is</w:t>
      </w:r>
      <w:r w:rsidR="000E3C47" w:rsidRPr="00472DB8">
        <w:rPr>
          <w:rFonts w:ascii="Times" w:hAnsi="Times" w:cs="Times"/>
        </w:rPr>
        <w:t xml:space="preserve"> in the public interest to discuss </w:t>
      </w:r>
      <w:r w:rsidR="002A6C6A" w:rsidRPr="00472DB8">
        <w:rPr>
          <w:rFonts w:ascii="Times" w:hAnsi="Times" w:cs="Times"/>
        </w:rPr>
        <w:t xml:space="preserve">certain of </w:t>
      </w:r>
      <w:r w:rsidR="000E3C47" w:rsidRPr="00472DB8">
        <w:rPr>
          <w:rFonts w:ascii="Times" w:hAnsi="Times" w:cs="Times"/>
        </w:rPr>
        <w:t xml:space="preserve">the </w:t>
      </w:r>
      <w:r w:rsidR="009B1FED" w:rsidRPr="00472DB8">
        <w:rPr>
          <w:rFonts w:ascii="Times" w:hAnsi="Times" w:cs="Times"/>
        </w:rPr>
        <w:t>petitioners’</w:t>
      </w:r>
      <w:r w:rsidR="00A57D5A" w:rsidRPr="00472DB8">
        <w:rPr>
          <w:rFonts w:ascii="Times" w:hAnsi="Times" w:cs="Times"/>
        </w:rPr>
        <w:t xml:space="preserve"> </w:t>
      </w:r>
      <w:r w:rsidR="000E3C47" w:rsidRPr="00472DB8">
        <w:rPr>
          <w:rFonts w:ascii="Times" w:hAnsi="Times" w:cs="Times"/>
        </w:rPr>
        <w:t xml:space="preserve">arguments </w:t>
      </w:r>
      <w:r w:rsidR="00F95836" w:rsidRPr="00472DB8">
        <w:rPr>
          <w:rFonts w:ascii="Times" w:hAnsi="Times" w:cs="Times"/>
        </w:rPr>
        <w:t xml:space="preserve">and </w:t>
      </w:r>
      <w:r w:rsidRPr="00472DB8">
        <w:rPr>
          <w:rFonts w:ascii="Times" w:hAnsi="Times" w:cs="Times"/>
        </w:rPr>
        <w:t>our</w:t>
      </w:r>
      <w:r w:rsidR="00E46D55" w:rsidRPr="00472DB8">
        <w:rPr>
          <w:rFonts w:ascii="Times" w:hAnsi="Times" w:cs="Times"/>
        </w:rPr>
        <w:t xml:space="preserve"> analysis of </w:t>
      </w:r>
      <w:r w:rsidR="002D08C4" w:rsidRPr="00472DB8">
        <w:rPr>
          <w:rFonts w:ascii="Times" w:hAnsi="Times" w:cs="Times"/>
        </w:rPr>
        <w:t>the issues raised</w:t>
      </w:r>
      <w:r w:rsidRPr="00472DB8">
        <w:rPr>
          <w:rFonts w:ascii="Times" w:hAnsi="Times" w:cs="Times"/>
        </w:rPr>
        <w:t>, particularly to provide guidance to potential applicants in the upcoming LPFM filing window</w:t>
      </w:r>
      <w:r w:rsidR="000E3C47" w:rsidRPr="00472DB8">
        <w:rPr>
          <w:rFonts w:ascii="Times" w:hAnsi="Times" w:cs="Times"/>
        </w:rPr>
        <w:t xml:space="preserve">.     </w:t>
      </w:r>
    </w:p>
    <w:p w14:paraId="145F6F42" w14:textId="77777777" w:rsidR="007E3BC9" w:rsidRPr="00472DB8" w:rsidRDefault="007E3BC9" w:rsidP="00E75380">
      <w:pPr>
        <w:jc w:val="left"/>
        <w:rPr>
          <w:rFonts w:ascii="Times" w:hAnsi="Times" w:cs="Times"/>
        </w:rPr>
      </w:pPr>
    </w:p>
    <w:p w14:paraId="2C3BFE16" w14:textId="309855D1" w:rsidR="007E3BC9" w:rsidRPr="00472DB8" w:rsidRDefault="004724AD" w:rsidP="00E75380">
      <w:pPr>
        <w:pStyle w:val="ListParagraph"/>
        <w:numPr>
          <w:ilvl w:val="0"/>
          <w:numId w:val="18"/>
        </w:numPr>
        <w:ind w:left="0" w:firstLine="720"/>
        <w:jc w:val="left"/>
        <w:rPr>
          <w:rFonts w:ascii="Times" w:hAnsi="Times" w:cs="Times"/>
          <w:b/>
        </w:rPr>
      </w:pPr>
      <w:r w:rsidRPr="00472DB8">
        <w:rPr>
          <w:rFonts w:ascii="Times" w:hAnsi="Times" w:cs="Times"/>
          <w:b/>
        </w:rPr>
        <w:t xml:space="preserve">Eligibility and Attribution Issues </w:t>
      </w:r>
    </w:p>
    <w:p w14:paraId="148F53EF" w14:textId="77777777" w:rsidR="009D7990" w:rsidRPr="00472DB8" w:rsidRDefault="009D7990" w:rsidP="00E75380">
      <w:pPr>
        <w:pStyle w:val="ParaNum"/>
        <w:widowControl/>
        <w:numPr>
          <w:ilvl w:val="0"/>
          <w:numId w:val="0"/>
        </w:numPr>
        <w:spacing w:after="0"/>
        <w:ind w:firstLine="720"/>
        <w:jc w:val="left"/>
        <w:rPr>
          <w:rFonts w:ascii="Times" w:hAnsi="Times" w:cs="Times"/>
          <w:szCs w:val="22"/>
        </w:rPr>
      </w:pPr>
    </w:p>
    <w:p w14:paraId="7E09C61A" w14:textId="77777777" w:rsidR="004724AD" w:rsidRPr="00472DB8" w:rsidRDefault="004724AD" w:rsidP="00E75380">
      <w:pPr>
        <w:pStyle w:val="ListParagraph"/>
        <w:numPr>
          <w:ilvl w:val="0"/>
          <w:numId w:val="16"/>
        </w:numPr>
        <w:ind w:left="0"/>
        <w:jc w:val="left"/>
        <w:rPr>
          <w:rFonts w:ascii="Times" w:hAnsi="Times" w:cs="Times"/>
        </w:rPr>
      </w:pPr>
      <w:r w:rsidRPr="00472DB8">
        <w:rPr>
          <w:rFonts w:ascii="Times" w:hAnsi="Times" w:cs="Times"/>
        </w:rPr>
        <w:t>LifeTalk Radio, Inc. (“LTR”) seeks to “clarify or amend” Section 73.858 of the Commission’s rules (“Attribution of LPFM station interests”).</w:t>
      </w:r>
      <w:r w:rsidRPr="00472DB8">
        <w:rPr>
          <w:rStyle w:val="FootnoteReference"/>
          <w:rFonts w:ascii="Times" w:hAnsi="Times" w:cs="Times"/>
        </w:rPr>
        <w:footnoteReference w:id="12"/>
      </w:r>
      <w:r w:rsidRPr="00472DB8">
        <w:rPr>
          <w:rFonts w:ascii="Times" w:hAnsi="Times" w:cs="Times"/>
        </w:rPr>
        <w:t xml:space="preserve">  Pursuant to Section 73.858(b), a broadcast interest of a national organization will not be attributed to the local chapter if the local chapter “is separately incorporated and has a distinct local presence and mission.”</w:t>
      </w:r>
      <w:r w:rsidRPr="00472DB8">
        <w:rPr>
          <w:rStyle w:val="FootnoteReference"/>
          <w:rFonts w:ascii="Times" w:hAnsi="Times" w:cs="Times"/>
        </w:rPr>
        <w:footnoteReference w:id="13"/>
      </w:r>
      <w:r w:rsidRPr="00472DB8">
        <w:rPr>
          <w:rFonts w:ascii="Times" w:hAnsi="Times" w:cs="Times"/>
        </w:rPr>
        <w:t xml:space="preserve">  Determining attribution is relevant because Section 73.860(a) of our Rules generally prohibits LPFM licensees from holding attributable interests in other broadcast stations.</w:t>
      </w:r>
      <w:r w:rsidRPr="00472DB8">
        <w:rPr>
          <w:rStyle w:val="FootnoteReference"/>
          <w:rFonts w:ascii="Times" w:hAnsi="Times" w:cs="Times"/>
        </w:rPr>
        <w:footnoteReference w:id="14"/>
      </w:r>
      <w:r w:rsidRPr="00472DB8">
        <w:rPr>
          <w:rFonts w:ascii="Times" w:hAnsi="Times" w:cs="Times"/>
        </w:rPr>
        <w:t xml:space="preserve">  LTR believes these two provisions, together, will prevent an </w:t>
      </w:r>
      <w:r w:rsidRPr="00472DB8">
        <w:rPr>
          <w:rFonts w:ascii="Times" w:hAnsi="Times" w:cs="Times"/>
          <w:iCs/>
        </w:rPr>
        <w:t>unincorporated</w:t>
      </w:r>
      <w:r w:rsidRPr="00472DB8">
        <w:rPr>
          <w:rFonts w:ascii="Times" w:hAnsi="Times" w:cs="Times"/>
        </w:rPr>
        <w:t xml:space="preserve"> local chapter of a larger organization from owning an LPFM station if the larger parent organization has other broadcast interests.  LTR argues this result is inconsistent with </w:t>
      </w:r>
      <w:r w:rsidRPr="00472DB8">
        <w:rPr>
          <w:rFonts w:ascii="Times" w:hAnsi="Times" w:cs="Times"/>
          <w:i/>
          <w:iCs/>
        </w:rPr>
        <w:t>Montmorenci United Methodist Church</w:t>
      </w:r>
      <w:r w:rsidRPr="00472DB8">
        <w:rPr>
          <w:rStyle w:val="FootnoteReference"/>
          <w:rFonts w:ascii="Times" w:hAnsi="Times" w:cs="Times"/>
          <w:iCs/>
        </w:rPr>
        <w:footnoteReference w:id="15"/>
      </w:r>
      <w:r w:rsidRPr="00472DB8">
        <w:rPr>
          <w:rFonts w:ascii="Times" w:hAnsi="Times" w:cs="Times"/>
        </w:rPr>
        <w:t xml:space="preserve"> and urges the Commission to amend its rules to conform to </w:t>
      </w:r>
      <w:r w:rsidRPr="00472DB8">
        <w:rPr>
          <w:rFonts w:ascii="Times" w:hAnsi="Times" w:cs="Times"/>
          <w:i/>
          <w:iCs/>
        </w:rPr>
        <w:t>Montmorenci</w:t>
      </w:r>
      <w:r w:rsidRPr="00472DB8">
        <w:rPr>
          <w:rFonts w:ascii="Times" w:hAnsi="Times" w:cs="Times"/>
        </w:rPr>
        <w:t>.</w:t>
      </w:r>
      <w:r w:rsidRPr="00472DB8">
        <w:rPr>
          <w:rStyle w:val="FootnoteReference"/>
          <w:rFonts w:ascii="Times" w:hAnsi="Times" w:cs="Times"/>
        </w:rPr>
        <w:footnoteReference w:id="16"/>
      </w:r>
      <w:r w:rsidRPr="00472DB8">
        <w:rPr>
          <w:rFonts w:ascii="Times" w:hAnsi="Times" w:cs="Times"/>
        </w:rPr>
        <w:t xml:space="preserve">  </w:t>
      </w:r>
    </w:p>
    <w:p w14:paraId="5801C4E3" w14:textId="77777777" w:rsidR="004724AD" w:rsidRPr="00472DB8" w:rsidRDefault="004724AD" w:rsidP="00E75380">
      <w:pPr>
        <w:jc w:val="left"/>
        <w:rPr>
          <w:rFonts w:ascii="Times" w:hAnsi="Times" w:cs="Times"/>
        </w:rPr>
      </w:pPr>
    </w:p>
    <w:p w14:paraId="56EB129A" w14:textId="77777777" w:rsidR="004724AD" w:rsidRPr="00472DB8" w:rsidRDefault="004724AD" w:rsidP="00E75380">
      <w:pPr>
        <w:pStyle w:val="ListParagraph"/>
        <w:numPr>
          <w:ilvl w:val="0"/>
          <w:numId w:val="16"/>
        </w:numPr>
        <w:ind w:left="0"/>
        <w:jc w:val="left"/>
        <w:rPr>
          <w:rFonts w:ascii="Times" w:hAnsi="Times" w:cs="Times"/>
        </w:rPr>
      </w:pPr>
      <w:r w:rsidRPr="00472DB8">
        <w:rPr>
          <w:rFonts w:ascii="Times" w:hAnsi="Times" w:cs="Times"/>
        </w:rPr>
        <w:t xml:space="preserve">Prometheus opposes LTR’s request, noting that the LTR Petition is not appropriate because the Commission did not amend Section 73.858(b) in the </w:t>
      </w:r>
      <w:r w:rsidRPr="00472DB8">
        <w:rPr>
          <w:rFonts w:ascii="Times" w:hAnsi="Times" w:cs="Times"/>
          <w:i/>
        </w:rPr>
        <w:t>Sixth Report and Order</w:t>
      </w:r>
      <w:r w:rsidRPr="00472DB8">
        <w:rPr>
          <w:rFonts w:ascii="Times" w:hAnsi="Times" w:cs="Times"/>
        </w:rPr>
        <w:t>.</w:t>
      </w:r>
      <w:r w:rsidRPr="00472DB8">
        <w:rPr>
          <w:rStyle w:val="FootnoteReference"/>
          <w:rFonts w:ascii="Times" w:hAnsi="Times" w:cs="Times"/>
        </w:rPr>
        <w:footnoteReference w:id="17"/>
      </w:r>
      <w:r w:rsidRPr="00472DB8">
        <w:rPr>
          <w:rFonts w:ascii="Times" w:hAnsi="Times" w:cs="Times"/>
        </w:rPr>
        <w:t xml:space="preserve">  Moreover, Prometheus argues </w:t>
      </w:r>
      <w:r w:rsidRPr="00472DB8">
        <w:rPr>
          <w:rFonts w:ascii="Times" w:hAnsi="Times" w:cs="Times"/>
          <w:i/>
          <w:iCs/>
        </w:rPr>
        <w:t>Montmorenci</w:t>
      </w:r>
      <w:r w:rsidRPr="00472DB8">
        <w:rPr>
          <w:rFonts w:ascii="Times" w:hAnsi="Times" w:cs="Times"/>
        </w:rPr>
        <w:t xml:space="preserve"> does not conflict with Section 73.858(b) because that case involved a national organization and local chapter that were both </w:t>
      </w:r>
      <w:r w:rsidRPr="00472DB8">
        <w:rPr>
          <w:rFonts w:ascii="Times" w:hAnsi="Times" w:cs="Times"/>
          <w:i/>
        </w:rPr>
        <w:t>unincorporated</w:t>
      </w:r>
      <w:r w:rsidRPr="00472DB8">
        <w:rPr>
          <w:rFonts w:ascii="Times" w:hAnsi="Times" w:cs="Times"/>
        </w:rPr>
        <w:t>,</w:t>
      </w:r>
      <w:r w:rsidRPr="00472DB8">
        <w:rPr>
          <w:rStyle w:val="FootnoteReference"/>
          <w:rFonts w:ascii="Times" w:hAnsi="Times" w:cs="Times"/>
        </w:rPr>
        <w:t xml:space="preserve"> </w:t>
      </w:r>
      <w:r w:rsidRPr="00472DB8">
        <w:rPr>
          <w:rStyle w:val="FootnoteReference"/>
          <w:rFonts w:ascii="Times" w:hAnsi="Times" w:cs="Times"/>
        </w:rPr>
        <w:footnoteReference w:id="18"/>
      </w:r>
      <w:r w:rsidRPr="00472DB8">
        <w:rPr>
          <w:rFonts w:ascii="Times" w:hAnsi="Times" w:cs="Times"/>
        </w:rPr>
        <w:t xml:space="preserve"> and thus posed an attribution issue outside the scope of the rule. </w:t>
      </w:r>
    </w:p>
    <w:p w14:paraId="13358B7E" w14:textId="77777777" w:rsidR="004724AD" w:rsidRPr="00472DB8" w:rsidRDefault="004724AD" w:rsidP="00E75380">
      <w:pPr>
        <w:pStyle w:val="ListParagraph"/>
        <w:jc w:val="left"/>
        <w:rPr>
          <w:rFonts w:ascii="Times" w:hAnsi="Times" w:cs="Times"/>
        </w:rPr>
      </w:pPr>
    </w:p>
    <w:p w14:paraId="083529AF" w14:textId="77777777" w:rsidR="004724AD" w:rsidRPr="00472DB8" w:rsidRDefault="004724AD" w:rsidP="00E75380">
      <w:pPr>
        <w:pStyle w:val="ListParagraph"/>
        <w:numPr>
          <w:ilvl w:val="0"/>
          <w:numId w:val="16"/>
        </w:numPr>
        <w:ind w:left="0"/>
        <w:jc w:val="left"/>
        <w:rPr>
          <w:rFonts w:ascii="Times" w:hAnsi="Times" w:cs="Times"/>
        </w:rPr>
      </w:pPr>
      <w:r w:rsidRPr="00472DB8">
        <w:rPr>
          <w:rFonts w:ascii="Times" w:hAnsi="Times" w:cs="Times"/>
        </w:rPr>
        <w:t xml:space="preserve">We deny LTR’s request to amend Section 73.858(b).  The </w:t>
      </w:r>
      <w:r w:rsidRPr="00472DB8">
        <w:rPr>
          <w:rFonts w:ascii="Times" w:hAnsi="Times" w:cs="Times"/>
          <w:i/>
        </w:rPr>
        <w:t xml:space="preserve">Fourth Further Notice </w:t>
      </w:r>
      <w:r w:rsidRPr="00472DB8">
        <w:rPr>
          <w:rFonts w:ascii="Times" w:hAnsi="Times" w:cs="Times"/>
        </w:rPr>
        <w:t xml:space="preserve">did not seek comment regarding changes to Section 73.858(b).  Thus, LTR’s proposed amendment is beyond the scope of matters that can be addressed on reconsideration of the </w:t>
      </w:r>
      <w:r w:rsidRPr="00472DB8">
        <w:rPr>
          <w:rFonts w:ascii="Times" w:hAnsi="Times" w:cs="Times"/>
          <w:i/>
        </w:rPr>
        <w:t>Sixth Report and Order</w:t>
      </w:r>
      <w:bookmarkStart w:id="1" w:name="FN[FN29]"/>
      <w:bookmarkEnd w:id="1"/>
      <w:r w:rsidRPr="00472DB8">
        <w:rPr>
          <w:rFonts w:ascii="Times" w:hAnsi="Times" w:cs="Times"/>
        </w:rPr>
        <w:t>.</w:t>
      </w:r>
      <w:r w:rsidRPr="00472DB8">
        <w:rPr>
          <w:rStyle w:val="FootnoteReference"/>
          <w:rFonts w:ascii="Times" w:hAnsi="Times" w:cs="Times"/>
        </w:rPr>
        <w:footnoteReference w:id="19"/>
      </w:r>
      <w:r w:rsidRPr="00472DB8">
        <w:rPr>
          <w:rFonts w:ascii="Times" w:hAnsi="Times" w:cs="Times"/>
          <w:i/>
          <w:iCs/>
        </w:rPr>
        <w:t xml:space="preserve"> </w:t>
      </w:r>
      <w:r w:rsidRPr="00472DB8">
        <w:rPr>
          <w:rFonts w:ascii="Times" w:hAnsi="Times" w:cs="Times"/>
          <w:iCs/>
        </w:rPr>
        <w:t xml:space="preserve">Moreover, </w:t>
      </w:r>
      <w:r w:rsidRPr="00472DB8">
        <w:rPr>
          <w:rFonts w:ascii="Times" w:hAnsi="Times" w:cs="Times"/>
        </w:rPr>
        <w:t xml:space="preserve">on August 23, 2013, the Commission released a Memorandum Opinion and Order that, </w:t>
      </w:r>
      <w:r w:rsidRPr="00472DB8">
        <w:rPr>
          <w:rFonts w:ascii="Times" w:hAnsi="Times" w:cs="Times"/>
          <w:i/>
        </w:rPr>
        <w:t>inter alia</w:t>
      </w:r>
      <w:r w:rsidRPr="00472DB8">
        <w:rPr>
          <w:rFonts w:ascii="Times" w:hAnsi="Times" w:cs="Times"/>
        </w:rPr>
        <w:t>, concluded that the Bureau’s grant of the Montmorenci United Methodist Church application was inconsistent with the language of Section 73.858(b) of the Rules and accordingly rescinded that grant,</w:t>
      </w:r>
      <w:r w:rsidRPr="00472DB8">
        <w:rPr>
          <w:rStyle w:val="FootnoteReference"/>
          <w:rFonts w:ascii="Times" w:hAnsi="Times" w:cs="Times"/>
        </w:rPr>
        <w:footnoteReference w:id="20"/>
      </w:r>
      <w:r w:rsidRPr="00472DB8">
        <w:rPr>
          <w:rFonts w:ascii="Times" w:hAnsi="Times" w:cs="Times"/>
        </w:rPr>
        <w:t xml:space="preserve"> an action that eliminates any arguable inconsistency between this precedent and the Rule.</w:t>
      </w:r>
    </w:p>
    <w:p w14:paraId="7A8CC7EE" w14:textId="77777777" w:rsidR="004724AD" w:rsidRPr="00472DB8" w:rsidRDefault="004724AD" w:rsidP="00E75380">
      <w:pPr>
        <w:jc w:val="left"/>
        <w:rPr>
          <w:rFonts w:ascii="Times" w:hAnsi="Times" w:cs="Times"/>
        </w:rPr>
      </w:pPr>
    </w:p>
    <w:p w14:paraId="05DEFFDB" w14:textId="77777777" w:rsidR="004724AD" w:rsidRPr="00472DB8" w:rsidRDefault="004724AD" w:rsidP="00E75380">
      <w:pPr>
        <w:pStyle w:val="ListParagraph"/>
        <w:numPr>
          <w:ilvl w:val="0"/>
          <w:numId w:val="16"/>
        </w:numPr>
        <w:ind w:left="0"/>
        <w:jc w:val="left"/>
        <w:rPr>
          <w:rFonts w:ascii="Times" w:hAnsi="Times" w:cs="Times"/>
        </w:rPr>
      </w:pPr>
      <w:r w:rsidRPr="00472DB8">
        <w:rPr>
          <w:rFonts w:ascii="Times" w:hAnsi="Times" w:cs="Times"/>
        </w:rPr>
        <w:t>In addition, LTR, Michael Couzens and Alan Korn (collectively “C/K”) seek to expand the “new entrant” comparative criterion.</w:t>
      </w:r>
      <w:r w:rsidRPr="00472DB8">
        <w:rPr>
          <w:rStyle w:val="FootnoteReference"/>
          <w:rFonts w:ascii="Times" w:hAnsi="Times" w:cs="Times"/>
        </w:rPr>
        <w:footnoteReference w:id="21"/>
      </w:r>
      <w:r w:rsidRPr="00472DB8">
        <w:rPr>
          <w:rFonts w:ascii="Times" w:hAnsi="Times" w:cs="Times"/>
        </w:rPr>
        <w:t xml:space="preserve">  LTR argues our current rules are inconsistent because the broadcast interests of a national organization are attributable for purposes of awarding a point under the new entrant selection criterion, but not attributable in certain cases for satisfying the cross-ownership eligibility restrictions set forth at Section 73.860.</w:t>
      </w:r>
      <w:r w:rsidRPr="00472DB8">
        <w:rPr>
          <w:rStyle w:val="FootnoteReference"/>
          <w:rFonts w:ascii="Times" w:hAnsi="Times" w:cs="Times"/>
        </w:rPr>
        <w:footnoteReference w:id="22"/>
      </w:r>
      <w:r w:rsidRPr="00472DB8">
        <w:rPr>
          <w:rFonts w:ascii="Times" w:hAnsi="Times" w:cs="Times"/>
        </w:rPr>
        <w:t>  LTR contends that local LPFM applicants that have separate and local purposes distinguishable from the larger organization also should qualify for a new entrant point.</w:t>
      </w:r>
      <w:r w:rsidRPr="00472DB8">
        <w:rPr>
          <w:rStyle w:val="FootnoteReference"/>
          <w:rFonts w:ascii="Times" w:hAnsi="Times" w:cs="Times"/>
        </w:rPr>
        <w:footnoteReference w:id="23"/>
      </w:r>
      <w:r w:rsidRPr="00472DB8">
        <w:rPr>
          <w:rFonts w:ascii="Times" w:hAnsi="Times" w:cs="Times"/>
        </w:rPr>
        <w:t xml:space="preserve">  Similarly, C/K argue that a student-run station that is part of a larger multi-campus system should also qualify for a new entrant point if the applicant can show it is functionally independent of the larger entity in its day-to-day decision making.</w:t>
      </w:r>
      <w:r w:rsidRPr="00472DB8">
        <w:rPr>
          <w:rStyle w:val="FootnoteReference"/>
          <w:rFonts w:ascii="Times" w:hAnsi="Times" w:cs="Times"/>
        </w:rPr>
        <w:footnoteReference w:id="24"/>
      </w:r>
      <w:r w:rsidRPr="00472DB8">
        <w:rPr>
          <w:rFonts w:ascii="Times" w:hAnsi="Times" w:cs="Times"/>
        </w:rPr>
        <w:t xml:space="preserve">  </w:t>
      </w:r>
    </w:p>
    <w:p w14:paraId="570A3AEA" w14:textId="77777777" w:rsidR="004724AD" w:rsidRPr="00472DB8" w:rsidRDefault="004724AD" w:rsidP="00E75380">
      <w:pPr>
        <w:jc w:val="left"/>
        <w:rPr>
          <w:rFonts w:ascii="Times" w:hAnsi="Times" w:cs="Times"/>
          <w:i/>
          <w:iCs/>
        </w:rPr>
      </w:pPr>
    </w:p>
    <w:p w14:paraId="3E83125A" w14:textId="77777777" w:rsidR="004724AD" w:rsidRPr="00472DB8" w:rsidRDefault="004724AD" w:rsidP="00E75380">
      <w:pPr>
        <w:pStyle w:val="ListParagraph"/>
        <w:numPr>
          <w:ilvl w:val="0"/>
          <w:numId w:val="16"/>
        </w:numPr>
        <w:ind w:left="0"/>
        <w:jc w:val="left"/>
        <w:rPr>
          <w:rFonts w:ascii="Times" w:hAnsi="Times" w:cs="Times"/>
        </w:rPr>
      </w:pPr>
      <w:r w:rsidRPr="00472DB8">
        <w:rPr>
          <w:rFonts w:ascii="Times" w:hAnsi="Times" w:cs="Times"/>
        </w:rPr>
        <w:t>A number of parties oppose awarding the new entrant point to local chapters of national organizations.  They contend that the new entrant point appropriately reflects the Commission’s intent to increase ownership diversity.</w:t>
      </w:r>
      <w:r w:rsidRPr="00472DB8">
        <w:rPr>
          <w:rStyle w:val="FootnoteReference"/>
          <w:rFonts w:ascii="Times" w:hAnsi="Times" w:cs="Times"/>
        </w:rPr>
        <w:footnoteReference w:id="25"/>
      </w:r>
      <w:r w:rsidRPr="00472DB8">
        <w:rPr>
          <w:rFonts w:ascii="Times" w:hAnsi="Times" w:cs="Times"/>
        </w:rPr>
        <w:t xml:space="preserve">  We agree.  The new entrant comparative criterion and the exceptions to the general prohibition on cross-ownership, as set forth at Section 73.860(b)-(d), serve different purposes.    As discussed in the </w:t>
      </w:r>
      <w:r w:rsidRPr="00472DB8">
        <w:rPr>
          <w:rFonts w:ascii="Times" w:hAnsi="Times" w:cs="Times"/>
          <w:i/>
        </w:rPr>
        <w:t>Sixth Report and Order</w:t>
      </w:r>
      <w:r w:rsidRPr="00472DB8">
        <w:rPr>
          <w:rFonts w:ascii="Times" w:hAnsi="Times" w:cs="Times"/>
        </w:rPr>
        <w:t>, the new entrant point for LPFM applicants was adopted to encourage genuinely new entrants to broadcasting and to foster a more diverse range of community voices.</w:t>
      </w:r>
      <w:r w:rsidRPr="00472DB8">
        <w:rPr>
          <w:rStyle w:val="FootnoteReference"/>
          <w:rFonts w:ascii="Times" w:hAnsi="Times" w:cs="Times"/>
        </w:rPr>
        <w:footnoteReference w:id="26"/>
      </w:r>
      <w:r w:rsidRPr="00472DB8">
        <w:rPr>
          <w:rFonts w:ascii="Times" w:hAnsi="Times" w:cs="Times"/>
        </w:rPr>
        <w:t xml:space="preserve">  In contrast, the cross-ownership exceptions reasonably expand community radio licensing opportunities for a narrow group of applicant entities consistent with the LPFM service’s core localism goal.  We reject the view that there is any “inconsistency” between these different comparative and eligibility rules.  Neither LTR nor C/K provides any new information or arguments to justify reconsideration.</w:t>
      </w:r>
      <w:r w:rsidRPr="00472DB8">
        <w:rPr>
          <w:rStyle w:val="FootnoteReference"/>
          <w:rFonts w:ascii="Times" w:hAnsi="Times" w:cs="Times"/>
        </w:rPr>
        <w:footnoteReference w:id="27"/>
      </w:r>
      <w:r w:rsidRPr="00472DB8">
        <w:rPr>
          <w:rFonts w:ascii="Times" w:hAnsi="Times" w:cs="Times"/>
        </w:rPr>
        <w:t xml:space="preserve">  </w:t>
      </w:r>
    </w:p>
    <w:p w14:paraId="4563DD63" w14:textId="77777777" w:rsidR="004724AD" w:rsidRPr="00472DB8" w:rsidRDefault="004724AD" w:rsidP="00E75380">
      <w:pPr>
        <w:pStyle w:val="ListParagraph"/>
        <w:ind w:left="0"/>
        <w:jc w:val="left"/>
        <w:rPr>
          <w:rFonts w:ascii="Times" w:hAnsi="Times" w:cs="Times"/>
        </w:rPr>
      </w:pPr>
    </w:p>
    <w:p w14:paraId="2330FEE0" w14:textId="77777777" w:rsidR="004724AD" w:rsidRPr="00472DB8" w:rsidRDefault="004724AD" w:rsidP="00E75380">
      <w:pPr>
        <w:pStyle w:val="ListParagraph"/>
        <w:numPr>
          <w:ilvl w:val="0"/>
          <w:numId w:val="16"/>
        </w:numPr>
        <w:ind w:left="0"/>
        <w:jc w:val="left"/>
        <w:rPr>
          <w:rFonts w:ascii="Times" w:hAnsi="Times" w:cs="Times"/>
        </w:rPr>
      </w:pPr>
      <w:r w:rsidRPr="00472DB8">
        <w:rPr>
          <w:rFonts w:ascii="Times" w:hAnsi="Times" w:cs="Times"/>
        </w:rPr>
        <w:t>C/K also seek clarification that the acquisition of a permissible attributable interest during the pendency of an LPFM application would result in the loss of the new entrant credit and would constitute a reportable event.</w:t>
      </w:r>
      <w:r w:rsidRPr="00472DB8">
        <w:rPr>
          <w:rStyle w:val="FootnoteReference"/>
          <w:rFonts w:ascii="Times" w:hAnsi="Times" w:cs="Times"/>
        </w:rPr>
        <w:footnoteReference w:id="28"/>
      </w:r>
      <w:r w:rsidRPr="00472DB8">
        <w:rPr>
          <w:rFonts w:ascii="Times" w:hAnsi="Times" w:cs="Times"/>
        </w:rPr>
        <w:t xml:space="preserve">  Our rules require applicants to continuously maintain the “accuracy and completeness of information furnished in a pending application.”</w:t>
      </w:r>
      <w:r w:rsidRPr="00472DB8">
        <w:rPr>
          <w:rStyle w:val="FootnoteReference"/>
          <w:rFonts w:ascii="Times" w:hAnsi="Times" w:cs="Times"/>
        </w:rPr>
        <w:t xml:space="preserve"> </w:t>
      </w:r>
      <w:r w:rsidRPr="00472DB8">
        <w:rPr>
          <w:rStyle w:val="FootnoteReference"/>
          <w:rFonts w:ascii="Times" w:hAnsi="Times" w:cs="Times"/>
        </w:rPr>
        <w:footnoteReference w:id="29"/>
      </w:r>
      <w:r w:rsidRPr="00472DB8">
        <w:rPr>
          <w:rFonts w:ascii="Times" w:hAnsi="Times" w:cs="Times"/>
        </w:rPr>
        <w:t xml:space="preserve">  Previously, in the NCE context, this included all </w:t>
      </w:r>
      <w:r w:rsidRPr="00472DB8">
        <w:rPr>
          <w:rStyle w:val="cosearchterm"/>
          <w:rFonts w:ascii="Times" w:hAnsi="Times" w:cs="Times"/>
        </w:rPr>
        <w:t>changes</w:t>
      </w:r>
      <w:r w:rsidRPr="00472DB8">
        <w:rPr>
          <w:rFonts w:ascii="Times" w:hAnsi="Times" w:cs="Times"/>
        </w:rPr>
        <w:t xml:space="preserve"> that negatively affected the applicant’s claimed </w:t>
      </w:r>
      <w:r w:rsidRPr="00472DB8">
        <w:rPr>
          <w:rStyle w:val="cosearchterm"/>
          <w:rFonts w:ascii="Times" w:hAnsi="Times" w:cs="Times"/>
        </w:rPr>
        <w:t>points.</w:t>
      </w:r>
      <w:r w:rsidRPr="00472DB8">
        <w:rPr>
          <w:rStyle w:val="FootnoteReference"/>
          <w:rFonts w:ascii="Times" w:hAnsi="Times" w:cs="Times"/>
        </w:rPr>
        <w:footnoteReference w:id="30"/>
      </w:r>
      <w:r w:rsidRPr="00472DB8">
        <w:rPr>
          <w:rFonts w:ascii="Times" w:hAnsi="Times" w:cs="Times"/>
        </w:rPr>
        <w:t xml:space="preserve">  We believe this same policy should apply to LPFM applicants.  Thus, we clarify that an LPFM </w:t>
      </w:r>
      <w:r w:rsidRPr="00472DB8">
        <w:rPr>
          <w:rStyle w:val="cosearchterm"/>
          <w:rFonts w:ascii="Times" w:hAnsi="Times" w:cs="Times"/>
        </w:rPr>
        <w:t>applicant may lose</w:t>
      </w:r>
      <w:r w:rsidRPr="00472DB8">
        <w:rPr>
          <w:rFonts w:ascii="Times" w:hAnsi="Times" w:cs="Times"/>
        </w:rPr>
        <w:t xml:space="preserve"> claimed </w:t>
      </w:r>
      <w:r w:rsidRPr="00472DB8">
        <w:rPr>
          <w:rStyle w:val="cosearchterm"/>
          <w:rFonts w:ascii="Times" w:hAnsi="Times" w:cs="Times"/>
        </w:rPr>
        <w:t>points, such as the new entrant credit,</w:t>
      </w:r>
      <w:r w:rsidRPr="00472DB8">
        <w:rPr>
          <w:rFonts w:ascii="Times" w:hAnsi="Times" w:cs="Times"/>
        </w:rPr>
        <w:t xml:space="preserve"> as a result of </w:t>
      </w:r>
      <w:r w:rsidRPr="00472DB8">
        <w:rPr>
          <w:rStyle w:val="cosearchterm"/>
          <w:rFonts w:ascii="Times" w:hAnsi="Times" w:cs="Times"/>
        </w:rPr>
        <w:t>changes</w:t>
      </w:r>
      <w:r w:rsidRPr="00472DB8">
        <w:rPr>
          <w:rFonts w:ascii="Times" w:hAnsi="Times" w:cs="Times"/>
        </w:rPr>
        <w:t xml:space="preserve"> made after the application filing.  In addition, changes affecting an LPFM applicant could render the applicant ineligible for the proposed LPFM authorization.</w:t>
      </w:r>
      <w:r w:rsidRPr="00472DB8">
        <w:rPr>
          <w:rStyle w:val="FootnoteReference"/>
          <w:rFonts w:ascii="Times" w:hAnsi="Times" w:cs="Times"/>
        </w:rPr>
        <w:footnoteReference w:id="31"/>
      </w:r>
    </w:p>
    <w:p w14:paraId="29AE9E09" w14:textId="77777777" w:rsidR="004724AD" w:rsidRPr="00472DB8" w:rsidRDefault="004724AD" w:rsidP="00E75380">
      <w:pPr>
        <w:jc w:val="left"/>
        <w:rPr>
          <w:rFonts w:ascii="Times" w:hAnsi="Times" w:cs="Times"/>
        </w:rPr>
      </w:pPr>
    </w:p>
    <w:p w14:paraId="2AF17DC3" w14:textId="77777777" w:rsidR="004724AD" w:rsidRPr="00472DB8" w:rsidRDefault="004724AD" w:rsidP="00E75380">
      <w:pPr>
        <w:pStyle w:val="ListParagraph"/>
        <w:numPr>
          <w:ilvl w:val="0"/>
          <w:numId w:val="16"/>
        </w:numPr>
        <w:ind w:left="0"/>
        <w:jc w:val="left"/>
        <w:rPr>
          <w:rFonts w:ascii="Times" w:hAnsi="Times" w:cs="Times"/>
        </w:rPr>
      </w:pPr>
      <w:r w:rsidRPr="00472DB8">
        <w:rPr>
          <w:rFonts w:ascii="Times" w:hAnsi="Times" w:cs="Times"/>
        </w:rPr>
        <w:t>Additionally, C/K seek clarification that local organizations must not only certify their pre-existing local status pursuant to Section 73.872(b), but must also provide corroborative documentation of pre-existing local status.</w:t>
      </w:r>
      <w:r w:rsidRPr="00472DB8">
        <w:rPr>
          <w:rStyle w:val="FootnoteReference"/>
          <w:rFonts w:ascii="Times" w:hAnsi="Times" w:cs="Times"/>
        </w:rPr>
        <w:footnoteReference w:id="32"/>
      </w:r>
      <w:r w:rsidRPr="00472DB8">
        <w:rPr>
          <w:rFonts w:ascii="Times" w:hAnsi="Times" w:cs="Times"/>
        </w:rPr>
        <w:t xml:space="preserve">  No clarification is necessary.  Our revised Form 318 states:  “Nonprofit educations organizations claiming a point for [established community presence] must submit evidence of their qualifications as an exhibit to their application forms.”</w:t>
      </w:r>
      <w:r w:rsidRPr="00472DB8">
        <w:rPr>
          <w:rStyle w:val="FootnoteReference"/>
          <w:rFonts w:ascii="Times" w:hAnsi="Times" w:cs="Times"/>
        </w:rPr>
        <w:footnoteReference w:id="33"/>
      </w:r>
    </w:p>
    <w:p w14:paraId="0D72680D" w14:textId="77777777" w:rsidR="004724AD" w:rsidRPr="00472DB8" w:rsidRDefault="004724AD" w:rsidP="00E75380">
      <w:pPr>
        <w:jc w:val="left"/>
        <w:rPr>
          <w:rFonts w:ascii="Times" w:hAnsi="Times" w:cs="Times"/>
        </w:rPr>
      </w:pPr>
    </w:p>
    <w:p w14:paraId="09AFCE15" w14:textId="1D105A23" w:rsidR="0043091C" w:rsidRPr="00472DB8" w:rsidRDefault="004724AD" w:rsidP="00E75380">
      <w:pPr>
        <w:pStyle w:val="ListParagraph"/>
        <w:numPr>
          <w:ilvl w:val="0"/>
          <w:numId w:val="16"/>
        </w:numPr>
        <w:ind w:left="0"/>
        <w:jc w:val="left"/>
        <w:rPr>
          <w:rFonts w:ascii="Times" w:hAnsi="Times" w:cs="Times"/>
        </w:rPr>
      </w:pPr>
      <w:r w:rsidRPr="00472DB8">
        <w:rPr>
          <w:rFonts w:ascii="Times" w:hAnsi="Times" w:cs="Times"/>
        </w:rPr>
        <w:t>Further, C/K seek clarification that applicants that merge and aggregate their points to prevail over other mutually exclusive applicants will be placed on public notice as the tentative selectee, allowing interested parties an opportunity to file petitions to deny.</w:t>
      </w:r>
      <w:r w:rsidRPr="00472DB8">
        <w:rPr>
          <w:rStyle w:val="FootnoteReference"/>
          <w:rFonts w:ascii="Times" w:hAnsi="Times" w:cs="Times"/>
        </w:rPr>
        <w:footnoteReference w:id="34"/>
      </w:r>
      <w:r w:rsidRPr="00472DB8">
        <w:rPr>
          <w:rFonts w:ascii="Times" w:hAnsi="Times" w:cs="Times"/>
        </w:rPr>
        <w:t xml:space="preserve">  Again, no clarification is necessary.  Section 73.870(d) of Commission rules already requires the Commission to “</w:t>
      </w:r>
      <w:r w:rsidRPr="00472DB8">
        <w:rPr>
          <w:rStyle w:val="ptext-1"/>
          <w:rFonts w:ascii="Times" w:hAnsi="Times" w:cs="Times"/>
        </w:rPr>
        <w:t>issue a Public Notice of the acceptance for filing of all applications tentatively selected pursuant to the procedures for mutually exclusive LPFM applications set forth at §</w:t>
      </w:r>
      <w:r w:rsidRPr="00472DB8">
        <w:rPr>
          <w:rFonts w:ascii="Times" w:hAnsi="Times" w:cs="Times"/>
        </w:rPr>
        <w:t>73.872</w:t>
      </w:r>
      <w:r w:rsidRPr="00472DB8">
        <w:rPr>
          <w:rStyle w:val="ptext-1"/>
          <w:rFonts w:ascii="Times" w:hAnsi="Times" w:cs="Times"/>
        </w:rPr>
        <w:t>.  Petitions to deny such applications may be filed within 30 days of such public notice and in accordance with the procedures set forth at §</w:t>
      </w:r>
      <w:r w:rsidRPr="00472DB8">
        <w:rPr>
          <w:rFonts w:ascii="Times" w:hAnsi="Times" w:cs="Times"/>
        </w:rPr>
        <w:t>73.3584</w:t>
      </w:r>
      <w:r w:rsidRPr="00472DB8">
        <w:rPr>
          <w:rStyle w:val="ptext-1"/>
          <w:rFonts w:ascii="Times" w:hAnsi="Times" w:cs="Times"/>
        </w:rPr>
        <w:t>.”</w:t>
      </w:r>
      <w:r w:rsidRPr="00472DB8">
        <w:rPr>
          <w:rStyle w:val="FootnoteReference"/>
          <w:rFonts w:ascii="Times" w:hAnsi="Times" w:cs="Times"/>
        </w:rPr>
        <w:footnoteReference w:id="35"/>
      </w:r>
      <w:r w:rsidR="009541A0" w:rsidRPr="00472DB8">
        <w:rPr>
          <w:rFonts w:ascii="Times" w:hAnsi="Times" w:cs="Times"/>
        </w:rPr>
        <w:t xml:space="preserve"> </w:t>
      </w:r>
      <w:r w:rsidR="0043091C" w:rsidRPr="00472DB8">
        <w:rPr>
          <w:rFonts w:ascii="Times" w:hAnsi="Times" w:cs="Times"/>
        </w:rPr>
        <w:t xml:space="preserve">  </w:t>
      </w:r>
    </w:p>
    <w:p w14:paraId="3881ABE2" w14:textId="77777777" w:rsidR="000369C4" w:rsidRPr="00472DB8" w:rsidRDefault="000369C4" w:rsidP="00E75380">
      <w:pPr>
        <w:ind w:firstLine="0"/>
        <w:jc w:val="left"/>
        <w:rPr>
          <w:rFonts w:ascii="Times" w:hAnsi="Times" w:cs="Times"/>
        </w:rPr>
      </w:pPr>
    </w:p>
    <w:p w14:paraId="61ABD60A" w14:textId="09D874F9" w:rsidR="007E3BC9" w:rsidRPr="00472DB8" w:rsidRDefault="007E3BC9" w:rsidP="00E75380">
      <w:pPr>
        <w:pStyle w:val="ListParagraph"/>
        <w:ind w:left="0"/>
        <w:jc w:val="left"/>
        <w:rPr>
          <w:rFonts w:ascii="Times" w:hAnsi="Times" w:cs="Times"/>
          <w:b/>
        </w:rPr>
      </w:pPr>
      <w:r w:rsidRPr="00472DB8">
        <w:rPr>
          <w:rFonts w:ascii="Times" w:hAnsi="Times" w:cs="Times"/>
          <w:b/>
        </w:rPr>
        <w:t>B.</w:t>
      </w:r>
      <w:r w:rsidRPr="00472DB8">
        <w:rPr>
          <w:rFonts w:ascii="Times" w:hAnsi="Times" w:cs="Times"/>
          <w:b/>
        </w:rPr>
        <w:tab/>
      </w:r>
      <w:r w:rsidR="004724AD" w:rsidRPr="00472DB8">
        <w:rPr>
          <w:rStyle w:val="ptext-1"/>
          <w:rFonts w:ascii="Times" w:hAnsi="Times" w:cs="Times"/>
          <w:b/>
        </w:rPr>
        <w:t>“Secondary” Grantees</w:t>
      </w:r>
      <w:r w:rsidR="004724AD" w:rsidRPr="00472DB8">
        <w:rPr>
          <w:rFonts w:ascii="Times" w:hAnsi="Times" w:cs="Times"/>
          <w:b/>
        </w:rPr>
        <w:t xml:space="preserve"> </w:t>
      </w:r>
    </w:p>
    <w:p w14:paraId="183F2EC7" w14:textId="77777777" w:rsidR="0043091C" w:rsidRPr="00472DB8" w:rsidRDefault="0043091C" w:rsidP="00E75380">
      <w:pPr>
        <w:pStyle w:val="ParaNum"/>
        <w:widowControl/>
        <w:numPr>
          <w:ilvl w:val="0"/>
          <w:numId w:val="0"/>
        </w:numPr>
        <w:spacing w:after="0"/>
        <w:ind w:firstLine="720"/>
        <w:jc w:val="left"/>
        <w:rPr>
          <w:rFonts w:ascii="Times" w:hAnsi="Times" w:cs="Times"/>
          <w:szCs w:val="22"/>
        </w:rPr>
      </w:pPr>
    </w:p>
    <w:p w14:paraId="4F5BD8AF" w14:textId="212586DF" w:rsidR="004724AD" w:rsidRPr="00472DB8" w:rsidRDefault="004724AD" w:rsidP="00E75380">
      <w:pPr>
        <w:pStyle w:val="ListParagraph"/>
        <w:numPr>
          <w:ilvl w:val="0"/>
          <w:numId w:val="16"/>
        </w:numPr>
        <w:ind w:left="0"/>
        <w:jc w:val="left"/>
        <w:rPr>
          <w:rFonts w:ascii="Times" w:hAnsi="Times" w:cs="Times"/>
        </w:rPr>
      </w:pPr>
      <w:r w:rsidRPr="00472DB8">
        <w:rPr>
          <w:rFonts w:ascii="Times" w:hAnsi="Times" w:cs="Times"/>
        </w:rPr>
        <w:t>C/K also argue that, once the Commission has awarded a construction permit to a tentative selectee in a mutually exclusive group, “to yield as many authorizations as possible,” the Commission should review the other applicants in the mutually exclusive group for “secondary” grantees.</w:t>
      </w:r>
      <w:r w:rsidRPr="00472DB8">
        <w:rPr>
          <w:rStyle w:val="FootnoteReference"/>
          <w:rFonts w:ascii="Times" w:hAnsi="Times" w:cs="Times"/>
        </w:rPr>
        <w:footnoteReference w:id="36"/>
      </w:r>
      <w:r w:rsidRPr="00472DB8">
        <w:rPr>
          <w:rFonts w:ascii="Times" w:hAnsi="Times" w:cs="Times"/>
        </w:rPr>
        <w:t xml:space="preserve">  No other party commented on this proposal. We do not believe awarding additional construction permits in this manner is appropriate.  Our current policies already provide LPFM applicants numerous opportunities in the settlement process to resolve mutual exclusivities.  As noted in the </w:t>
      </w:r>
      <w:r w:rsidRPr="00472DB8">
        <w:rPr>
          <w:rFonts w:ascii="Times" w:hAnsi="Times" w:cs="Times"/>
          <w:i/>
        </w:rPr>
        <w:t>Sixth Report and Order</w:t>
      </w:r>
      <w:r w:rsidRPr="00472DB8">
        <w:rPr>
          <w:rFonts w:ascii="Times" w:hAnsi="Times" w:cs="Times"/>
        </w:rPr>
        <w:t>, the Commission will</w:t>
      </w:r>
      <w:r w:rsidRPr="00472DB8">
        <w:rPr>
          <w:rFonts w:ascii="Times" w:hAnsi="Times" w:cs="Times"/>
          <w:i/>
        </w:rPr>
        <w:t xml:space="preserve"> </w:t>
      </w:r>
      <w:r w:rsidRPr="00472DB8">
        <w:rPr>
          <w:rFonts w:ascii="Times" w:hAnsi="Times" w:cs="Times"/>
        </w:rPr>
        <w:t>continue to accept both partial and global technical settlements</w:t>
      </w:r>
      <w:r w:rsidRPr="00472DB8">
        <w:rPr>
          <w:rStyle w:val="FootnoteReference"/>
          <w:rFonts w:ascii="Times" w:hAnsi="Times" w:cs="Times"/>
        </w:rPr>
        <w:footnoteReference w:id="37"/>
      </w:r>
      <w:r w:rsidRPr="00472DB8">
        <w:rPr>
          <w:rFonts w:ascii="Times" w:hAnsi="Times" w:cs="Times"/>
        </w:rPr>
        <w:t xml:space="preserve"> in the upcoming LPFM window.</w:t>
      </w:r>
      <w:r w:rsidRPr="00472DB8">
        <w:rPr>
          <w:rStyle w:val="FootnoteReference"/>
          <w:rFonts w:ascii="Times" w:hAnsi="Times" w:cs="Times"/>
        </w:rPr>
        <w:footnoteReference w:id="38"/>
      </w:r>
      <w:r w:rsidRPr="00472DB8">
        <w:rPr>
          <w:rFonts w:ascii="Times" w:hAnsi="Times" w:cs="Times"/>
        </w:rPr>
        <w:t xml:space="preserve">  We will also permit mutually exclusive applicants to move to any available channel during the period specified by Section 73.872(e).</w:t>
      </w:r>
      <w:r w:rsidRPr="00472DB8">
        <w:rPr>
          <w:rStyle w:val="FootnoteReference"/>
          <w:rFonts w:ascii="Times" w:hAnsi="Times" w:cs="Times"/>
        </w:rPr>
        <w:footnoteReference w:id="39"/>
      </w:r>
      <w:r w:rsidRPr="00472DB8">
        <w:rPr>
          <w:rFonts w:ascii="Times" w:hAnsi="Times" w:cs="Times"/>
        </w:rPr>
        <w:t xml:space="preserve">  We believe these procedures provide substantial flexibility to applicants to resolve conflicts and obtain multiple grants from mutually exclusive groups.  </w:t>
      </w:r>
    </w:p>
    <w:p w14:paraId="11949AED" w14:textId="77777777" w:rsidR="004724AD" w:rsidRPr="00472DB8" w:rsidRDefault="004724AD" w:rsidP="00E75380">
      <w:pPr>
        <w:pStyle w:val="ListParagraph"/>
        <w:ind w:firstLine="0"/>
        <w:jc w:val="left"/>
        <w:rPr>
          <w:rFonts w:ascii="Times" w:hAnsi="Times" w:cs="Times"/>
        </w:rPr>
      </w:pPr>
    </w:p>
    <w:p w14:paraId="467AD3ED" w14:textId="7A1D5A7D" w:rsidR="00743FE7" w:rsidRPr="00472DB8" w:rsidRDefault="004724AD" w:rsidP="00E75380">
      <w:pPr>
        <w:pStyle w:val="ListParagraph"/>
        <w:numPr>
          <w:ilvl w:val="0"/>
          <w:numId w:val="16"/>
        </w:numPr>
        <w:ind w:left="0"/>
        <w:jc w:val="left"/>
        <w:rPr>
          <w:rFonts w:ascii="Times" w:hAnsi="Times" w:cs="Times"/>
        </w:rPr>
      </w:pPr>
      <w:r w:rsidRPr="00472DB8">
        <w:rPr>
          <w:rFonts w:ascii="Times" w:hAnsi="Times" w:cs="Times"/>
        </w:rPr>
        <w:t>Further, in the NCE context, the Commission noted that although it might be beneficial to select more than one applicant in a mutually exclusive application group, doing so could potentially result in the selection of an inferior applicant as a secondary selectee.</w:t>
      </w:r>
      <w:r w:rsidRPr="00472DB8">
        <w:rPr>
          <w:rStyle w:val="FootnoteReference"/>
          <w:rFonts w:ascii="Times" w:hAnsi="Times" w:cs="Times"/>
        </w:rPr>
        <w:t xml:space="preserve"> </w:t>
      </w:r>
      <w:r w:rsidRPr="00472DB8">
        <w:rPr>
          <w:rStyle w:val="FootnoteReference"/>
          <w:rFonts w:ascii="Times" w:hAnsi="Times" w:cs="Times"/>
        </w:rPr>
        <w:footnoteReference w:id="40"/>
      </w:r>
      <w:r w:rsidRPr="00472DB8">
        <w:rPr>
          <w:rFonts w:ascii="Times" w:hAnsi="Times" w:cs="Times"/>
        </w:rPr>
        <w:t xml:space="preserve">  </w:t>
      </w:r>
      <w:r w:rsidR="006D3932" w:rsidRPr="00472DB8">
        <w:rPr>
          <w:rFonts w:ascii="Times" w:hAnsi="Times" w:cs="Times"/>
        </w:rPr>
        <w:t>T</w:t>
      </w:r>
      <w:r w:rsidRPr="00472DB8">
        <w:rPr>
          <w:rFonts w:ascii="Times" w:hAnsi="Times" w:cs="Times"/>
        </w:rPr>
        <w:t>he Commission determined that the better approach would be to dismiss all non-selected applicants in a group, and permit them to file again in the next filing window, even if a particular application is not mutually exclusive with the primary selectee of the group.</w:t>
      </w:r>
      <w:r w:rsidRPr="00472DB8">
        <w:rPr>
          <w:rStyle w:val="FootnoteReference"/>
          <w:rFonts w:ascii="Times" w:hAnsi="Times" w:cs="Times"/>
        </w:rPr>
        <w:footnoteReference w:id="41"/>
      </w:r>
      <w:r w:rsidRPr="00472DB8">
        <w:rPr>
          <w:rFonts w:ascii="Times" w:hAnsi="Times" w:cs="Times"/>
        </w:rPr>
        <w:t xml:space="preserve">  We believe the same reasoning and process apply in this context.</w:t>
      </w:r>
    </w:p>
    <w:p w14:paraId="71211318" w14:textId="77777777" w:rsidR="00E8740A" w:rsidRPr="00472DB8" w:rsidRDefault="00E8740A" w:rsidP="00E75380">
      <w:pPr>
        <w:pStyle w:val="ParaNum"/>
        <w:widowControl/>
        <w:numPr>
          <w:ilvl w:val="0"/>
          <w:numId w:val="0"/>
        </w:numPr>
        <w:spacing w:after="0"/>
        <w:jc w:val="left"/>
        <w:rPr>
          <w:rFonts w:ascii="Times" w:hAnsi="Times" w:cs="Times"/>
          <w:szCs w:val="22"/>
        </w:rPr>
      </w:pPr>
    </w:p>
    <w:p w14:paraId="1CE6846B" w14:textId="182C4CBC" w:rsidR="007E3BC9" w:rsidRPr="00472DB8" w:rsidRDefault="007E3BC9" w:rsidP="00E75380">
      <w:pPr>
        <w:pStyle w:val="ParaNum"/>
        <w:widowControl/>
        <w:numPr>
          <w:ilvl w:val="0"/>
          <w:numId w:val="0"/>
        </w:numPr>
        <w:spacing w:after="0"/>
        <w:ind w:left="720"/>
        <w:jc w:val="left"/>
        <w:rPr>
          <w:rFonts w:ascii="Times" w:hAnsi="Times" w:cs="Times"/>
          <w:b/>
        </w:rPr>
      </w:pPr>
      <w:r w:rsidRPr="00472DB8">
        <w:rPr>
          <w:rFonts w:ascii="Times" w:hAnsi="Times" w:cs="Times"/>
          <w:b/>
        </w:rPr>
        <w:t>C.</w:t>
      </w:r>
      <w:r w:rsidR="00B548FC" w:rsidRPr="00472DB8">
        <w:rPr>
          <w:rFonts w:ascii="Times" w:hAnsi="Times" w:cs="Times"/>
          <w:b/>
        </w:rPr>
        <w:tab/>
      </w:r>
      <w:r w:rsidR="00C43925" w:rsidRPr="00472DB8">
        <w:rPr>
          <w:rFonts w:ascii="Times" w:hAnsi="Times" w:cs="Times"/>
          <w:b/>
        </w:rPr>
        <w:t xml:space="preserve">Protection of </w:t>
      </w:r>
      <w:r w:rsidRPr="00472DB8">
        <w:rPr>
          <w:rFonts w:ascii="Times" w:hAnsi="Times" w:cs="Times"/>
          <w:b/>
        </w:rPr>
        <w:t xml:space="preserve">FM Translator </w:t>
      </w:r>
      <w:r w:rsidR="00C43925" w:rsidRPr="00472DB8">
        <w:rPr>
          <w:rFonts w:ascii="Times" w:hAnsi="Times" w:cs="Times"/>
          <w:b/>
        </w:rPr>
        <w:t>and</w:t>
      </w:r>
      <w:r w:rsidRPr="00472DB8">
        <w:rPr>
          <w:rFonts w:ascii="Times" w:hAnsi="Times" w:cs="Times"/>
          <w:b/>
        </w:rPr>
        <w:t xml:space="preserve"> FM Booster Station</w:t>
      </w:r>
      <w:r w:rsidR="005A7561" w:rsidRPr="00472DB8">
        <w:rPr>
          <w:rFonts w:ascii="Times" w:hAnsi="Times" w:cs="Times"/>
          <w:b/>
        </w:rPr>
        <w:t xml:space="preserve"> Input Signal</w:t>
      </w:r>
      <w:r w:rsidRPr="00472DB8">
        <w:rPr>
          <w:rFonts w:ascii="Times" w:hAnsi="Times" w:cs="Times"/>
          <w:b/>
        </w:rPr>
        <w:t xml:space="preserve">s </w:t>
      </w:r>
    </w:p>
    <w:p w14:paraId="5272CAB9" w14:textId="77777777" w:rsidR="001B7526" w:rsidRPr="00472DB8" w:rsidRDefault="001B7526" w:rsidP="00E75380">
      <w:pPr>
        <w:pStyle w:val="ParaNum"/>
        <w:widowControl/>
        <w:numPr>
          <w:ilvl w:val="0"/>
          <w:numId w:val="0"/>
        </w:numPr>
        <w:spacing w:after="0"/>
        <w:jc w:val="left"/>
        <w:rPr>
          <w:rFonts w:ascii="Times" w:hAnsi="Times" w:cs="Times"/>
          <w:b/>
        </w:rPr>
      </w:pPr>
    </w:p>
    <w:p w14:paraId="2E4B5144" w14:textId="17BD33AF" w:rsidR="00C15AF8" w:rsidRPr="00472DB8" w:rsidRDefault="00EE44B9" w:rsidP="00E75380">
      <w:pPr>
        <w:pStyle w:val="ParaNum"/>
        <w:widowControl/>
        <w:numPr>
          <w:ilvl w:val="0"/>
          <w:numId w:val="16"/>
        </w:numPr>
        <w:spacing w:after="0"/>
        <w:ind w:left="0"/>
        <w:jc w:val="left"/>
        <w:rPr>
          <w:rFonts w:ascii="Times" w:hAnsi="Times" w:cs="Times"/>
          <w:szCs w:val="22"/>
        </w:rPr>
      </w:pPr>
      <w:r w:rsidRPr="00472DB8">
        <w:rPr>
          <w:rFonts w:ascii="Times" w:hAnsi="Times" w:cs="Times"/>
          <w:szCs w:val="22"/>
        </w:rPr>
        <w:t xml:space="preserve">Section 6 of the LCRA requires </w:t>
      </w:r>
      <w:r w:rsidR="00C43925" w:rsidRPr="00472DB8">
        <w:rPr>
          <w:rFonts w:ascii="Times" w:hAnsi="Times" w:cs="Times"/>
          <w:szCs w:val="22"/>
        </w:rPr>
        <w:t xml:space="preserve">the Commission to “modify its rules to address the potential for predicted interference to FM </w:t>
      </w:r>
      <w:r w:rsidR="004F0639" w:rsidRPr="00472DB8">
        <w:rPr>
          <w:rFonts w:ascii="Times" w:hAnsi="Times" w:cs="Times"/>
          <w:szCs w:val="22"/>
        </w:rPr>
        <w:t>translator input signals</w:t>
      </w:r>
      <w:r w:rsidR="00C43925" w:rsidRPr="00472DB8">
        <w:rPr>
          <w:rFonts w:ascii="Times" w:hAnsi="Times" w:cs="Times"/>
          <w:szCs w:val="22"/>
        </w:rPr>
        <w:t>”</w:t>
      </w:r>
      <w:r w:rsidR="00C11918" w:rsidRPr="00472DB8">
        <w:rPr>
          <w:rStyle w:val="FootnoteReference"/>
          <w:rFonts w:ascii="Times" w:hAnsi="Times" w:cs="Times"/>
          <w:szCs w:val="22"/>
        </w:rPr>
        <w:footnoteReference w:id="42"/>
      </w:r>
      <w:r w:rsidR="00C43925" w:rsidRPr="00472DB8">
        <w:rPr>
          <w:rFonts w:ascii="Times" w:hAnsi="Times" w:cs="Times"/>
          <w:szCs w:val="22"/>
        </w:rPr>
        <w:t xml:space="preserve"> based on independently conducted experimental measurements.  </w:t>
      </w:r>
      <w:r w:rsidR="003E2A04" w:rsidRPr="00472DB8">
        <w:rPr>
          <w:rFonts w:ascii="Times" w:hAnsi="Times" w:cs="Times"/>
          <w:szCs w:val="22"/>
        </w:rPr>
        <w:t xml:space="preserve">This Section is intended to protect the </w:t>
      </w:r>
      <w:r w:rsidR="007B6454" w:rsidRPr="00472DB8">
        <w:rPr>
          <w:rFonts w:ascii="Times" w:hAnsi="Times" w:cs="Times"/>
          <w:szCs w:val="22"/>
        </w:rPr>
        <w:t xml:space="preserve">off-air </w:t>
      </w:r>
      <w:r w:rsidR="003E2A04" w:rsidRPr="00472DB8">
        <w:rPr>
          <w:rFonts w:ascii="Times" w:hAnsi="Times" w:cs="Times"/>
          <w:szCs w:val="22"/>
        </w:rPr>
        <w:t xml:space="preserve">input signal of an FM translator station.  </w:t>
      </w:r>
      <w:r w:rsidR="00BF1E3F" w:rsidRPr="00472DB8">
        <w:rPr>
          <w:rFonts w:ascii="Times" w:hAnsi="Times" w:cs="Times"/>
          <w:szCs w:val="22"/>
        </w:rPr>
        <w:t>To implement this requirement, t</w:t>
      </w:r>
      <w:r w:rsidR="00094191" w:rsidRPr="00472DB8">
        <w:rPr>
          <w:rFonts w:ascii="Times" w:hAnsi="Times" w:cs="Times"/>
        </w:rPr>
        <w:t>he Commission</w:t>
      </w:r>
      <w:r w:rsidR="00094191" w:rsidRPr="00472DB8">
        <w:rPr>
          <w:rFonts w:ascii="Times" w:hAnsi="Times" w:cs="Times"/>
          <w:i/>
        </w:rPr>
        <w:t xml:space="preserve"> </w:t>
      </w:r>
      <w:r w:rsidR="003A7715" w:rsidRPr="00472DB8">
        <w:rPr>
          <w:rFonts w:ascii="Times" w:hAnsi="Times" w:cs="Times"/>
          <w:szCs w:val="22"/>
        </w:rPr>
        <w:t>amended</w:t>
      </w:r>
      <w:r w:rsidR="00094191" w:rsidRPr="00472DB8">
        <w:rPr>
          <w:rFonts w:ascii="Times" w:hAnsi="Times" w:cs="Times"/>
          <w:szCs w:val="22"/>
        </w:rPr>
        <w:t xml:space="preserve"> </w:t>
      </w:r>
      <w:r w:rsidR="00C43925" w:rsidRPr="00472DB8">
        <w:rPr>
          <w:rFonts w:ascii="Times" w:hAnsi="Times" w:cs="Times"/>
          <w:szCs w:val="22"/>
        </w:rPr>
        <w:t>Section 73.827</w:t>
      </w:r>
      <w:r w:rsidR="00043275" w:rsidRPr="00472DB8">
        <w:rPr>
          <w:rFonts w:ascii="Times" w:hAnsi="Times" w:cs="Times"/>
          <w:szCs w:val="22"/>
        </w:rPr>
        <w:t xml:space="preserve"> </w:t>
      </w:r>
      <w:r w:rsidR="001F7A11" w:rsidRPr="00472DB8">
        <w:rPr>
          <w:rFonts w:ascii="Times" w:hAnsi="Times" w:cs="Times"/>
          <w:szCs w:val="22"/>
        </w:rPr>
        <w:t xml:space="preserve">to </w:t>
      </w:r>
      <w:r w:rsidR="00C43925" w:rsidRPr="00472DB8">
        <w:rPr>
          <w:rFonts w:ascii="Times" w:hAnsi="Times" w:cs="Times"/>
          <w:szCs w:val="22"/>
        </w:rPr>
        <w:t>prohibit the location of a</w:t>
      </w:r>
      <w:r w:rsidR="00615A54" w:rsidRPr="00472DB8">
        <w:rPr>
          <w:rFonts w:ascii="Times" w:hAnsi="Times" w:cs="Times"/>
          <w:szCs w:val="22"/>
        </w:rPr>
        <w:t>n</w:t>
      </w:r>
      <w:r w:rsidR="00C43925" w:rsidRPr="00472DB8">
        <w:rPr>
          <w:rFonts w:ascii="Times" w:hAnsi="Times" w:cs="Times"/>
          <w:szCs w:val="22"/>
        </w:rPr>
        <w:t xml:space="preserve"> LPFM station at certain locations </w:t>
      </w:r>
      <w:r w:rsidR="00622AD7" w:rsidRPr="00472DB8">
        <w:rPr>
          <w:rFonts w:ascii="Times" w:hAnsi="Times" w:cs="Times"/>
          <w:szCs w:val="22"/>
        </w:rPr>
        <w:t xml:space="preserve">– </w:t>
      </w:r>
      <w:r w:rsidR="009541A0" w:rsidRPr="00472DB8">
        <w:rPr>
          <w:rFonts w:ascii="Times" w:hAnsi="Times" w:cs="Times"/>
          <w:szCs w:val="22"/>
        </w:rPr>
        <w:t xml:space="preserve">within </w:t>
      </w:r>
      <w:r w:rsidR="00622AD7" w:rsidRPr="00472DB8">
        <w:rPr>
          <w:rFonts w:ascii="Times" w:hAnsi="Times" w:cs="Times"/>
          <w:szCs w:val="22"/>
        </w:rPr>
        <w:t xml:space="preserve">the </w:t>
      </w:r>
      <w:r w:rsidR="00482EF5" w:rsidRPr="00472DB8">
        <w:rPr>
          <w:rFonts w:ascii="Times" w:hAnsi="Times" w:cs="Times"/>
          <w:szCs w:val="22"/>
        </w:rPr>
        <w:t>“</w:t>
      </w:r>
      <w:r w:rsidR="00622AD7" w:rsidRPr="00472DB8">
        <w:rPr>
          <w:rFonts w:ascii="Times" w:hAnsi="Times" w:cs="Times"/>
          <w:szCs w:val="22"/>
        </w:rPr>
        <w:t>potential interference area</w:t>
      </w:r>
      <w:r w:rsidR="00482EF5" w:rsidRPr="00472DB8">
        <w:rPr>
          <w:rFonts w:ascii="Times" w:hAnsi="Times" w:cs="Times"/>
          <w:szCs w:val="22"/>
        </w:rPr>
        <w:t>”</w:t>
      </w:r>
      <w:r w:rsidR="00CB17B9" w:rsidRPr="00472DB8">
        <w:rPr>
          <w:rFonts w:ascii="Times" w:hAnsi="Times" w:cs="Times"/>
          <w:szCs w:val="22"/>
        </w:rPr>
        <w:t xml:space="preserve"> – </w:t>
      </w:r>
      <w:r w:rsidR="00622AD7" w:rsidRPr="00472DB8">
        <w:rPr>
          <w:rFonts w:ascii="Times" w:hAnsi="Times" w:cs="Times"/>
          <w:szCs w:val="22"/>
        </w:rPr>
        <w:t>near</w:t>
      </w:r>
      <w:r w:rsidR="00C43925" w:rsidRPr="00472DB8">
        <w:rPr>
          <w:rFonts w:ascii="Times" w:hAnsi="Times" w:cs="Times"/>
          <w:szCs w:val="22"/>
        </w:rPr>
        <w:t xml:space="preserve"> an FM translator station </w:t>
      </w:r>
      <w:r w:rsidR="00B82017" w:rsidRPr="00472DB8">
        <w:rPr>
          <w:rFonts w:ascii="Times" w:hAnsi="Times" w:cs="Times"/>
          <w:szCs w:val="22"/>
        </w:rPr>
        <w:t xml:space="preserve">that </w:t>
      </w:r>
      <w:r w:rsidR="00C43925" w:rsidRPr="00472DB8">
        <w:rPr>
          <w:rFonts w:ascii="Times" w:hAnsi="Times" w:cs="Times"/>
          <w:szCs w:val="22"/>
        </w:rPr>
        <w:t xml:space="preserve">receives </w:t>
      </w:r>
      <w:r w:rsidR="001F7A11" w:rsidRPr="00472DB8">
        <w:rPr>
          <w:rFonts w:ascii="Times" w:hAnsi="Times" w:cs="Times"/>
          <w:szCs w:val="22"/>
        </w:rPr>
        <w:t xml:space="preserve">an </w:t>
      </w:r>
      <w:r w:rsidR="00B97C5E" w:rsidRPr="00472DB8">
        <w:rPr>
          <w:rFonts w:ascii="Times" w:hAnsi="Times" w:cs="Times"/>
          <w:szCs w:val="22"/>
        </w:rPr>
        <w:t xml:space="preserve">off-air </w:t>
      </w:r>
      <w:r w:rsidR="00C43925" w:rsidRPr="00472DB8">
        <w:rPr>
          <w:rFonts w:ascii="Times" w:hAnsi="Times" w:cs="Times"/>
          <w:szCs w:val="22"/>
        </w:rPr>
        <w:t>input signal on a third-adjacent channel to such LPFM station.</w:t>
      </w:r>
      <w:r w:rsidR="00094191" w:rsidRPr="00472DB8">
        <w:rPr>
          <w:rStyle w:val="FootnoteReference"/>
          <w:rFonts w:ascii="Times" w:hAnsi="Times" w:cs="Times"/>
          <w:szCs w:val="22"/>
        </w:rPr>
        <w:footnoteReference w:id="43"/>
      </w:r>
      <w:r w:rsidR="004F0639" w:rsidRPr="00472DB8">
        <w:rPr>
          <w:rFonts w:ascii="Times" w:hAnsi="Times" w:cs="Times"/>
          <w:szCs w:val="22"/>
        </w:rPr>
        <w:t xml:space="preserve">  </w:t>
      </w:r>
      <w:r w:rsidR="00BD3ABC" w:rsidRPr="00472DB8">
        <w:rPr>
          <w:rFonts w:ascii="Times" w:hAnsi="Times" w:cs="Times"/>
          <w:szCs w:val="22"/>
        </w:rPr>
        <w:t>This protection requirement applies to input signals from both “</w:t>
      </w:r>
      <w:r w:rsidR="00E2668B" w:rsidRPr="00472DB8">
        <w:rPr>
          <w:rFonts w:ascii="Times" w:hAnsi="Times" w:cs="Times"/>
          <w:szCs w:val="22"/>
        </w:rPr>
        <w:t>full-service FM stations and FM translator stations.”</w:t>
      </w:r>
      <w:r w:rsidR="00E2668B" w:rsidRPr="00472DB8">
        <w:rPr>
          <w:rStyle w:val="FootnoteReference"/>
          <w:rFonts w:ascii="Times" w:hAnsi="Times" w:cs="Times"/>
          <w:szCs w:val="22"/>
        </w:rPr>
        <w:footnoteReference w:id="44"/>
      </w:r>
      <w:r w:rsidRPr="00472DB8">
        <w:rPr>
          <w:rFonts w:ascii="Times" w:hAnsi="Times" w:cs="Times"/>
          <w:szCs w:val="22"/>
        </w:rPr>
        <w:t xml:space="preserve">  </w:t>
      </w:r>
      <w:r w:rsidR="00104D93" w:rsidRPr="00472DB8">
        <w:rPr>
          <w:rFonts w:ascii="Times" w:hAnsi="Times" w:cs="Times"/>
          <w:szCs w:val="22"/>
        </w:rPr>
        <w:t xml:space="preserve">However, </w:t>
      </w:r>
      <w:r w:rsidR="00ED6765" w:rsidRPr="00472DB8">
        <w:rPr>
          <w:rFonts w:ascii="Times" w:hAnsi="Times" w:cs="Times"/>
          <w:szCs w:val="22"/>
        </w:rPr>
        <w:t>Section 73.827</w:t>
      </w:r>
      <w:r w:rsidR="00BF6D29" w:rsidRPr="00472DB8">
        <w:rPr>
          <w:rFonts w:ascii="Times" w:hAnsi="Times" w:cs="Times"/>
          <w:szCs w:val="22"/>
        </w:rPr>
        <w:t xml:space="preserve">(a) </w:t>
      </w:r>
      <w:r w:rsidR="002F70DD" w:rsidRPr="00472DB8">
        <w:rPr>
          <w:rFonts w:ascii="Times" w:hAnsi="Times" w:cs="Times"/>
          <w:szCs w:val="22"/>
        </w:rPr>
        <w:t>exempts an</w:t>
      </w:r>
      <w:r w:rsidR="00BF6D29" w:rsidRPr="00472DB8">
        <w:rPr>
          <w:rFonts w:ascii="Times" w:hAnsi="Times" w:cs="Times"/>
          <w:szCs w:val="22"/>
        </w:rPr>
        <w:t xml:space="preserve"> LPFM applicant</w:t>
      </w:r>
      <w:r w:rsidR="002F70DD" w:rsidRPr="00472DB8">
        <w:rPr>
          <w:rFonts w:ascii="Times" w:hAnsi="Times" w:cs="Times"/>
          <w:szCs w:val="22"/>
        </w:rPr>
        <w:t xml:space="preserve"> from </w:t>
      </w:r>
      <w:r w:rsidR="00BD3ABC" w:rsidRPr="00472DB8">
        <w:rPr>
          <w:rFonts w:ascii="Times" w:hAnsi="Times" w:cs="Times"/>
          <w:szCs w:val="22"/>
        </w:rPr>
        <w:t xml:space="preserve">these siting restrictions </w:t>
      </w:r>
      <w:r w:rsidR="00BF6D29" w:rsidRPr="00472DB8">
        <w:rPr>
          <w:rFonts w:ascii="Times" w:hAnsi="Times" w:cs="Times"/>
          <w:szCs w:val="22"/>
        </w:rPr>
        <w:t>if the applicant can demonstrate</w:t>
      </w:r>
      <w:r w:rsidR="00517710" w:rsidRPr="00472DB8">
        <w:rPr>
          <w:rFonts w:ascii="Times" w:hAnsi="Times" w:cs="Times"/>
          <w:szCs w:val="22"/>
        </w:rPr>
        <w:t xml:space="preserve"> </w:t>
      </w:r>
      <w:r w:rsidR="00BF6D29" w:rsidRPr="00472DB8">
        <w:rPr>
          <w:rFonts w:ascii="Times" w:hAnsi="Times" w:cs="Times"/>
          <w:szCs w:val="22"/>
        </w:rPr>
        <w:t>that no actual interference will occur.</w:t>
      </w:r>
      <w:r w:rsidR="00BF6D29" w:rsidRPr="00472DB8">
        <w:rPr>
          <w:rStyle w:val="FootnoteReference"/>
          <w:rFonts w:ascii="Times" w:hAnsi="Times" w:cs="Times"/>
          <w:szCs w:val="22"/>
        </w:rPr>
        <w:footnoteReference w:id="45"/>
      </w:r>
      <w:r w:rsidR="00104D93" w:rsidRPr="00472DB8">
        <w:rPr>
          <w:rFonts w:ascii="Times" w:hAnsi="Times" w:cs="Times"/>
          <w:szCs w:val="22"/>
        </w:rPr>
        <w:t xml:space="preserve"> </w:t>
      </w:r>
      <w:r w:rsidR="00BF6D29" w:rsidRPr="00472DB8">
        <w:rPr>
          <w:rFonts w:ascii="Times" w:hAnsi="Times" w:cs="Times"/>
          <w:szCs w:val="22"/>
        </w:rPr>
        <w:t> </w:t>
      </w:r>
      <w:r w:rsidR="00AC5111" w:rsidRPr="00472DB8">
        <w:rPr>
          <w:rFonts w:ascii="Times" w:hAnsi="Times" w:cs="Times"/>
          <w:szCs w:val="22"/>
        </w:rPr>
        <w:t>Moreover, t</w:t>
      </w:r>
      <w:r w:rsidRPr="00472DB8">
        <w:rPr>
          <w:rFonts w:ascii="Times" w:hAnsi="Times" w:cs="Times"/>
          <w:szCs w:val="22"/>
        </w:rPr>
        <w:t xml:space="preserve">o assist LPFM applicants in </w:t>
      </w:r>
      <w:r w:rsidR="00BD3ABC" w:rsidRPr="00472DB8">
        <w:rPr>
          <w:rFonts w:ascii="Times" w:hAnsi="Times" w:cs="Times"/>
          <w:szCs w:val="22"/>
        </w:rPr>
        <w:t xml:space="preserve">complying with the revised rule, </w:t>
      </w:r>
      <w:r w:rsidR="00BB6EC3" w:rsidRPr="00472DB8">
        <w:rPr>
          <w:rFonts w:ascii="Times" w:hAnsi="Times" w:cs="Times"/>
          <w:szCs w:val="22"/>
        </w:rPr>
        <w:t xml:space="preserve">the Commission </w:t>
      </w:r>
      <w:r w:rsidRPr="00472DB8">
        <w:rPr>
          <w:rFonts w:ascii="Times" w:hAnsi="Times" w:cs="Times"/>
          <w:szCs w:val="22"/>
        </w:rPr>
        <w:t xml:space="preserve">strongly recommended </w:t>
      </w:r>
      <w:r w:rsidR="00DC7C86" w:rsidRPr="00472DB8">
        <w:rPr>
          <w:rFonts w:ascii="Times" w:hAnsi="Times" w:cs="Times"/>
          <w:szCs w:val="22"/>
        </w:rPr>
        <w:t xml:space="preserve">that </w:t>
      </w:r>
      <w:r w:rsidRPr="00472DB8">
        <w:rPr>
          <w:rFonts w:ascii="Times" w:hAnsi="Times" w:cs="Times"/>
          <w:szCs w:val="22"/>
        </w:rPr>
        <w:t xml:space="preserve">FM translator licensees </w:t>
      </w:r>
      <w:r w:rsidR="00CD3E4B" w:rsidRPr="00472DB8">
        <w:rPr>
          <w:rFonts w:ascii="Times" w:hAnsi="Times" w:cs="Times"/>
          <w:szCs w:val="22"/>
        </w:rPr>
        <w:t xml:space="preserve">update </w:t>
      </w:r>
      <w:r w:rsidR="001C4BAF" w:rsidRPr="00472DB8">
        <w:rPr>
          <w:rFonts w:ascii="Times" w:hAnsi="Times" w:cs="Times"/>
          <w:szCs w:val="22"/>
        </w:rPr>
        <w:t>the information concerning their input signals if they have changed that information since their last such notification.</w:t>
      </w:r>
      <w:r w:rsidR="001C4BAF" w:rsidRPr="00472DB8">
        <w:rPr>
          <w:rStyle w:val="FootnoteReference"/>
          <w:rFonts w:ascii="Times" w:hAnsi="Times" w:cs="Times"/>
          <w:szCs w:val="22"/>
        </w:rPr>
        <w:footnoteReference w:id="46"/>
      </w:r>
    </w:p>
    <w:p w14:paraId="1A797CB7" w14:textId="41AEFCDD" w:rsidR="00C15AF8" w:rsidRPr="00472DB8" w:rsidRDefault="00C15AF8" w:rsidP="00E75380">
      <w:pPr>
        <w:ind w:left="2160" w:hanging="720"/>
        <w:jc w:val="left"/>
        <w:rPr>
          <w:rFonts w:ascii="Times" w:hAnsi="Times" w:cs="Times"/>
          <w:b/>
        </w:rPr>
      </w:pPr>
      <w:r w:rsidRPr="00472DB8">
        <w:rPr>
          <w:rFonts w:ascii="Times" w:hAnsi="Times" w:cs="Times"/>
          <w:b/>
        </w:rPr>
        <w:t>1.</w:t>
      </w:r>
      <w:r w:rsidRPr="00472DB8">
        <w:rPr>
          <w:rFonts w:ascii="Times" w:hAnsi="Times" w:cs="Times"/>
          <w:b/>
        </w:rPr>
        <w:tab/>
      </w:r>
      <w:r w:rsidR="00BD3ABC" w:rsidRPr="00472DB8">
        <w:rPr>
          <w:rFonts w:ascii="Times" w:hAnsi="Times" w:cs="Times"/>
          <w:b/>
        </w:rPr>
        <w:t xml:space="preserve">Protection of FM Translators </w:t>
      </w:r>
      <w:r w:rsidR="00B82017" w:rsidRPr="00472DB8">
        <w:rPr>
          <w:rFonts w:ascii="Times" w:hAnsi="Times" w:cs="Times"/>
          <w:b/>
        </w:rPr>
        <w:t xml:space="preserve">That </w:t>
      </w:r>
      <w:r w:rsidR="00BD3ABC" w:rsidRPr="00472DB8">
        <w:rPr>
          <w:rFonts w:ascii="Times" w:hAnsi="Times" w:cs="Times"/>
          <w:b/>
        </w:rPr>
        <w:t xml:space="preserve">Use </w:t>
      </w:r>
      <w:r w:rsidR="00AF63E9" w:rsidRPr="00472DB8">
        <w:rPr>
          <w:rFonts w:ascii="Times" w:hAnsi="Times" w:cs="Times"/>
          <w:b/>
        </w:rPr>
        <w:t xml:space="preserve">Other FM Translators for </w:t>
      </w:r>
      <w:r w:rsidR="005A7561" w:rsidRPr="00472DB8">
        <w:rPr>
          <w:rFonts w:ascii="Times" w:hAnsi="Times" w:cs="Times"/>
          <w:b/>
        </w:rPr>
        <w:t xml:space="preserve">Input </w:t>
      </w:r>
      <w:r w:rsidR="00BD3ABC" w:rsidRPr="00472DB8">
        <w:rPr>
          <w:rFonts w:ascii="Times" w:hAnsi="Times" w:cs="Times"/>
          <w:b/>
        </w:rPr>
        <w:t>Signal</w:t>
      </w:r>
      <w:r w:rsidR="005A7561" w:rsidRPr="00472DB8">
        <w:rPr>
          <w:rFonts w:ascii="Times" w:hAnsi="Times" w:cs="Times"/>
          <w:b/>
        </w:rPr>
        <w:t>s</w:t>
      </w:r>
    </w:p>
    <w:p w14:paraId="41B2383F" w14:textId="77777777" w:rsidR="007C16A2" w:rsidRPr="00472DB8" w:rsidRDefault="007C16A2" w:rsidP="00E75380">
      <w:pPr>
        <w:pStyle w:val="ParaNum"/>
        <w:widowControl/>
        <w:numPr>
          <w:ilvl w:val="0"/>
          <w:numId w:val="0"/>
        </w:numPr>
        <w:spacing w:after="0"/>
        <w:ind w:firstLine="720"/>
        <w:jc w:val="left"/>
        <w:rPr>
          <w:rFonts w:ascii="Times" w:hAnsi="Times" w:cs="Times"/>
          <w:szCs w:val="22"/>
        </w:rPr>
      </w:pPr>
    </w:p>
    <w:p w14:paraId="6D249277" w14:textId="6668AAA1" w:rsidR="00416E82" w:rsidRPr="00472DB8" w:rsidRDefault="007C16A2" w:rsidP="00E75380">
      <w:pPr>
        <w:pStyle w:val="ListParagraph"/>
        <w:numPr>
          <w:ilvl w:val="0"/>
          <w:numId w:val="16"/>
        </w:numPr>
        <w:ind w:left="0"/>
        <w:contextualSpacing w:val="0"/>
        <w:jc w:val="left"/>
        <w:rPr>
          <w:rFonts w:ascii="Times" w:hAnsi="Times" w:cs="Times"/>
        </w:rPr>
      </w:pPr>
      <w:r w:rsidRPr="00472DB8">
        <w:rPr>
          <w:rFonts w:ascii="Times" w:hAnsi="Times" w:cs="Times"/>
        </w:rPr>
        <w:t xml:space="preserve">Prometheus </w:t>
      </w:r>
      <w:r w:rsidR="00495C03" w:rsidRPr="00472DB8">
        <w:rPr>
          <w:rFonts w:ascii="Times" w:hAnsi="Times" w:cs="Times"/>
        </w:rPr>
        <w:t xml:space="preserve">contends that </w:t>
      </w:r>
      <w:r w:rsidR="00CE7832" w:rsidRPr="00472DB8">
        <w:rPr>
          <w:rFonts w:ascii="Times" w:hAnsi="Times" w:cs="Times"/>
        </w:rPr>
        <w:t xml:space="preserve">there is a discrepancy between </w:t>
      </w:r>
      <w:r w:rsidRPr="00472DB8">
        <w:rPr>
          <w:rFonts w:ascii="Times" w:hAnsi="Times" w:cs="Times"/>
        </w:rPr>
        <w:t>revised rule Section 73.827(a)</w:t>
      </w:r>
      <w:r w:rsidR="00CE7832" w:rsidRPr="00472DB8">
        <w:rPr>
          <w:rFonts w:ascii="Times" w:hAnsi="Times" w:cs="Times"/>
        </w:rPr>
        <w:t xml:space="preserve"> and the associated discussion in the </w:t>
      </w:r>
      <w:r w:rsidR="00CE7832" w:rsidRPr="00472DB8">
        <w:rPr>
          <w:rFonts w:ascii="Times" w:hAnsi="Times" w:cs="Times"/>
          <w:i/>
        </w:rPr>
        <w:t>Sixth Report and Order</w:t>
      </w:r>
      <w:r w:rsidRPr="00472DB8">
        <w:rPr>
          <w:rFonts w:ascii="Times" w:hAnsi="Times" w:cs="Times"/>
        </w:rPr>
        <w:t>.</w:t>
      </w:r>
      <w:r w:rsidRPr="00472DB8">
        <w:rPr>
          <w:rStyle w:val="FootnoteReference"/>
          <w:rFonts w:ascii="Times" w:hAnsi="Times" w:cs="Times"/>
        </w:rPr>
        <w:footnoteReference w:id="47"/>
      </w:r>
      <w:r w:rsidRPr="00472DB8">
        <w:rPr>
          <w:rFonts w:ascii="Times" w:hAnsi="Times" w:cs="Times"/>
        </w:rPr>
        <w:t xml:space="preserve">  </w:t>
      </w:r>
      <w:r w:rsidR="00CE7832" w:rsidRPr="00472DB8">
        <w:rPr>
          <w:rFonts w:ascii="Times" w:hAnsi="Times" w:cs="Times"/>
        </w:rPr>
        <w:t xml:space="preserve">As noted above, the latter </w:t>
      </w:r>
      <w:r w:rsidR="00322C37" w:rsidRPr="00472DB8">
        <w:rPr>
          <w:rFonts w:ascii="Times" w:hAnsi="Times" w:cs="Times"/>
        </w:rPr>
        <w:t>concluded “that LPFM applicants must protect the reception directly, off-air of third-adjacent channel input signals from any station, including full-service FM stat</w:t>
      </w:r>
      <w:r w:rsidR="001201E8" w:rsidRPr="00472DB8">
        <w:rPr>
          <w:rFonts w:ascii="Times" w:hAnsi="Times" w:cs="Times"/>
        </w:rPr>
        <w:t>ions and FM translator stations</w:t>
      </w:r>
      <w:r w:rsidR="001434DA" w:rsidRPr="00472DB8">
        <w:rPr>
          <w:rFonts w:ascii="Times" w:hAnsi="Times" w:cs="Times"/>
        </w:rPr>
        <w:t>.</w:t>
      </w:r>
      <w:r w:rsidR="001201E8" w:rsidRPr="00472DB8">
        <w:rPr>
          <w:rFonts w:ascii="Times" w:hAnsi="Times" w:cs="Times"/>
        </w:rPr>
        <w:t>”</w:t>
      </w:r>
      <w:r w:rsidR="00CE7832" w:rsidRPr="00472DB8">
        <w:rPr>
          <w:rStyle w:val="FootnoteReference"/>
          <w:rFonts w:ascii="Times" w:hAnsi="Times" w:cs="Times"/>
        </w:rPr>
        <w:footnoteReference w:id="48"/>
      </w:r>
      <w:r w:rsidR="00CE7832" w:rsidRPr="00472DB8">
        <w:rPr>
          <w:rFonts w:ascii="Times" w:hAnsi="Times" w:cs="Times"/>
        </w:rPr>
        <w:t xml:space="preserve">  In contrast, Section 73.827</w:t>
      </w:r>
      <w:r w:rsidR="001F7A11" w:rsidRPr="00472DB8">
        <w:rPr>
          <w:rFonts w:ascii="Times" w:hAnsi="Times" w:cs="Times"/>
        </w:rPr>
        <w:t>(a)</w:t>
      </w:r>
      <w:r w:rsidR="00CE7832" w:rsidRPr="00472DB8">
        <w:rPr>
          <w:rFonts w:ascii="Times" w:hAnsi="Times" w:cs="Times"/>
        </w:rPr>
        <w:t xml:space="preserve"> protects the input signal only when “</w:t>
      </w:r>
      <w:r w:rsidRPr="00472DB8">
        <w:rPr>
          <w:rFonts w:ascii="Times" w:hAnsi="Times" w:cs="Times"/>
        </w:rPr>
        <w:t xml:space="preserve">the LPFM application proposes to operate on a third-adjacent channel </w:t>
      </w:r>
      <w:r w:rsidRPr="00472DB8">
        <w:rPr>
          <w:rFonts w:ascii="Times" w:hAnsi="Times" w:cs="Times"/>
          <w:i/>
        </w:rPr>
        <w:t>to the primary station</w:t>
      </w:r>
      <w:r w:rsidRPr="00472DB8">
        <w:rPr>
          <w:rFonts w:ascii="Times" w:hAnsi="Times" w:cs="Times"/>
        </w:rPr>
        <w:t>.”</w:t>
      </w:r>
      <w:r w:rsidRPr="00472DB8">
        <w:rPr>
          <w:rStyle w:val="FootnoteReference"/>
          <w:rFonts w:ascii="Times" w:hAnsi="Times" w:cs="Times"/>
        </w:rPr>
        <w:footnoteReference w:id="49"/>
      </w:r>
      <w:r w:rsidRPr="00472DB8">
        <w:rPr>
          <w:rFonts w:ascii="Times" w:hAnsi="Times" w:cs="Times"/>
        </w:rPr>
        <w:t xml:space="preserve">  </w:t>
      </w:r>
      <w:r w:rsidR="00352BD9" w:rsidRPr="00472DB8">
        <w:rPr>
          <w:rFonts w:ascii="Times" w:hAnsi="Times" w:cs="Times"/>
        </w:rPr>
        <w:t xml:space="preserve">The </w:t>
      </w:r>
      <w:r w:rsidR="0097293E" w:rsidRPr="00472DB8">
        <w:rPr>
          <w:rFonts w:ascii="Times" w:hAnsi="Times" w:cs="Times"/>
        </w:rPr>
        <w:t>National Translator Association (“</w:t>
      </w:r>
      <w:r w:rsidR="009A1AF6" w:rsidRPr="00472DB8">
        <w:rPr>
          <w:rFonts w:ascii="Times" w:hAnsi="Times" w:cs="Times"/>
        </w:rPr>
        <w:t>NTA</w:t>
      </w:r>
      <w:r w:rsidR="0097293E" w:rsidRPr="00472DB8">
        <w:rPr>
          <w:rFonts w:ascii="Times" w:hAnsi="Times" w:cs="Times"/>
        </w:rPr>
        <w:t>”)</w:t>
      </w:r>
      <w:r w:rsidR="009A1AF6" w:rsidRPr="00472DB8">
        <w:rPr>
          <w:rFonts w:ascii="Times" w:hAnsi="Times" w:cs="Times"/>
        </w:rPr>
        <w:t>,</w:t>
      </w:r>
      <w:r w:rsidR="009A1AF6" w:rsidRPr="00472DB8">
        <w:rPr>
          <w:rStyle w:val="FootnoteReference"/>
          <w:rFonts w:ascii="Times" w:hAnsi="Times" w:cs="Times"/>
        </w:rPr>
        <w:footnoteReference w:id="50"/>
      </w:r>
      <w:r w:rsidR="009A1AF6" w:rsidRPr="00472DB8">
        <w:rPr>
          <w:rFonts w:ascii="Times" w:hAnsi="Times" w:cs="Times"/>
        </w:rPr>
        <w:t xml:space="preserve"> </w:t>
      </w:r>
      <w:r w:rsidR="00193B39" w:rsidRPr="00472DB8">
        <w:rPr>
          <w:rFonts w:ascii="Times" w:hAnsi="Times" w:cs="Times"/>
        </w:rPr>
        <w:t>Educational Media Foundation (“</w:t>
      </w:r>
      <w:r w:rsidRPr="00472DB8">
        <w:rPr>
          <w:rFonts w:ascii="Times" w:hAnsi="Times" w:cs="Times"/>
        </w:rPr>
        <w:t>EMF</w:t>
      </w:r>
      <w:r w:rsidR="00193B39" w:rsidRPr="00472DB8">
        <w:rPr>
          <w:rFonts w:ascii="Times" w:hAnsi="Times" w:cs="Times"/>
        </w:rPr>
        <w:t>”)</w:t>
      </w:r>
      <w:r w:rsidRPr="00472DB8">
        <w:rPr>
          <w:rFonts w:ascii="Times" w:hAnsi="Times" w:cs="Times"/>
        </w:rPr>
        <w:t xml:space="preserve">, </w:t>
      </w:r>
      <w:r w:rsidR="009A1AF6" w:rsidRPr="00472DB8">
        <w:rPr>
          <w:rFonts w:ascii="Times" w:hAnsi="Times" w:cs="Times"/>
        </w:rPr>
        <w:t xml:space="preserve">and </w:t>
      </w:r>
      <w:r w:rsidR="00193B39" w:rsidRPr="00472DB8">
        <w:rPr>
          <w:rFonts w:ascii="Times" w:hAnsi="Times" w:cs="Times"/>
        </w:rPr>
        <w:t>National Public</w:t>
      </w:r>
      <w:r w:rsidR="00416E82" w:rsidRPr="00472DB8">
        <w:rPr>
          <w:rFonts w:ascii="Times" w:hAnsi="Times" w:cs="Times"/>
        </w:rPr>
        <w:t xml:space="preserve"> Radio, Inc. (“NPR”</w:t>
      </w:r>
      <w:r w:rsidR="00994CE8" w:rsidRPr="00472DB8">
        <w:rPr>
          <w:rFonts w:ascii="Times" w:hAnsi="Times" w:cs="Times"/>
        </w:rPr>
        <w:t>)</w:t>
      </w:r>
      <w:r w:rsidR="009A1AF6" w:rsidRPr="00472DB8">
        <w:rPr>
          <w:rFonts w:ascii="Times" w:hAnsi="Times" w:cs="Times"/>
        </w:rPr>
        <w:t xml:space="preserve"> </w:t>
      </w:r>
      <w:r w:rsidR="00416E82" w:rsidRPr="00472DB8">
        <w:rPr>
          <w:rFonts w:ascii="Times" w:hAnsi="Times" w:cs="Times"/>
        </w:rPr>
        <w:t>all agree with Prometheus’s observation that the rule appears to inadvertently exclude input signals from FM translators.</w:t>
      </w:r>
      <w:r w:rsidR="00416E82" w:rsidRPr="00472DB8">
        <w:rPr>
          <w:rStyle w:val="FootnoteReference"/>
          <w:rFonts w:ascii="Times" w:hAnsi="Times" w:cs="Times"/>
        </w:rPr>
        <w:footnoteReference w:id="51"/>
      </w:r>
    </w:p>
    <w:p w14:paraId="2F13C74F" w14:textId="77777777" w:rsidR="007C16A2" w:rsidRPr="00472DB8" w:rsidRDefault="007C16A2" w:rsidP="00E75380">
      <w:pPr>
        <w:jc w:val="left"/>
        <w:rPr>
          <w:rFonts w:ascii="Times" w:hAnsi="Times" w:cs="Times"/>
        </w:rPr>
      </w:pPr>
    </w:p>
    <w:p w14:paraId="24D1E0B7" w14:textId="2FAB19C4" w:rsidR="00EE6CA5" w:rsidRPr="00472DB8" w:rsidRDefault="007C16A2" w:rsidP="00E75380">
      <w:pPr>
        <w:pStyle w:val="ListParagraph"/>
        <w:numPr>
          <w:ilvl w:val="0"/>
          <w:numId w:val="16"/>
        </w:numPr>
        <w:ind w:left="0"/>
        <w:jc w:val="left"/>
        <w:rPr>
          <w:rFonts w:ascii="Times" w:hAnsi="Times" w:cs="Times"/>
        </w:rPr>
      </w:pPr>
      <w:r w:rsidRPr="00472DB8">
        <w:rPr>
          <w:rFonts w:ascii="Times" w:hAnsi="Times" w:cs="Times"/>
        </w:rPr>
        <w:t xml:space="preserve">We agree </w:t>
      </w:r>
      <w:r w:rsidR="005A7561" w:rsidRPr="00472DB8">
        <w:rPr>
          <w:rFonts w:ascii="Times" w:hAnsi="Times" w:cs="Times"/>
        </w:rPr>
        <w:t xml:space="preserve">that </w:t>
      </w:r>
      <w:r w:rsidRPr="00472DB8">
        <w:rPr>
          <w:rFonts w:ascii="Times" w:hAnsi="Times" w:cs="Times"/>
        </w:rPr>
        <w:t>the text of Section 73.827</w:t>
      </w:r>
      <w:r w:rsidR="001F7A11" w:rsidRPr="00472DB8">
        <w:rPr>
          <w:rFonts w:ascii="Times" w:hAnsi="Times" w:cs="Times"/>
        </w:rPr>
        <w:t>(a)</w:t>
      </w:r>
      <w:r w:rsidRPr="00472DB8">
        <w:rPr>
          <w:rFonts w:ascii="Times" w:hAnsi="Times" w:cs="Times"/>
        </w:rPr>
        <w:t xml:space="preserve"> does not</w:t>
      </w:r>
      <w:r w:rsidR="00E3363F" w:rsidRPr="00472DB8">
        <w:rPr>
          <w:rFonts w:ascii="Times" w:hAnsi="Times" w:cs="Times"/>
        </w:rPr>
        <w:t xml:space="preserve"> fully and accurately</w:t>
      </w:r>
      <w:r w:rsidRPr="00472DB8">
        <w:rPr>
          <w:rFonts w:ascii="Times" w:hAnsi="Times" w:cs="Times"/>
        </w:rPr>
        <w:t xml:space="preserve"> reflect </w:t>
      </w:r>
      <w:r w:rsidR="00A90E99" w:rsidRPr="00472DB8">
        <w:rPr>
          <w:rFonts w:ascii="Times" w:hAnsi="Times" w:cs="Times"/>
        </w:rPr>
        <w:t xml:space="preserve">the Commission’s </w:t>
      </w:r>
      <w:r w:rsidR="00E3363F" w:rsidRPr="00472DB8">
        <w:rPr>
          <w:rFonts w:ascii="Times" w:hAnsi="Times" w:cs="Times"/>
        </w:rPr>
        <w:t xml:space="preserve">conclusion that Section 6 requires the protection of </w:t>
      </w:r>
      <w:r w:rsidRPr="00472DB8">
        <w:rPr>
          <w:rFonts w:ascii="Times" w:hAnsi="Times" w:cs="Times"/>
        </w:rPr>
        <w:t>all signals being delivered off-air on third adjacent channel</w:t>
      </w:r>
      <w:r w:rsidR="00E3363F" w:rsidRPr="00472DB8">
        <w:rPr>
          <w:rFonts w:ascii="Times" w:hAnsi="Times" w:cs="Times"/>
        </w:rPr>
        <w:t>s</w:t>
      </w:r>
      <w:r w:rsidR="001F7A11" w:rsidRPr="00472DB8">
        <w:rPr>
          <w:rFonts w:ascii="Times" w:hAnsi="Times" w:cs="Times"/>
        </w:rPr>
        <w:t>.</w:t>
      </w:r>
      <w:r w:rsidR="00615A54" w:rsidRPr="00472DB8">
        <w:rPr>
          <w:rStyle w:val="FootnoteReference"/>
          <w:rFonts w:ascii="Times" w:hAnsi="Times" w:cs="Times"/>
        </w:rPr>
        <w:footnoteReference w:id="52"/>
      </w:r>
      <w:r w:rsidRPr="00472DB8">
        <w:rPr>
          <w:rFonts w:ascii="Times" w:hAnsi="Times" w:cs="Times"/>
        </w:rPr>
        <w:t xml:space="preserve">  We </w:t>
      </w:r>
      <w:r w:rsidR="00A90E99" w:rsidRPr="00472DB8">
        <w:rPr>
          <w:rFonts w:ascii="Times" w:hAnsi="Times" w:cs="Times"/>
        </w:rPr>
        <w:t xml:space="preserve">therefore </w:t>
      </w:r>
      <w:r w:rsidRPr="00472DB8">
        <w:rPr>
          <w:rFonts w:ascii="Times" w:hAnsi="Times" w:cs="Times"/>
        </w:rPr>
        <w:t xml:space="preserve">revise the first sentence of the rule to </w:t>
      </w:r>
      <w:r w:rsidR="00E2668B" w:rsidRPr="00472DB8">
        <w:rPr>
          <w:rFonts w:ascii="Times" w:hAnsi="Times" w:cs="Times"/>
        </w:rPr>
        <w:t xml:space="preserve">read (with the new language in </w:t>
      </w:r>
      <w:r w:rsidR="00E2668B" w:rsidRPr="00472DB8">
        <w:rPr>
          <w:rFonts w:ascii="Times" w:hAnsi="Times" w:cs="Times"/>
          <w:i/>
        </w:rPr>
        <w:t>italics</w:t>
      </w:r>
      <w:r w:rsidR="00E3363F" w:rsidRPr="00472DB8">
        <w:rPr>
          <w:rFonts w:ascii="Times" w:hAnsi="Times" w:cs="Times"/>
        </w:rPr>
        <w:t xml:space="preserve"> and the deleted text in </w:t>
      </w:r>
      <w:r w:rsidR="00E3363F" w:rsidRPr="00472DB8">
        <w:rPr>
          <w:rFonts w:ascii="Times" w:hAnsi="Times" w:cs="Times"/>
          <w:strike/>
        </w:rPr>
        <w:t>strikethrough</w:t>
      </w:r>
      <w:r w:rsidR="00E2668B" w:rsidRPr="00472DB8">
        <w:rPr>
          <w:rFonts w:ascii="Times" w:hAnsi="Times" w:cs="Times"/>
        </w:rPr>
        <w:t>)</w:t>
      </w:r>
      <w:r w:rsidRPr="00472DB8">
        <w:rPr>
          <w:rFonts w:ascii="Times" w:hAnsi="Times" w:cs="Times"/>
        </w:rPr>
        <w:t>:</w:t>
      </w:r>
      <w:r w:rsidR="00E2668B" w:rsidRPr="00472DB8">
        <w:rPr>
          <w:rFonts w:ascii="Times" w:hAnsi="Times" w:cs="Times"/>
        </w:rPr>
        <w:t xml:space="preserve"> </w:t>
      </w:r>
      <w:r w:rsidRPr="00472DB8">
        <w:rPr>
          <w:rFonts w:ascii="Times" w:hAnsi="Times" w:cs="Times"/>
        </w:rPr>
        <w:t xml:space="preserve"> “This subsection applies when an LPFM application proposes to operate near an FM translator station, the FM translator station is receiving its</w:t>
      </w:r>
      <w:r w:rsidR="005A7561" w:rsidRPr="00472DB8">
        <w:rPr>
          <w:rFonts w:ascii="Times" w:hAnsi="Times" w:cs="Times"/>
        </w:rPr>
        <w:t xml:space="preserve"> </w:t>
      </w:r>
      <w:r w:rsidR="005A7561" w:rsidRPr="00472DB8">
        <w:rPr>
          <w:rFonts w:ascii="Times" w:hAnsi="Times" w:cs="Times"/>
          <w:i/>
        </w:rPr>
        <w:t>input</w:t>
      </w:r>
      <w:r w:rsidRPr="00472DB8">
        <w:rPr>
          <w:rFonts w:ascii="Times" w:hAnsi="Times" w:cs="Times"/>
        </w:rPr>
        <w:t xml:space="preserve"> </w:t>
      </w:r>
      <w:r w:rsidR="00E2668B" w:rsidRPr="00472DB8">
        <w:rPr>
          <w:rFonts w:ascii="Times" w:hAnsi="Times" w:cs="Times"/>
          <w:strike/>
        </w:rPr>
        <w:t>primary station</w:t>
      </w:r>
      <w:r w:rsidR="00E2668B" w:rsidRPr="00472DB8">
        <w:rPr>
          <w:rFonts w:ascii="Times" w:hAnsi="Times" w:cs="Times"/>
        </w:rPr>
        <w:t xml:space="preserve"> </w:t>
      </w:r>
      <w:r w:rsidRPr="00472DB8">
        <w:rPr>
          <w:rFonts w:ascii="Times" w:hAnsi="Times" w:cs="Times"/>
        </w:rPr>
        <w:t xml:space="preserve">signal off-air </w:t>
      </w:r>
      <w:r w:rsidRPr="00472DB8">
        <w:rPr>
          <w:rFonts w:ascii="Times" w:hAnsi="Times" w:cs="Times"/>
          <w:i/>
        </w:rPr>
        <w:t xml:space="preserve">(either directly from the primary </w:t>
      </w:r>
      <w:r w:rsidR="00E2668B" w:rsidRPr="00472DB8">
        <w:rPr>
          <w:rFonts w:ascii="Times" w:hAnsi="Times" w:cs="Times"/>
          <w:i/>
        </w:rPr>
        <w:t xml:space="preserve">station </w:t>
      </w:r>
      <w:r w:rsidRPr="00472DB8">
        <w:rPr>
          <w:rFonts w:ascii="Times" w:hAnsi="Times" w:cs="Times"/>
          <w:i/>
        </w:rPr>
        <w:t>or from a translator</w:t>
      </w:r>
      <w:r w:rsidR="00CB0569" w:rsidRPr="00472DB8">
        <w:rPr>
          <w:rFonts w:ascii="Times" w:hAnsi="Times" w:cs="Times"/>
          <w:i/>
        </w:rPr>
        <w:t xml:space="preserve"> station</w:t>
      </w:r>
      <w:r w:rsidRPr="00472DB8">
        <w:rPr>
          <w:rFonts w:ascii="Times" w:hAnsi="Times" w:cs="Times"/>
          <w:i/>
        </w:rPr>
        <w:t>)</w:t>
      </w:r>
      <w:r w:rsidRPr="00472DB8">
        <w:rPr>
          <w:rFonts w:ascii="Times" w:hAnsi="Times" w:cs="Times"/>
        </w:rPr>
        <w:t xml:space="preserve"> and the LPFM application proposes to operate on a third-adjacent channel to the</w:t>
      </w:r>
      <w:r w:rsidR="004D0A13" w:rsidRPr="00472DB8">
        <w:rPr>
          <w:rFonts w:ascii="Times" w:hAnsi="Times" w:cs="Times"/>
        </w:rPr>
        <w:t xml:space="preserve"> </w:t>
      </w:r>
      <w:r w:rsidR="004D0A13" w:rsidRPr="00472DB8">
        <w:rPr>
          <w:rFonts w:ascii="Times" w:hAnsi="Times" w:cs="Times"/>
          <w:strike/>
        </w:rPr>
        <w:t>primary station</w:t>
      </w:r>
      <w:r w:rsidRPr="00472DB8">
        <w:rPr>
          <w:rFonts w:ascii="Times" w:hAnsi="Times" w:cs="Times"/>
        </w:rPr>
        <w:t xml:space="preserve"> </w:t>
      </w:r>
      <w:r w:rsidR="00CB0569" w:rsidRPr="00472DB8">
        <w:rPr>
          <w:rFonts w:ascii="Times" w:hAnsi="Times" w:cs="Times"/>
          <w:i/>
        </w:rPr>
        <w:t>station delivering an input signal to the translator station</w:t>
      </w:r>
      <w:r w:rsidRPr="00472DB8">
        <w:rPr>
          <w:rFonts w:ascii="Times" w:hAnsi="Times" w:cs="Times"/>
        </w:rPr>
        <w:t>.”</w:t>
      </w:r>
      <w:r w:rsidR="00A90E99" w:rsidRPr="00472DB8">
        <w:rPr>
          <w:rFonts w:ascii="Times" w:hAnsi="Times" w:cs="Times"/>
        </w:rPr>
        <w:t xml:space="preserve"> </w:t>
      </w:r>
      <w:r w:rsidR="00FC511A" w:rsidRPr="00472DB8">
        <w:rPr>
          <w:rFonts w:ascii="Times" w:hAnsi="Times" w:cs="Times"/>
        </w:rPr>
        <w:t xml:space="preserve">  To maintain consistency, we will also revise the third sentence of the rule to read (with the new language in </w:t>
      </w:r>
      <w:r w:rsidR="00FC511A" w:rsidRPr="00472DB8">
        <w:rPr>
          <w:rFonts w:ascii="Times" w:hAnsi="Times" w:cs="Times"/>
          <w:i/>
        </w:rPr>
        <w:t>italics</w:t>
      </w:r>
      <w:r w:rsidR="00FC511A" w:rsidRPr="00472DB8">
        <w:rPr>
          <w:rFonts w:ascii="Times" w:hAnsi="Times" w:cs="Times"/>
        </w:rPr>
        <w:t xml:space="preserve"> and the deleted text in </w:t>
      </w:r>
      <w:r w:rsidR="00FC511A" w:rsidRPr="00472DB8">
        <w:rPr>
          <w:rFonts w:ascii="Times" w:hAnsi="Times" w:cs="Times"/>
          <w:strike/>
        </w:rPr>
        <w:t>strikethrough</w:t>
      </w:r>
      <w:r w:rsidR="00FC511A" w:rsidRPr="00472DB8">
        <w:rPr>
          <w:rFonts w:ascii="Times" w:hAnsi="Times" w:cs="Times"/>
        </w:rPr>
        <w:t>):</w:t>
      </w:r>
      <w:r w:rsidR="00004D15" w:rsidRPr="00472DB8">
        <w:rPr>
          <w:rFonts w:ascii="Times" w:hAnsi="Times" w:cs="Times"/>
        </w:rPr>
        <w:t xml:space="preserve">  In addition, in cases where an LPFM station is located within +/- 30 degrees of the azimuth between the FM translator station and its </w:t>
      </w:r>
      <w:r w:rsidR="00004D15" w:rsidRPr="00472DB8">
        <w:rPr>
          <w:rFonts w:ascii="Times" w:hAnsi="Times" w:cs="Times"/>
          <w:strike/>
        </w:rPr>
        <w:t>primary station</w:t>
      </w:r>
      <w:r w:rsidR="00004D15" w:rsidRPr="00472DB8">
        <w:rPr>
          <w:rFonts w:ascii="Times" w:hAnsi="Times" w:cs="Times"/>
        </w:rPr>
        <w:t xml:space="preserve"> </w:t>
      </w:r>
      <w:r w:rsidR="00004D15" w:rsidRPr="00472DB8">
        <w:rPr>
          <w:rFonts w:ascii="Times" w:hAnsi="Times" w:cs="Times"/>
          <w:i/>
        </w:rPr>
        <w:t>input signal</w:t>
      </w:r>
      <w:r w:rsidR="00004D15" w:rsidRPr="00472DB8">
        <w:rPr>
          <w:rFonts w:ascii="Times" w:hAnsi="Times" w:cs="Times"/>
        </w:rPr>
        <w:t>, the LPFM station will not be authorized unless it is located at least 10 kilometers from the FM translator station.</w:t>
      </w:r>
    </w:p>
    <w:p w14:paraId="22A69D1B" w14:textId="77777777" w:rsidR="00EE6CA5" w:rsidRPr="00472DB8" w:rsidRDefault="00EE6CA5" w:rsidP="00E75380">
      <w:pPr>
        <w:jc w:val="left"/>
        <w:rPr>
          <w:rFonts w:ascii="Times" w:hAnsi="Times" w:cs="Times"/>
          <w:b/>
        </w:rPr>
      </w:pPr>
    </w:p>
    <w:p w14:paraId="6CE5D95E" w14:textId="77777777" w:rsidR="00EE6CA5" w:rsidRPr="00472DB8" w:rsidRDefault="00EE6CA5" w:rsidP="00E75380">
      <w:pPr>
        <w:ind w:left="2160" w:hanging="720"/>
        <w:jc w:val="left"/>
        <w:rPr>
          <w:rFonts w:ascii="Times" w:hAnsi="Times" w:cs="Times"/>
          <w:b/>
        </w:rPr>
      </w:pPr>
      <w:r w:rsidRPr="00472DB8">
        <w:rPr>
          <w:rFonts w:ascii="Times" w:hAnsi="Times" w:cs="Times"/>
          <w:b/>
        </w:rPr>
        <w:t>2.</w:t>
      </w:r>
      <w:r w:rsidRPr="00472DB8">
        <w:rPr>
          <w:rFonts w:ascii="Times" w:hAnsi="Times" w:cs="Times"/>
          <w:b/>
        </w:rPr>
        <w:tab/>
      </w:r>
      <w:r w:rsidR="00AF63E9" w:rsidRPr="00472DB8">
        <w:rPr>
          <w:rFonts w:ascii="Times" w:hAnsi="Times" w:cs="Times"/>
          <w:b/>
        </w:rPr>
        <w:t>Methodology for Determining Predicted Interference to Input Signals</w:t>
      </w:r>
    </w:p>
    <w:p w14:paraId="48D0CCB4" w14:textId="77777777" w:rsidR="007C16A2" w:rsidRPr="00472DB8" w:rsidRDefault="007C16A2" w:rsidP="00E75380">
      <w:pPr>
        <w:jc w:val="left"/>
        <w:rPr>
          <w:rFonts w:ascii="Times" w:hAnsi="Times" w:cs="Times"/>
        </w:rPr>
      </w:pPr>
    </w:p>
    <w:p w14:paraId="0D4A026A" w14:textId="62643BF0" w:rsidR="00682950" w:rsidRPr="00472DB8" w:rsidRDefault="00682950" w:rsidP="00E75380">
      <w:pPr>
        <w:pStyle w:val="ListParagraph"/>
        <w:numPr>
          <w:ilvl w:val="0"/>
          <w:numId w:val="16"/>
        </w:numPr>
        <w:ind w:left="0"/>
        <w:jc w:val="left"/>
        <w:rPr>
          <w:rFonts w:ascii="Times" w:hAnsi="Times" w:cs="Times"/>
        </w:rPr>
      </w:pPr>
      <w:r w:rsidRPr="00472DB8">
        <w:rPr>
          <w:rFonts w:ascii="Times" w:hAnsi="Times" w:cs="Times"/>
        </w:rPr>
        <w:t>Prometheus also seeks revision of Section 73.827(a)(1)’s requirement that an LPFM applicant proposing to operate near an FM translator station demonstrate “that no actual interference will occur due to an undesired (LPFM) to desired (primary station) ratio below 34</w:t>
      </w:r>
      <w:r w:rsidR="00EA35A2" w:rsidRPr="00472DB8">
        <w:rPr>
          <w:rFonts w:ascii="Times" w:hAnsi="Times" w:cs="Times"/>
        </w:rPr>
        <w:t xml:space="preserve"> </w:t>
      </w:r>
      <w:r w:rsidRPr="00472DB8">
        <w:rPr>
          <w:rFonts w:ascii="Times" w:hAnsi="Times" w:cs="Times"/>
        </w:rPr>
        <w:t xml:space="preserve">dB </w:t>
      </w:r>
      <w:r w:rsidR="00F9344A">
        <w:rPr>
          <w:rFonts w:ascii="Times" w:hAnsi="Times" w:cs="Times"/>
          <w:iCs/>
        </w:rPr>
        <w:t xml:space="preserve">at all </w:t>
      </w:r>
      <w:r w:rsidRPr="00472DB8">
        <w:rPr>
          <w:rFonts w:ascii="Times" w:hAnsi="Times" w:cs="Times"/>
          <w:iCs/>
        </w:rPr>
        <w:t>locations</w:t>
      </w:r>
      <w:r w:rsidRPr="00472DB8">
        <w:rPr>
          <w:rFonts w:ascii="Times" w:hAnsi="Times" w:cs="Times"/>
        </w:rPr>
        <w:t>.”</w:t>
      </w:r>
      <w:r w:rsidRPr="00472DB8">
        <w:rPr>
          <w:rStyle w:val="FootnoteReference"/>
          <w:rFonts w:ascii="Times" w:hAnsi="Times" w:cs="Times"/>
        </w:rPr>
        <w:footnoteReference w:id="53"/>
      </w:r>
      <w:r w:rsidRPr="00472DB8">
        <w:rPr>
          <w:rFonts w:ascii="Times" w:hAnsi="Times" w:cs="Times"/>
        </w:rPr>
        <w:t>  Prometheus argues it is unnecessary and unreasonable to make this determination “</w:t>
      </w:r>
      <w:r w:rsidRPr="00472DB8">
        <w:rPr>
          <w:rFonts w:ascii="Times" w:hAnsi="Times" w:cs="Times"/>
          <w:i/>
          <w:iCs/>
        </w:rPr>
        <w:t>at</w:t>
      </w:r>
      <w:r w:rsidRPr="00472DB8">
        <w:rPr>
          <w:rFonts w:ascii="Times" w:hAnsi="Times" w:cs="Times"/>
        </w:rPr>
        <w:t xml:space="preserve"> </w:t>
      </w:r>
      <w:r w:rsidRPr="00472DB8">
        <w:rPr>
          <w:rFonts w:ascii="Times" w:hAnsi="Times" w:cs="Times"/>
          <w:i/>
          <w:iCs/>
        </w:rPr>
        <w:t>all locations</w:t>
      </w:r>
      <w:r w:rsidRPr="00472DB8">
        <w:rPr>
          <w:rFonts w:ascii="Times" w:hAnsi="Times" w:cs="Times"/>
        </w:rPr>
        <w:t>” and asks t</w:t>
      </w:r>
      <w:r w:rsidR="00E07C20" w:rsidRPr="00472DB8">
        <w:rPr>
          <w:rFonts w:ascii="Times" w:hAnsi="Times" w:cs="Times"/>
        </w:rPr>
        <w:t xml:space="preserve">he Commission to modify Section </w:t>
      </w:r>
      <w:r w:rsidRPr="00472DB8">
        <w:rPr>
          <w:rFonts w:ascii="Times" w:hAnsi="Times" w:cs="Times"/>
        </w:rPr>
        <w:t xml:space="preserve">73.827(a)(1) to require </w:t>
      </w:r>
      <w:r w:rsidR="00CB17B9" w:rsidRPr="00472DB8">
        <w:rPr>
          <w:rFonts w:ascii="Times" w:hAnsi="Times" w:cs="Times"/>
        </w:rPr>
        <w:t>only that an applicant specifying a transmitter location within the defined potential interference area establish that the signal strength ratio</w:t>
      </w:r>
      <w:r w:rsidR="0003771B" w:rsidRPr="00472DB8">
        <w:rPr>
          <w:rFonts w:ascii="Times" w:hAnsi="Times" w:cs="Times"/>
        </w:rPr>
        <w:t xml:space="preserve"> is below 34 dB </w:t>
      </w:r>
      <w:r w:rsidR="00B01936" w:rsidRPr="00472DB8">
        <w:rPr>
          <w:rFonts w:ascii="Times" w:hAnsi="Times" w:cs="Times"/>
        </w:rPr>
        <w:t>“at the translator receive antenna” rather than “at all locations.”</w:t>
      </w:r>
      <w:r w:rsidRPr="00472DB8">
        <w:rPr>
          <w:rStyle w:val="FootnoteReference"/>
          <w:rFonts w:ascii="Times" w:hAnsi="Times" w:cs="Times"/>
        </w:rPr>
        <w:footnoteReference w:id="54"/>
      </w:r>
      <w:r w:rsidRPr="00472DB8">
        <w:rPr>
          <w:rFonts w:ascii="Times" w:hAnsi="Times" w:cs="Times"/>
        </w:rPr>
        <w:t xml:space="preserve"> </w:t>
      </w:r>
    </w:p>
    <w:p w14:paraId="6B4B5AFF" w14:textId="77777777" w:rsidR="00682950" w:rsidRPr="00472DB8" w:rsidRDefault="00682950" w:rsidP="00E75380">
      <w:pPr>
        <w:jc w:val="left"/>
        <w:rPr>
          <w:rFonts w:ascii="Times" w:hAnsi="Times" w:cs="Times"/>
        </w:rPr>
      </w:pPr>
    </w:p>
    <w:p w14:paraId="44EED535" w14:textId="02ECF858" w:rsidR="00682950" w:rsidRPr="00472DB8" w:rsidRDefault="00682950" w:rsidP="00E75380">
      <w:pPr>
        <w:pStyle w:val="ListParagraph"/>
        <w:numPr>
          <w:ilvl w:val="0"/>
          <w:numId w:val="16"/>
        </w:numPr>
        <w:ind w:left="0"/>
        <w:jc w:val="left"/>
        <w:rPr>
          <w:rFonts w:ascii="Times" w:hAnsi="Times" w:cs="Times"/>
        </w:rPr>
      </w:pPr>
      <w:r w:rsidRPr="00472DB8">
        <w:rPr>
          <w:rFonts w:ascii="Times" w:hAnsi="Times" w:cs="Times"/>
        </w:rPr>
        <w:t xml:space="preserve">NPR </w:t>
      </w:r>
      <w:r w:rsidR="00CC3C85" w:rsidRPr="00472DB8">
        <w:rPr>
          <w:rFonts w:ascii="Times" w:hAnsi="Times" w:cs="Times"/>
        </w:rPr>
        <w:t>argues</w:t>
      </w:r>
      <w:r w:rsidRPr="00472DB8">
        <w:rPr>
          <w:rFonts w:ascii="Times" w:hAnsi="Times" w:cs="Times"/>
        </w:rPr>
        <w:t xml:space="preserve"> </w:t>
      </w:r>
      <w:r w:rsidR="0003771B" w:rsidRPr="00472DB8">
        <w:rPr>
          <w:rFonts w:ascii="Times" w:hAnsi="Times" w:cs="Times"/>
        </w:rPr>
        <w:t>that Prometheus improperly relies on arguments not previously presented</w:t>
      </w:r>
      <w:r w:rsidR="00020FCA" w:rsidRPr="00472DB8">
        <w:rPr>
          <w:rFonts w:ascii="Times" w:hAnsi="Times" w:cs="Times"/>
        </w:rPr>
        <w:t>,</w:t>
      </w:r>
      <w:r w:rsidR="0003771B" w:rsidRPr="00472DB8">
        <w:rPr>
          <w:rFonts w:ascii="Times" w:hAnsi="Times" w:cs="Times"/>
        </w:rPr>
        <w:t xml:space="preserve"> and therefore the Commission</w:t>
      </w:r>
      <w:r w:rsidR="005A7561" w:rsidRPr="00472DB8">
        <w:rPr>
          <w:rFonts w:ascii="Times" w:hAnsi="Times" w:cs="Times"/>
        </w:rPr>
        <w:t xml:space="preserve"> should dismiss</w:t>
      </w:r>
      <w:r w:rsidR="0003771B" w:rsidRPr="00472DB8">
        <w:rPr>
          <w:rFonts w:ascii="Times" w:hAnsi="Times" w:cs="Times"/>
        </w:rPr>
        <w:t xml:space="preserve"> this portion of Prometheus’s </w:t>
      </w:r>
      <w:r w:rsidR="00DF5C94" w:rsidRPr="00472DB8">
        <w:rPr>
          <w:rFonts w:ascii="Times" w:hAnsi="Times" w:cs="Times"/>
        </w:rPr>
        <w:t>P</w:t>
      </w:r>
      <w:r w:rsidR="0003771B" w:rsidRPr="00472DB8">
        <w:rPr>
          <w:rFonts w:ascii="Times" w:hAnsi="Times" w:cs="Times"/>
        </w:rPr>
        <w:t>etition.</w:t>
      </w:r>
      <w:r w:rsidRPr="00472DB8">
        <w:rPr>
          <w:rStyle w:val="FootnoteReference"/>
          <w:rFonts w:ascii="Times" w:hAnsi="Times" w:cs="Times"/>
        </w:rPr>
        <w:footnoteReference w:id="55"/>
      </w:r>
      <w:r w:rsidRPr="00472DB8">
        <w:rPr>
          <w:rFonts w:ascii="Times" w:hAnsi="Times" w:cs="Times"/>
        </w:rPr>
        <w:t xml:space="preserve">  Substantively, NPR argues </w:t>
      </w:r>
      <w:r w:rsidR="00B82017" w:rsidRPr="00472DB8">
        <w:rPr>
          <w:rFonts w:ascii="Times" w:hAnsi="Times" w:cs="Times"/>
        </w:rPr>
        <w:t xml:space="preserve">that </w:t>
      </w:r>
      <w:r w:rsidR="00104D93" w:rsidRPr="00472DB8">
        <w:rPr>
          <w:rFonts w:ascii="Times" w:hAnsi="Times" w:cs="Times"/>
        </w:rPr>
        <w:t xml:space="preserve">Section 6 of </w:t>
      </w:r>
      <w:r w:rsidRPr="00472DB8">
        <w:rPr>
          <w:rFonts w:ascii="Times" w:hAnsi="Times" w:cs="Times"/>
        </w:rPr>
        <w:t xml:space="preserve">the LCRA does not permit the Commission to accept and process an LPFM application based on a showing limited to the translator receive antenna </w:t>
      </w:r>
      <w:r w:rsidR="0003771B" w:rsidRPr="00472DB8">
        <w:rPr>
          <w:rFonts w:ascii="Times" w:hAnsi="Times" w:cs="Times"/>
        </w:rPr>
        <w:t xml:space="preserve">location </w:t>
      </w:r>
      <w:r w:rsidRPr="00472DB8">
        <w:rPr>
          <w:rFonts w:ascii="Times" w:hAnsi="Times" w:cs="Times"/>
        </w:rPr>
        <w:t>itself.</w:t>
      </w:r>
      <w:r w:rsidRPr="00472DB8">
        <w:rPr>
          <w:rStyle w:val="FootnoteReference"/>
          <w:rFonts w:ascii="Times" w:hAnsi="Times" w:cs="Times"/>
        </w:rPr>
        <w:footnoteReference w:id="56"/>
      </w:r>
      <w:r w:rsidRPr="00472DB8">
        <w:rPr>
          <w:rFonts w:ascii="Times" w:hAnsi="Times" w:cs="Times"/>
        </w:rPr>
        <w:t>  On the other hand, NTA agrees “with Prometheus</w:t>
      </w:r>
      <w:r w:rsidR="00DC7C86" w:rsidRPr="00472DB8">
        <w:rPr>
          <w:rFonts w:ascii="Times" w:hAnsi="Times" w:cs="Times"/>
        </w:rPr>
        <w:t xml:space="preserve"> . . . </w:t>
      </w:r>
      <w:r w:rsidRPr="00472DB8">
        <w:rPr>
          <w:rFonts w:ascii="Times" w:hAnsi="Times" w:cs="Times"/>
        </w:rPr>
        <w:t>that the term ‘all locations’ should refer to a single point which would be the receiver’s input feeding the translator.”</w:t>
      </w:r>
      <w:r w:rsidRPr="00472DB8">
        <w:rPr>
          <w:rStyle w:val="FootnoteReference"/>
          <w:rFonts w:ascii="Times" w:hAnsi="Times" w:cs="Times"/>
        </w:rPr>
        <w:footnoteReference w:id="57"/>
      </w:r>
      <w:r w:rsidRPr="00472DB8">
        <w:rPr>
          <w:rFonts w:ascii="Times" w:hAnsi="Times" w:cs="Times"/>
        </w:rPr>
        <w:t xml:space="preserve">  </w:t>
      </w:r>
    </w:p>
    <w:p w14:paraId="197633BD" w14:textId="77777777" w:rsidR="000235CB" w:rsidRPr="00472DB8" w:rsidRDefault="000235CB" w:rsidP="00E75380">
      <w:pPr>
        <w:pStyle w:val="ListParagraph"/>
        <w:ind w:left="0"/>
        <w:jc w:val="left"/>
        <w:rPr>
          <w:rFonts w:ascii="Times" w:hAnsi="Times" w:cs="Times"/>
        </w:rPr>
      </w:pPr>
    </w:p>
    <w:p w14:paraId="66AB9933" w14:textId="77777777" w:rsidR="000235CB" w:rsidRPr="00472DB8" w:rsidRDefault="000235CB" w:rsidP="00E75380">
      <w:pPr>
        <w:pStyle w:val="ListParagraph"/>
        <w:numPr>
          <w:ilvl w:val="0"/>
          <w:numId w:val="16"/>
        </w:numPr>
        <w:ind w:left="0"/>
        <w:jc w:val="left"/>
        <w:rPr>
          <w:rFonts w:ascii="Times" w:hAnsi="Times" w:cs="Times"/>
        </w:rPr>
      </w:pPr>
      <w:r w:rsidRPr="00472DB8">
        <w:rPr>
          <w:rFonts w:ascii="Times" w:hAnsi="Times" w:cs="Times"/>
        </w:rPr>
        <w:t>Prometheus counters that NPR misunderstands its request, which seeks clarification as to the required calculations for a good-faith demonstration when an LPFM applicant is within the “potential interference zone.”</w:t>
      </w:r>
      <w:r w:rsidR="00631135" w:rsidRPr="00472DB8">
        <w:rPr>
          <w:rStyle w:val="FootnoteReference"/>
          <w:rFonts w:ascii="Times" w:hAnsi="Times" w:cs="Times"/>
        </w:rPr>
        <w:footnoteReference w:id="58"/>
      </w:r>
      <w:r w:rsidRPr="00472DB8">
        <w:rPr>
          <w:rFonts w:ascii="Times" w:hAnsi="Times" w:cs="Times"/>
        </w:rPr>
        <w:t xml:space="preserve">  </w:t>
      </w:r>
      <w:r w:rsidR="00113B15" w:rsidRPr="00472DB8">
        <w:rPr>
          <w:rFonts w:ascii="Times" w:hAnsi="Times" w:cs="Times"/>
        </w:rPr>
        <w:t>It also notes</w:t>
      </w:r>
      <w:r w:rsidR="00DF5C94" w:rsidRPr="00472DB8">
        <w:rPr>
          <w:rFonts w:ascii="Times" w:hAnsi="Times" w:cs="Times"/>
        </w:rPr>
        <w:t xml:space="preserve"> that “the physical reality” is that “the function of an in-band translator input depends only on the signal str</w:t>
      </w:r>
      <w:r w:rsidR="00A94A15" w:rsidRPr="00472DB8">
        <w:rPr>
          <w:rFonts w:ascii="Times" w:hAnsi="Times" w:cs="Times"/>
        </w:rPr>
        <w:t>e</w:t>
      </w:r>
      <w:r w:rsidR="00DF5C94" w:rsidRPr="00472DB8">
        <w:rPr>
          <w:rFonts w:ascii="Times" w:hAnsi="Times" w:cs="Times"/>
        </w:rPr>
        <w:t>ngth at its receive antenna, and not elsewhere.”</w:t>
      </w:r>
      <w:r w:rsidR="00DF5C94" w:rsidRPr="00472DB8">
        <w:rPr>
          <w:rStyle w:val="FootnoteReference"/>
          <w:rFonts w:ascii="Times" w:hAnsi="Times" w:cs="Times"/>
        </w:rPr>
        <w:footnoteReference w:id="59"/>
      </w:r>
      <w:r w:rsidR="00DF5C94" w:rsidRPr="00472DB8">
        <w:rPr>
          <w:rFonts w:ascii="Times" w:hAnsi="Times" w:cs="Times"/>
        </w:rPr>
        <w:t xml:space="preserve"> </w:t>
      </w:r>
      <w:r w:rsidRPr="00472DB8">
        <w:rPr>
          <w:rFonts w:ascii="Times" w:hAnsi="Times" w:cs="Times"/>
        </w:rPr>
        <w:t>Prometheus argues it is a great burden to comply with the “at all locations” requirement, which it states will not technically improve the FM translator service.</w:t>
      </w:r>
      <w:r w:rsidRPr="00472DB8">
        <w:rPr>
          <w:rStyle w:val="FootnoteReference"/>
          <w:rFonts w:ascii="Times" w:hAnsi="Times" w:cs="Times"/>
        </w:rPr>
        <w:footnoteReference w:id="60"/>
      </w:r>
      <w:r w:rsidRPr="00472DB8">
        <w:rPr>
          <w:rFonts w:ascii="Times" w:hAnsi="Times" w:cs="Times"/>
        </w:rPr>
        <w:t xml:space="preserve">  </w:t>
      </w:r>
    </w:p>
    <w:p w14:paraId="60211490" w14:textId="77777777" w:rsidR="003F3626" w:rsidRPr="00472DB8" w:rsidRDefault="003F3626" w:rsidP="00E75380">
      <w:pPr>
        <w:ind w:firstLine="0"/>
        <w:jc w:val="left"/>
        <w:rPr>
          <w:rFonts w:ascii="Times" w:hAnsi="Times" w:cs="Times"/>
        </w:rPr>
      </w:pPr>
    </w:p>
    <w:p w14:paraId="701ECCC0" w14:textId="5866E28A" w:rsidR="00FC3BFB" w:rsidRPr="00472DB8" w:rsidRDefault="000913CA" w:rsidP="00E75380">
      <w:pPr>
        <w:pStyle w:val="ListParagraph"/>
        <w:numPr>
          <w:ilvl w:val="0"/>
          <w:numId w:val="16"/>
        </w:numPr>
        <w:ind w:left="0"/>
        <w:jc w:val="left"/>
        <w:rPr>
          <w:rFonts w:ascii="Times" w:hAnsi="Times" w:cs="Times"/>
        </w:rPr>
      </w:pPr>
      <w:r w:rsidRPr="00472DB8">
        <w:rPr>
          <w:rFonts w:ascii="Times" w:hAnsi="Times" w:cs="Times"/>
        </w:rPr>
        <w:t xml:space="preserve">As an initial matter, we agree with NPR that Prometheus raises a new argument on reconsideration.  However, for the reasons set forth below, we </w:t>
      </w:r>
      <w:r w:rsidR="007D37ED" w:rsidRPr="00472DB8">
        <w:rPr>
          <w:rFonts w:ascii="Times" w:hAnsi="Times" w:cs="Times"/>
        </w:rPr>
        <w:t>believe it is in the public interest to</w:t>
      </w:r>
      <w:r w:rsidR="002A6C6A" w:rsidRPr="00472DB8">
        <w:rPr>
          <w:rFonts w:ascii="Times" w:hAnsi="Times" w:cs="Times"/>
        </w:rPr>
        <w:t xml:space="preserve"> </w:t>
      </w:r>
      <w:r w:rsidRPr="00472DB8">
        <w:rPr>
          <w:rFonts w:ascii="Times" w:hAnsi="Times" w:cs="Times"/>
        </w:rPr>
        <w:t>consider</w:t>
      </w:r>
      <w:r w:rsidR="007D37ED" w:rsidRPr="00472DB8">
        <w:rPr>
          <w:rFonts w:ascii="Times" w:hAnsi="Times" w:cs="Times"/>
        </w:rPr>
        <w:t xml:space="preserve"> the merits of the argument</w:t>
      </w:r>
      <w:r w:rsidRPr="00472DB8">
        <w:rPr>
          <w:rFonts w:ascii="Times" w:hAnsi="Times" w:cs="Times"/>
        </w:rPr>
        <w:t>.</w:t>
      </w:r>
      <w:r w:rsidRPr="00472DB8">
        <w:rPr>
          <w:rStyle w:val="FootnoteReference"/>
          <w:rFonts w:ascii="Times" w:hAnsi="Times" w:cs="Times"/>
        </w:rPr>
        <w:footnoteReference w:id="61"/>
      </w:r>
      <w:r w:rsidRPr="00472DB8">
        <w:rPr>
          <w:rFonts w:ascii="Times" w:hAnsi="Times" w:cs="Times"/>
        </w:rPr>
        <w:t xml:space="preserve">  </w:t>
      </w:r>
      <w:r w:rsidR="001B1239" w:rsidRPr="00472DB8">
        <w:rPr>
          <w:rFonts w:ascii="Times" w:hAnsi="Times" w:cs="Times"/>
        </w:rPr>
        <w:t>Section 6 of the LCRA requires the Commission to “modify its rules to address the potential for predicted interference to FM translator input signals on third-adjacent channels set forth in section 2.7 of [the Mitre Report]</w:t>
      </w:r>
      <w:r w:rsidR="00461635" w:rsidRPr="00472DB8">
        <w:rPr>
          <w:rFonts w:ascii="Times" w:hAnsi="Times" w:cs="Times"/>
        </w:rPr>
        <w:t>.</w:t>
      </w:r>
      <w:r w:rsidR="001B1239" w:rsidRPr="00472DB8">
        <w:rPr>
          <w:rFonts w:ascii="Times" w:hAnsi="Times" w:cs="Times"/>
        </w:rPr>
        <w:t>”</w:t>
      </w:r>
      <w:r w:rsidR="00461635" w:rsidRPr="00472DB8">
        <w:rPr>
          <w:rStyle w:val="FootnoteReference"/>
          <w:rFonts w:ascii="Times" w:hAnsi="Times" w:cs="Times"/>
        </w:rPr>
        <w:footnoteReference w:id="62"/>
      </w:r>
      <w:r w:rsidR="001B1239" w:rsidRPr="00472DB8">
        <w:rPr>
          <w:rFonts w:ascii="Times" w:hAnsi="Times" w:cs="Times"/>
        </w:rPr>
        <w:t xml:space="preserve">  </w:t>
      </w:r>
      <w:r w:rsidRPr="00472DB8">
        <w:rPr>
          <w:rFonts w:ascii="Times" w:hAnsi="Times" w:cs="Times"/>
        </w:rPr>
        <w:t xml:space="preserve">In the </w:t>
      </w:r>
      <w:r w:rsidRPr="00472DB8">
        <w:rPr>
          <w:rFonts w:ascii="Times" w:hAnsi="Times" w:cs="Times"/>
          <w:i/>
        </w:rPr>
        <w:t>Fourth Further Notice</w:t>
      </w:r>
      <w:r w:rsidRPr="00472DB8">
        <w:rPr>
          <w:rFonts w:ascii="Times" w:hAnsi="Times" w:cs="Times"/>
        </w:rPr>
        <w:t xml:space="preserve"> the Commission “propose[d], </w:t>
      </w:r>
      <w:r w:rsidRPr="00472DB8">
        <w:rPr>
          <w:rFonts w:ascii="Times" w:hAnsi="Times" w:cs="Times"/>
          <w:i/>
        </w:rPr>
        <w:t>as indicated in Section 2.7 of the [Mitre] Report</w:t>
      </w:r>
      <w:r w:rsidRPr="00472DB8">
        <w:rPr>
          <w:rFonts w:ascii="Times" w:hAnsi="Times" w:cs="Times"/>
        </w:rPr>
        <w:t>, that applicants may show that the ratio of [signal strengths] is below 34 dB at all locations”</w:t>
      </w:r>
      <w:r w:rsidRPr="00472DB8">
        <w:rPr>
          <w:rStyle w:val="FootnoteReference"/>
          <w:rFonts w:ascii="Times" w:hAnsi="Times" w:cs="Times"/>
        </w:rPr>
        <w:footnoteReference w:id="63"/>
      </w:r>
      <w:r w:rsidRPr="00472DB8">
        <w:rPr>
          <w:rFonts w:ascii="Times" w:hAnsi="Times" w:cs="Times"/>
        </w:rPr>
        <w:t xml:space="preserve"> to establish lack of predicted interference.  Although adopted in the </w:t>
      </w:r>
      <w:r w:rsidRPr="00472DB8">
        <w:rPr>
          <w:rFonts w:ascii="Times" w:hAnsi="Times" w:cs="Times"/>
          <w:i/>
        </w:rPr>
        <w:t>Sixth Report and Order</w:t>
      </w:r>
      <w:r w:rsidRPr="00472DB8">
        <w:rPr>
          <w:rFonts w:ascii="Times" w:hAnsi="Times" w:cs="Times"/>
        </w:rPr>
        <w:t>, th</w:t>
      </w:r>
      <w:r w:rsidR="00E46247" w:rsidRPr="00472DB8">
        <w:rPr>
          <w:rFonts w:ascii="Times" w:hAnsi="Times" w:cs="Times"/>
        </w:rPr>
        <w:t>e</w:t>
      </w:r>
      <w:r w:rsidRPr="00472DB8">
        <w:rPr>
          <w:rFonts w:ascii="Times" w:hAnsi="Times" w:cs="Times"/>
        </w:rPr>
        <w:t xml:space="preserve"> “at all locations” requirement does not accurately describe the Mitre Report methodology</w:t>
      </w:r>
      <w:r w:rsidR="00B80D29" w:rsidRPr="00472DB8">
        <w:rPr>
          <w:rFonts w:ascii="Times" w:hAnsi="Times" w:cs="Times"/>
        </w:rPr>
        <w:t>,</w:t>
      </w:r>
      <w:r w:rsidRPr="00472DB8">
        <w:rPr>
          <w:rFonts w:ascii="Times" w:hAnsi="Times" w:cs="Times"/>
        </w:rPr>
        <w:t xml:space="preserve"> which measured the effect of third-adjacent channel signals on a translator’s receive antenna “</w:t>
      </w:r>
      <w:r w:rsidRPr="00472DB8">
        <w:rPr>
          <w:rFonts w:ascii="Times" w:hAnsi="Times" w:cs="Times"/>
          <w:i/>
        </w:rPr>
        <w:t>at the translator input</w:t>
      </w:r>
      <w:r w:rsidRPr="00472DB8">
        <w:rPr>
          <w:rFonts w:ascii="Times" w:hAnsi="Times" w:cs="Times"/>
        </w:rPr>
        <w:t>.”</w:t>
      </w:r>
      <w:r w:rsidRPr="00472DB8">
        <w:rPr>
          <w:rStyle w:val="FootnoteReference"/>
          <w:rFonts w:ascii="Times" w:hAnsi="Times" w:cs="Times"/>
        </w:rPr>
        <w:footnoteReference w:id="64"/>
      </w:r>
      <w:r w:rsidRPr="00472DB8">
        <w:rPr>
          <w:rFonts w:ascii="Times" w:hAnsi="Times" w:cs="Times"/>
        </w:rPr>
        <w:t xml:space="preserve">   Thus, contrary to NPR’s claim, applying this interference standard at only one location is fully consistent with and, in fact, more faithfully implements Section 6 of the LCRA</w:t>
      </w:r>
      <w:r w:rsidR="00B80D29" w:rsidRPr="00472DB8">
        <w:rPr>
          <w:rFonts w:ascii="Times" w:hAnsi="Times" w:cs="Times"/>
        </w:rPr>
        <w:t xml:space="preserve"> because </w:t>
      </w:r>
      <w:r w:rsidR="00296EE9" w:rsidRPr="00472DB8">
        <w:rPr>
          <w:rFonts w:ascii="Times" w:hAnsi="Times" w:cs="Times"/>
        </w:rPr>
        <w:t>Congress determined that the predicted interference to FM translator input signals on third-adjacent channels should be consistent with the Mitre Report, which in fact</w:t>
      </w:r>
      <w:r w:rsidR="00B80D29" w:rsidRPr="00472DB8">
        <w:rPr>
          <w:rFonts w:ascii="Times" w:hAnsi="Times" w:cs="Times"/>
        </w:rPr>
        <w:t xml:space="preserve"> </w:t>
      </w:r>
      <w:r w:rsidR="00296EE9" w:rsidRPr="00472DB8">
        <w:rPr>
          <w:rFonts w:ascii="Times" w:hAnsi="Times" w:cs="Times"/>
        </w:rPr>
        <w:t>measured the effect of third-adjacent channel signals on a translator’s receive antenna at the translator input</w:t>
      </w:r>
      <w:r w:rsidRPr="00472DB8">
        <w:rPr>
          <w:rFonts w:ascii="Times" w:hAnsi="Times" w:cs="Times"/>
        </w:rPr>
        <w:t>.</w:t>
      </w:r>
      <w:r w:rsidR="00097EC8" w:rsidRPr="00472DB8">
        <w:rPr>
          <w:rFonts w:ascii="Times" w:hAnsi="Times" w:cs="Times"/>
        </w:rPr>
        <w:t xml:space="preserve">  </w:t>
      </w:r>
      <w:r w:rsidR="00682950" w:rsidRPr="00472DB8">
        <w:rPr>
          <w:rFonts w:ascii="Times" w:hAnsi="Times" w:cs="Times"/>
        </w:rPr>
        <w:t xml:space="preserve">We agree with Prometheus that it is </w:t>
      </w:r>
      <w:r w:rsidR="0003771B" w:rsidRPr="00472DB8">
        <w:rPr>
          <w:rFonts w:ascii="Times" w:hAnsi="Times" w:cs="Times"/>
        </w:rPr>
        <w:t xml:space="preserve">neither </w:t>
      </w:r>
      <w:r w:rsidR="00682950" w:rsidRPr="00472DB8">
        <w:rPr>
          <w:rFonts w:ascii="Times" w:hAnsi="Times" w:cs="Times"/>
        </w:rPr>
        <w:t>sensible</w:t>
      </w:r>
      <w:r w:rsidR="0003771B" w:rsidRPr="00472DB8">
        <w:rPr>
          <w:rFonts w:ascii="Times" w:hAnsi="Times" w:cs="Times"/>
        </w:rPr>
        <w:t xml:space="preserve"> nor necessary</w:t>
      </w:r>
      <w:r w:rsidR="00682950" w:rsidRPr="00472DB8">
        <w:rPr>
          <w:rFonts w:ascii="Times" w:hAnsi="Times" w:cs="Times"/>
        </w:rPr>
        <w:t xml:space="preserve"> to require LPFM applicants to demonstrate no actual interference will occur “at all locations”</w:t>
      </w:r>
      <w:r w:rsidR="00FC3BFB" w:rsidRPr="00472DB8">
        <w:rPr>
          <w:rFonts w:ascii="Times" w:hAnsi="Times" w:cs="Times"/>
        </w:rPr>
        <w:t xml:space="preserve"> because the only </w:t>
      </w:r>
      <w:r w:rsidR="00FE5452" w:rsidRPr="00472DB8">
        <w:rPr>
          <w:rFonts w:ascii="Times" w:hAnsi="Times" w:cs="Times"/>
        </w:rPr>
        <w:t xml:space="preserve">technically </w:t>
      </w:r>
      <w:r w:rsidR="00FC3BFB" w:rsidRPr="00472DB8">
        <w:rPr>
          <w:rFonts w:ascii="Times" w:hAnsi="Times" w:cs="Times"/>
        </w:rPr>
        <w:t>relevant point to measure for the purpose of “address[ing] the potential for predicted interference to FM translator input signals on third-adjacent channels,”</w:t>
      </w:r>
      <w:r w:rsidR="00FC3BFB" w:rsidRPr="00472DB8">
        <w:rPr>
          <w:rStyle w:val="FootnoteReference"/>
          <w:rFonts w:ascii="Times" w:hAnsi="Times" w:cs="Times"/>
        </w:rPr>
        <w:footnoteReference w:id="65"/>
      </w:r>
      <w:r w:rsidR="00FC3BFB" w:rsidRPr="00472DB8">
        <w:rPr>
          <w:rFonts w:ascii="Times" w:hAnsi="Times" w:cs="Times"/>
        </w:rPr>
        <w:t xml:space="preserve"> is the </w:t>
      </w:r>
      <w:r w:rsidR="00CB5F3A" w:rsidRPr="00472DB8">
        <w:rPr>
          <w:rFonts w:ascii="Times" w:hAnsi="Times" w:cs="Times"/>
        </w:rPr>
        <w:t xml:space="preserve">location of the </w:t>
      </w:r>
      <w:r w:rsidR="00FC3BFB" w:rsidRPr="00472DB8">
        <w:rPr>
          <w:rFonts w:ascii="Times" w:hAnsi="Times" w:cs="Times"/>
        </w:rPr>
        <w:t>translator’s receive antenna.</w:t>
      </w:r>
      <w:r w:rsidR="00704A71" w:rsidRPr="00472DB8">
        <w:rPr>
          <w:rFonts w:ascii="Times" w:hAnsi="Times" w:cs="Times"/>
        </w:rPr>
        <w:t xml:space="preserve">  </w:t>
      </w:r>
      <w:r w:rsidRPr="00472DB8">
        <w:rPr>
          <w:rFonts w:ascii="Times" w:hAnsi="Times" w:cs="Times"/>
        </w:rPr>
        <w:t xml:space="preserve">In a case where a third-adjacent channel LPFM station is causing interference to a translator input signal </w:t>
      </w:r>
      <w:r w:rsidRPr="00472DB8">
        <w:rPr>
          <w:rFonts w:ascii="Times" w:hAnsi="Times" w:cs="Times"/>
          <w:i/>
        </w:rPr>
        <w:t>at other locations</w:t>
      </w:r>
      <w:r w:rsidRPr="00472DB8">
        <w:rPr>
          <w:rFonts w:ascii="Times" w:hAnsi="Times" w:cs="Times"/>
        </w:rPr>
        <w:t>, the LPFM station is subject, of course, to Section 73.810 complaint and remediation provisions.</w:t>
      </w:r>
      <w:r w:rsidR="00B80D29" w:rsidRPr="00472DB8">
        <w:rPr>
          <w:rStyle w:val="FootnoteReference"/>
          <w:rFonts w:ascii="Times" w:hAnsi="Times" w:cs="Times"/>
        </w:rPr>
        <w:footnoteReference w:id="66"/>
      </w:r>
      <w:r w:rsidRPr="00472DB8">
        <w:rPr>
          <w:rFonts w:ascii="Times" w:hAnsi="Times" w:cs="Times"/>
        </w:rPr>
        <w:t xml:space="preserve">  </w:t>
      </w:r>
      <w:r w:rsidR="00F239AD" w:rsidRPr="00472DB8">
        <w:rPr>
          <w:rFonts w:ascii="Times" w:hAnsi="Times" w:cs="Times"/>
        </w:rPr>
        <w:t xml:space="preserve">Accordingly, </w:t>
      </w:r>
      <w:r w:rsidR="00682950" w:rsidRPr="00472DB8">
        <w:rPr>
          <w:rFonts w:ascii="Times" w:hAnsi="Times" w:cs="Times"/>
        </w:rPr>
        <w:t xml:space="preserve">we will </w:t>
      </w:r>
      <w:r w:rsidR="0003771B" w:rsidRPr="00472DB8">
        <w:rPr>
          <w:rFonts w:ascii="Times" w:hAnsi="Times" w:cs="Times"/>
        </w:rPr>
        <w:t>grant reconsideration on this issue.</w:t>
      </w:r>
      <w:r w:rsidR="00F239AD" w:rsidRPr="00472DB8">
        <w:rPr>
          <w:rFonts w:ascii="Times" w:hAnsi="Times" w:cs="Times"/>
        </w:rPr>
        <w:t xml:space="preserve">  </w:t>
      </w:r>
    </w:p>
    <w:p w14:paraId="68A1C5ED" w14:textId="77777777" w:rsidR="00FC3BFB" w:rsidRPr="00472DB8" w:rsidRDefault="00FC3BFB" w:rsidP="00E75380">
      <w:pPr>
        <w:pStyle w:val="ListParagraph"/>
        <w:jc w:val="left"/>
        <w:rPr>
          <w:rFonts w:ascii="Times" w:hAnsi="Times" w:cs="Times"/>
        </w:rPr>
      </w:pPr>
    </w:p>
    <w:p w14:paraId="21330FC2" w14:textId="57BBD3D5" w:rsidR="00682950" w:rsidRPr="00472DB8" w:rsidRDefault="00F239AD" w:rsidP="00E75380">
      <w:pPr>
        <w:pStyle w:val="ListParagraph"/>
        <w:numPr>
          <w:ilvl w:val="0"/>
          <w:numId w:val="16"/>
        </w:numPr>
        <w:ind w:left="0"/>
        <w:jc w:val="left"/>
        <w:rPr>
          <w:rFonts w:ascii="Times" w:hAnsi="Times" w:cs="Times"/>
        </w:rPr>
      </w:pPr>
      <w:r w:rsidRPr="00472DB8">
        <w:rPr>
          <w:rFonts w:ascii="Times" w:hAnsi="Times" w:cs="Times"/>
        </w:rPr>
        <w:t xml:space="preserve">For the same reasons as set forth above, we </w:t>
      </w:r>
      <w:r w:rsidR="00DC7C86" w:rsidRPr="00472DB8">
        <w:rPr>
          <w:rFonts w:ascii="Times" w:hAnsi="Times" w:cs="Times"/>
        </w:rPr>
        <w:t xml:space="preserve">also </w:t>
      </w:r>
      <w:r w:rsidRPr="00472DB8">
        <w:rPr>
          <w:rFonts w:ascii="Times" w:hAnsi="Times" w:cs="Times"/>
        </w:rPr>
        <w:t>find that the use of</w:t>
      </w:r>
      <w:r w:rsidR="000E6499" w:rsidRPr="00472DB8">
        <w:rPr>
          <w:rFonts w:ascii="Times" w:hAnsi="Times" w:cs="Times"/>
        </w:rPr>
        <w:t xml:space="preserve"> the term</w:t>
      </w:r>
      <w:r w:rsidRPr="00472DB8">
        <w:rPr>
          <w:rFonts w:ascii="Times" w:hAnsi="Times" w:cs="Times"/>
        </w:rPr>
        <w:t xml:space="preserve"> “primary station” in this subsection (a)(1)</w:t>
      </w:r>
      <w:r w:rsidR="00B80D29" w:rsidRPr="00472DB8">
        <w:rPr>
          <w:rStyle w:val="FootnoteReference"/>
          <w:rFonts w:ascii="Times" w:hAnsi="Times" w:cs="Times"/>
        </w:rPr>
        <w:footnoteReference w:id="67"/>
      </w:r>
      <w:r w:rsidRPr="00472DB8">
        <w:rPr>
          <w:rFonts w:ascii="Times" w:hAnsi="Times" w:cs="Times"/>
        </w:rPr>
        <w:t xml:space="preserve"> erroneously excludes input signals from other </w:t>
      </w:r>
      <w:r w:rsidR="000E6499" w:rsidRPr="00472DB8">
        <w:rPr>
          <w:rFonts w:ascii="Times" w:hAnsi="Times" w:cs="Times"/>
        </w:rPr>
        <w:t xml:space="preserve">FM </w:t>
      </w:r>
      <w:r w:rsidRPr="00472DB8">
        <w:rPr>
          <w:rFonts w:ascii="Times" w:hAnsi="Times" w:cs="Times"/>
        </w:rPr>
        <w:t>translators.  Therefore, we substitute “station delivering signal to translator station” for “primary station.”</w:t>
      </w:r>
      <w:r w:rsidR="00682950" w:rsidRPr="00472DB8">
        <w:rPr>
          <w:rFonts w:ascii="Times" w:hAnsi="Times" w:cs="Times"/>
        </w:rPr>
        <w:t xml:space="preserve">  </w:t>
      </w:r>
      <w:r w:rsidR="00517710" w:rsidRPr="00472DB8">
        <w:rPr>
          <w:rFonts w:ascii="Times" w:hAnsi="Times" w:cs="Times"/>
        </w:rPr>
        <w:t xml:space="preserve">We will revise Section 73.827(a)(1) to read (with the new language in </w:t>
      </w:r>
      <w:r w:rsidR="00517710" w:rsidRPr="00472DB8">
        <w:rPr>
          <w:rFonts w:ascii="Times" w:hAnsi="Times" w:cs="Times"/>
          <w:i/>
        </w:rPr>
        <w:t>italics</w:t>
      </w:r>
      <w:r w:rsidRPr="00472DB8">
        <w:rPr>
          <w:rFonts w:ascii="Times" w:hAnsi="Times" w:cs="Times"/>
        </w:rPr>
        <w:t xml:space="preserve"> and deleted language in </w:t>
      </w:r>
      <w:r w:rsidRPr="00472DB8">
        <w:rPr>
          <w:rFonts w:ascii="Times" w:hAnsi="Times" w:cs="Times"/>
          <w:strike/>
        </w:rPr>
        <w:t>striketh</w:t>
      </w:r>
      <w:r w:rsidR="00B93EDB" w:rsidRPr="00472DB8">
        <w:rPr>
          <w:rFonts w:ascii="Times" w:hAnsi="Times" w:cs="Times"/>
          <w:strike/>
        </w:rPr>
        <w:t>r</w:t>
      </w:r>
      <w:r w:rsidRPr="00472DB8">
        <w:rPr>
          <w:rFonts w:ascii="Times" w:hAnsi="Times" w:cs="Times"/>
          <w:strike/>
        </w:rPr>
        <w:t>ough</w:t>
      </w:r>
      <w:r w:rsidR="00517710" w:rsidRPr="00472DB8">
        <w:rPr>
          <w:rFonts w:ascii="Times" w:hAnsi="Times" w:cs="Times"/>
        </w:rPr>
        <w:t xml:space="preserve">): </w:t>
      </w:r>
      <w:r w:rsidR="00175905" w:rsidRPr="00472DB8">
        <w:rPr>
          <w:rFonts w:ascii="Times" w:hAnsi="Times" w:cs="Times"/>
        </w:rPr>
        <w:t>“</w:t>
      </w:r>
      <w:r w:rsidRPr="00472DB8">
        <w:rPr>
          <w:rFonts w:ascii="Times" w:hAnsi="Times" w:cs="Times"/>
        </w:rPr>
        <w:t xml:space="preserve">. . . </w:t>
      </w:r>
      <w:r w:rsidR="00517710" w:rsidRPr="00472DB8">
        <w:rPr>
          <w:rFonts w:ascii="Times" w:hAnsi="Times" w:cs="Times"/>
        </w:rPr>
        <w:t>demonstrates that no actual interference will occur due to an undesired (LPFM) to desired (</w:t>
      </w:r>
      <w:r w:rsidR="00B93EDB" w:rsidRPr="00472DB8">
        <w:rPr>
          <w:rFonts w:ascii="Times" w:hAnsi="Times" w:cs="Times"/>
          <w:strike/>
        </w:rPr>
        <w:t>primary</w:t>
      </w:r>
      <w:r w:rsidR="00B93EDB" w:rsidRPr="00472DB8">
        <w:rPr>
          <w:rFonts w:ascii="Times" w:hAnsi="Times" w:cs="Times"/>
        </w:rPr>
        <w:t xml:space="preserve"> </w:t>
      </w:r>
      <w:r w:rsidR="00517710" w:rsidRPr="00472DB8">
        <w:rPr>
          <w:rFonts w:ascii="Times" w:hAnsi="Times" w:cs="Times"/>
        </w:rPr>
        <w:t>station</w:t>
      </w:r>
      <w:r w:rsidRPr="00472DB8">
        <w:rPr>
          <w:rFonts w:ascii="Times" w:hAnsi="Times" w:cs="Times"/>
        </w:rPr>
        <w:t xml:space="preserve"> </w:t>
      </w:r>
      <w:r w:rsidRPr="00472DB8">
        <w:rPr>
          <w:rFonts w:ascii="Times" w:hAnsi="Times" w:cs="Times"/>
          <w:i/>
        </w:rPr>
        <w:t>delivering signal to translator station</w:t>
      </w:r>
      <w:r w:rsidR="00517710" w:rsidRPr="00472DB8">
        <w:rPr>
          <w:rFonts w:ascii="Times" w:hAnsi="Times" w:cs="Times"/>
        </w:rPr>
        <w:t xml:space="preserve">) ratio below 34 dB </w:t>
      </w:r>
      <w:r w:rsidR="00517710" w:rsidRPr="00472DB8">
        <w:rPr>
          <w:rFonts w:ascii="Times" w:hAnsi="Times" w:cs="Times"/>
          <w:strike/>
        </w:rPr>
        <w:t>at all locations</w:t>
      </w:r>
      <w:r w:rsidR="00517710" w:rsidRPr="00472DB8">
        <w:rPr>
          <w:rFonts w:ascii="Times" w:hAnsi="Times" w:cs="Times"/>
        </w:rPr>
        <w:t xml:space="preserve"> </w:t>
      </w:r>
      <w:r w:rsidR="00517710" w:rsidRPr="00472DB8">
        <w:rPr>
          <w:rFonts w:ascii="Times" w:hAnsi="Times" w:cs="Times"/>
          <w:i/>
        </w:rPr>
        <w:t xml:space="preserve">at </w:t>
      </w:r>
      <w:r w:rsidR="000E6499" w:rsidRPr="00472DB8">
        <w:rPr>
          <w:rFonts w:ascii="Times" w:hAnsi="Times" w:cs="Times"/>
          <w:i/>
        </w:rPr>
        <w:t xml:space="preserve">such </w:t>
      </w:r>
      <w:r w:rsidR="00517710" w:rsidRPr="00472DB8">
        <w:rPr>
          <w:rFonts w:ascii="Times" w:hAnsi="Times" w:cs="Times"/>
          <w:i/>
        </w:rPr>
        <w:t xml:space="preserve">translator </w:t>
      </w:r>
      <w:r w:rsidR="000E6499" w:rsidRPr="00472DB8">
        <w:rPr>
          <w:rFonts w:ascii="Times" w:hAnsi="Times" w:cs="Times"/>
          <w:i/>
        </w:rPr>
        <w:t xml:space="preserve">station’s </w:t>
      </w:r>
      <w:r w:rsidR="00517710" w:rsidRPr="00472DB8">
        <w:rPr>
          <w:rFonts w:ascii="Times" w:hAnsi="Times" w:cs="Times"/>
          <w:i/>
        </w:rPr>
        <w:t>receive antenna</w:t>
      </w:r>
      <w:r w:rsidR="00517710" w:rsidRPr="00472DB8">
        <w:rPr>
          <w:rFonts w:ascii="Times" w:hAnsi="Times" w:cs="Times"/>
        </w:rPr>
        <w:t>.</w:t>
      </w:r>
      <w:r w:rsidR="00175905" w:rsidRPr="00472DB8">
        <w:rPr>
          <w:rFonts w:ascii="Times" w:hAnsi="Times" w:cs="Times"/>
        </w:rPr>
        <w:t>”</w:t>
      </w:r>
      <w:r w:rsidR="00517710" w:rsidRPr="00472DB8">
        <w:rPr>
          <w:rFonts w:ascii="Times" w:hAnsi="Times" w:cs="Times"/>
        </w:rPr>
        <w:t xml:space="preserve">  </w:t>
      </w:r>
      <w:r w:rsidR="00DC7C86" w:rsidRPr="00472DB8">
        <w:rPr>
          <w:rFonts w:ascii="Times" w:hAnsi="Times" w:cs="Times"/>
        </w:rPr>
        <w:t xml:space="preserve">We recognize that this rule </w:t>
      </w:r>
      <w:r w:rsidR="00C23CD6" w:rsidRPr="00472DB8">
        <w:rPr>
          <w:rFonts w:ascii="Times" w:hAnsi="Times" w:cs="Times"/>
        </w:rPr>
        <w:t xml:space="preserve">may </w:t>
      </w:r>
      <w:r w:rsidR="00DC7C86" w:rsidRPr="00472DB8">
        <w:rPr>
          <w:rFonts w:ascii="Times" w:hAnsi="Times" w:cs="Times"/>
        </w:rPr>
        <w:t xml:space="preserve">place a burden on </w:t>
      </w:r>
      <w:r w:rsidR="00C23CD6" w:rsidRPr="00472DB8">
        <w:rPr>
          <w:rFonts w:ascii="Times" w:hAnsi="Times" w:cs="Times"/>
        </w:rPr>
        <w:t xml:space="preserve">LPFM </w:t>
      </w:r>
      <w:r w:rsidR="00DC7C86" w:rsidRPr="00472DB8">
        <w:rPr>
          <w:rFonts w:ascii="Times" w:hAnsi="Times" w:cs="Times"/>
        </w:rPr>
        <w:t xml:space="preserve">applicants because </w:t>
      </w:r>
      <w:r w:rsidR="005A7561" w:rsidRPr="00472DB8">
        <w:rPr>
          <w:rFonts w:ascii="Times" w:hAnsi="Times" w:cs="Times"/>
        </w:rPr>
        <w:t>the Commission does not require</w:t>
      </w:r>
      <w:r w:rsidR="00682950" w:rsidRPr="00472DB8">
        <w:rPr>
          <w:rFonts w:ascii="Times" w:hAnsi="Times" w:cs="Times"/>
        </w:rPr>
        <w:t xml:space="preserve"> </w:t>
      </w:r>
      <w:r w:rsidR="005A7561" w:rsidRPr="00472DB8">
        <w:rPr>
          <w:rFonts w:ascii="Times" w:hAnsi="Times" w:cs="Times"/>
        </w:rPr>
        <w:t xml:space="preserve">licensees to submit or maintain </w:t>
      </w:r>
      <w:r w:rsidR="00DC7C86" w:rsidRPr="00472DB8">
        <w:rPr>
          <w:rFonts w:ascii="Times" w:hAnsi="Times" w:cs="Times"/>
        </w:rPr>
        <w:t xml:space="preserve">separate </w:t>
      </w:r>
      <w:r w:rsidR="00682950" w:rsidRPr="00472DB8">
        <w:rPr>
          <w:rFonts w:ascii="Times" w:hAnsi="Times" w:cs="Times"/>
        </w:rPr>
        <w:t>receive antenna location</w:t>
      </w:r>
      <w:r w:rsidR="00232648" w:rsidRPr="00472DB8">
        <w:rPr>
          <w:rFonts w:ascii="Times" w:hAnsi="Times" w:cs="Times"/>
        </w:rPr>
        <w:t xml:space="preserve"> </w:t>
      </w:r>
      <w:r w:rsidR="005A7561" w:rsidRPr="00472DB8">
        <w:rPr>
          <w:rFonts w:ascii="Times" w:hAnsi="Times" w:cs="Times"/>
        </w:rPr>
        <w:t xml:space="preserve">data.  </w:t>
      </w:r>
      <w:r w:rsidR="000E6499" w:rsidRPr="00472DB8">
        <w:rPr>
          <w:rFonts w:ascii="Times" w:hAnsi="Times" w:cs="Times"/>
        </w:rPr>
        <w:t>Accordingly</w:t>
      </w:r>
      <w:r w:rsidR="00682950" w:rsidRPr="00472DB8">
        <w:rPr>
          <w:rFonts w:ascii="Times" w:hAnsi="Times" w:cs="Times"/>
        </w:rPr>
        <w:t xml:space="preserve">, </w:t>
      </w:r>
      <w:r w:rsidR="000E6499" w:rsidRPr="00472DB8">
        <w:rPr>
          <w:rFonts w:ascii="Times" w:hAnsi="Times" w:cs="Times"/>
        </w:rPr>
        <w:t xml:space="preserve">unless </w:t>
      </w:r>
      <w:r w:rsidR="00CD317B" w:rsidRPr="00472DB8">
        <w:rPr>
          <w:rFonts w:ascii="Times" w:hAnsi="Times" w:cs="Times"/>
        </w:rPr>
        <w:t>a</w:t>
      </w:r>
      <w:r w:rsidR="004A624A" w:rsidRPr="00472DB8">
        <w:rPr>
          <w:rFonts w:ascii="Times" w:hAnsi="Times" w:cs="Times"/>
        </w:rPr>
        <w:t xml:space="preserve"> translator licensee has specified its </w:t>
      </w:r>
      <w:r w:rsidR="00DF5C94" w:rsidRPr="00472DB8">
        <w:rPr>
          <w:rFonts w:ascii="Times" w:hAnsi="Times" w:cs="Times"/>
        </w:rPr>
        <w:t xml:space="preserve">specific </w:t>
      </w:r>
      <w:r w:rsidR="004A624A" w:rsidRPr="00472DB8">
        <w:rPr>
          <w:rFonts w:ascii="Times" w:hAnsi="Times" w:cs="Times"/>
        </w:rPr>
        <w:t xml:space="preserve">receive antenna location </w:t>
      </w:r>
      <w:r w:rsidR="000E6499" w:rsidRPr="00472DB8">
        <w:rPr>
          <w:rFonts w:ascii="Times" w:hAnsi="Times" w:cs="Times"/>
        </w:rPr>
        <w:t xml:space="preserve">in CDBS, </w:t>
      </w:r>
      <w:r w:rsidR="00232648" w:rsidRPr="00472DB8">
        <w:rPr>
          <w:rFonts w:ascii="Times" w:hAnsi="Times" w:cs="Times"/>
        </w:rPr>
        <w:t xml:space="preserve">LPFM </w:t>
      </w:r>
      <w:r w:rsidR="000E6499" w:rsidRPr="00472DB8">
        <w:rPr>
          <w:rFonts w:ascii="Times" w:hAnsi="Times" w:cs="Times"/>
        </w:rPr>
        <w:t>applicants specify</w:t>
      </w:r>
      <w:r w:rsidR="00232648" w:rsidRPr="00472DB8">
        <w:rPr>
          <w:rFonts w:ascii="Times" w:hAnsi="Times" w:cs="Times"/>
        </w:rPr>
        <w:t>ing</w:t>
      </w:r>
      <w:r w:rsidR="000E6499" w:rsidRPr="00472DB8">
        <w:rPr>
          <w:rFonts w:ascii="Times" w:hAnsi="Times" w:cs="Times"/>
        </w:rPr>
        <w:t xml:space="preserve"> transmitter locations within the defined potential interference </w:t>
      </w:r>
      <w:r w:rsidR="005A7561" w:rsidRPr="00472DB8">
        <w:rPr>
          <w:rFonts w:ascii="Times" w:hAnsi="Times" w:cs="Times"/>
        </w:rPr>
        <w:t xml:space="preserve">area </w:t>
      </w:r>
      <w:r w:rsidR="000E6499" w:rsidRPr="00472DB8">
        <w:rPr>
          <w:rFonts w:ascii="Times" w:hAnsi="Times" w:cs="Times"/>
        </w:rPr>
        <w:t xml:space="preserve">may </w:t>
      </w:r>
      <w:r w:rsidR="00682950" w:rsidRPr="00472DB8">
        <w:rPr>
          <w:rFonts w:ascii="Times" w:hAnsi="Times" w:cs="Times"/>
        </w:rPr>
        <w:t xml:space="preserve">assume </w:t>
      </w:r>
      <w:r w:rsidR="00232648" w:rsidRPr="00472DB8">
        <w:rPr>
          <w:rFonts w:ascii="Times" w:hAnsi="Times" w:cs="Times"/>
        </w:rPr>
        <w:t xml:space="preserve">that </w:t>
      </w:r>
      <w:r w:rsidR="00682950" w:rsidRPr="00472DB8">
        <w:rPr>
          <w:rFonts w:ascii="Times" w:hAnsi="Times" w:cs="Times"/>
        </w:rPr>
        <w:t xml:space="preserve">the translator receive antenna </w:t>
      </w:r>
      <w:r w:rsidR="000E6499" w:rsidRPr="00472DB8">
        <w:rPr>
          <w:rFonts w:ascii="Times" w:hAnsi="Times" w:cs="Times"/>
        </w:rPr>
        <w:t>and</w:t>
      </w:r>
      <w:r w:rsidR="00682950" w:rsidRPr="00472DB8">
        <w:rPr>
          <w:rFonts w:ascii="Times" w:hAnsi="Times" w:cs="Times"/>
        </w:rPr>
        <w:t xml:space="preserve"> </w:t>
      </w:r>
      <w:r w:rsidR="00232648" w:rsidRPr="00472DB8">
        <w:rPr>
          <w:rFonts w:ascii="Times" w:hAnsi="Times" w:cs="Times"/>
        </w:rPr>
        <w:t xml:space="preserve">its </w:t>
      </w:r>
      <w:r w:rsidR="00B93EDB" w:rsidRPr="00472DB8">
        <w:rPr>
          <w:rFonts w:ascii="Times" w:hAnsi="Times" w:cs="Times"/>
        </w:rPr>
        <w:t xml:space="preserve">associated </w:t>
      </w:r>
      <w:r w:rsidR="00682950" w:rsidRPr="00472DB8">
        <w:rPr>
          <w:rFonts w:ascii="Times" w:hAnsi="Times" w:cs="Times"/>
        </w:rPr>
        <w:t>transmit antenna</w:t>
      </w:r>
      <w:r w:rsidR="000E6499" w:rsidRPr="00472DB8">
        <w:rPr>
          <w:rFonts w:ascii="Times" w:hAnsi="Times" w:cs="Times"/>
        </w:rPr>
        <w:t xml:space="preserve"> are co-located</w:t>
      </w:r>
      <w:r w:rsidR="00682950" w:rsidRPr="00472DB8">
        <w:rPr>
          <w:rFonts w:ascii="Times" w:hAnsi="Times" w:cs="Times"/>
        </w:rPr>
        <w:t>.</w:t>
      </w:r>
      <w:r w:rsidR="00682950" w:rsidRPr="00472DB8">
        <w:rPr>
          <w:rStyle w:val="FootnoteReference"/>
          <w:rFonts w:ascii="Times" w:hAnsi="Times" w:cs="Times"/>
        </w:rPr>
        <w:footnoteReference w:id="68"/>
      </w:r>
      <w:r w:rsidR="00682950" w:rsidRPr="00472DB8">
        <w:rPr>
          <w:rFonts w:ascii="Times" w:hAnsi="Times" w:cs="Times"/>
        </w:rPr>
        <w:t xml:space="preserve">  </w:t>
      </w:r>
    </w:p>
    <w:p w14:paraId="3EF04637" w14:textId="77777777" w:rsidR="00C91962" w:rsidRPr="00472DB8" w:rsidRDefault="00C91962" w:rsidP="00E75380">
      <w:pPr>
        <w:jc w:val="left"/>
        <w:rPr>
          <w:rFonts w:ascii="Times" w:hAnsi="Times" w:cs="Times"/>
        </w:rPr>
      </w:pPr>
    </w:p>
    <w:p w14:paraId="22C2836D" w14:textId="77777777" w:rsidR="00C91962" w:rsidRPr="00472DB8" w:rsidRDefault="00C91962" w:rsidP="00E75380">
      <w:pPr>
        <w:ind w:left="2160" w:hanging="720"/>
        <w:jc w:val="left"/>
        <w:rPr>
          <w:rFonts w:ascii="Times" w:hAnsi="Times" w:cs="Times"/>
          <w:b/>
        </w:rPr>
      </w:pPr>
      <w:r w:rsidRPr="00472DB8">
        <w:rPr>
          <w:rFonts w:ascii="Times" w:hAnsi="Times" w:cs="Times"/>
          <w:b/>
        </w:rPr>
        <w:t>3.</w:t>
      </w:r>
      <w:r w:rsidRPr="00472DB8">
        <w:rPr>
          <w:rFonts w:ascii="Times" w:hAnsi="Times" w:cs="Times"/>
          <w:b/>
        </w:rPr>
        <w:tab/>
      </w:r>
      <w:r w:rsidR="005A478A" w:rsidRPr="00472DB8">
        <w:rPr>
          <w:rFonts w:ascii="Times" w:hAnsi="Times" w:cs="Times"/>
          <w:b/>
        </w:rPr>
        <w:t xml:space="preserve">Database </w:t>
      </w:r>
      <w:r w:rsidRPr="00472DB8">
        <w:rPr>
          <w:rFonts w:ascii="Times" w:hAnsi="Times" w:cs="Times"/>
          <w:b/>
        </w:rPr>
        <w:t xml:space="preserve">Records </w:t>
      </w:r>
      <w:r w:rsidR="005A478A" w:rsidRPr="00472DB8">
        <w:rPr>
          <w:rFonts w:ascii="Times" w:hAnsi="Times" w:cs="Times"/>
          <w:b/>
        </w:rPr>
        <w:t xml:space="preserve">Regarding </w:t>
      </w:r>
      <w:r w:rsidR="00C263E8" w:rsidRPr="00472DB8">
        <w:rPr>
          <w:rFonts w:ascii="Times" w:hAnsi="Times" w:cs="Times"/>
          <w:b/>
        </w:rPr>
        <w:t xml:space="preserve">FM Translator </w:t>
      </w:r>
      <w:r w:rsidR="005A478A" w:rsidRPr="00472DB8">
        <w:rPr>
          <w:rFonts w:ascii="Times" w:hAnsi="Times" w:cs="Times"/>
          <w:b/>
        </w:rPr>
        <w:t>Signal Delivery Methods and Input Signal Designations</w:t>
      </w:r>
    </w:p>
    <w:p w14:paraId="1B389F1A" w14:textId="77777777" w:rsidR="00055633" w:rsidRPr="00472DB8" w:rsidRDefault="00055633" w:rsidP="00E75380">
      <w:pPr>
        <w:jc w:val="left"/>
        <w:rPr>
          <w:rFonts w:ascii="Times" w:hAnsi="Times" w:cs="Times"/>
        </w:rPr>
      </w:pPr>
    </w:p>
    <w:p w14:paraId="3711E237" w14:textId="352B0DC5" w:rsidR="00ED6765" w:rsidRPr="00472DB8" w:rsidRDefault="005A478A" w:rsidP="00E75380">
      <w:pPr>
        <w:pStyle w:val="ListParagraph"/>
        <w:numPr>
          <w:ilvl w:val="0"/>
          <w:numId w:val="16"/>
        </w:numPr>
        <w:ind w:left="0"/>
        <w:jc w:val="left"/>
        <w:rPr>
          <w:rFonts w:ascii="Times" w:hAnsi="Times" w:cs="Times"/>
          <w:b/>
          <w:bCs/>
        </w:rPr>
      </w:pPr>
      <w:r w:rsidRPr="00472DB8">
        <w:rPr>
          <w:rFonts w:ascii="Times" w:hAnsi="Times" w:cs="Times"/>
        </w:rPr>
        <w:t>T</w:t>
      </w:r>
      <w:r w:rsidR="00327230" w:rsidRPr="00472DB8">
        <w:rPr>
          <w:rFonts w:ascii="Times" w:hAnsi="Times" w:cs="Times"/>
        </w:rPr>
        <w:t xml:space="preserve">o add more certainty to the LPFM application process, </w:t>
      </w:r>
      <w:r w:rsidR="00ED6765" w:rsidRPr="00472DB8">
        <w:rPr>
          <w:rFonts w:ascii="Times" w:hAnsi="Times" w:cs="Times"/>
        </w:rPr>
        <w:t xml:space="preserve">Prometheus </w:t>
      </w:r>
      <w:r w:rsidRPr="00472DB8">
        <w:rPr>
          <w:rFonts w:ascii="Times" w:hAnsi="Times" w:cs="Times"/>
        </w:rPr>
        <w:t xml:space="preserve">requests </w:t>
      </w:r>
      <w:r w:rsidR="00517710" w:rsidRPr="00472DB8">
        <w:rPr>
          <w:rFonts w:ascii="Times" w:hAnsi="Times" w:cs="Times"/>
        </w:rPr>
        <w:t>that</w:t>
      </w:r>
      <w:r w:rsidR="00ED6765" w:rsidRPr="00472DB8">
        <w:rPr>
          <w:rFonts w:ascii="Times" w:hAnsi="Times" w:cs="Times"/>
        </w:rPr>
        <w:t xml:space="preserve"> the Commission require translator </w:t>
      </w:r>
      <w:r w:rsidRPr="00472DB8">
        <w:rPr>
          <w:rFonts w:ascii="Times" w:hAnsi="Times" w:cs="Times"/>
        </w:rPr>
        <w:t>licensees</w:t>
      </w:r>
      <w:r w:rsidR="00ED6765" w:rsidRPr="00472DB8">
        <w:rPr>
          <w:rFonts w:ascii="Times" w:hAnsi="Times" w:cs="Times"/>
        </w:rPr>
        <w:t xml:space="preserve"> to update</w:t>
      </w:r>
      <w:r w:rsidR="00037AB1" w:rsidRPr="00472DB8">
        <w:rPr>
          <w:rFonts w:ascii="Times" w:hAnsi="Times" w:cs="Times"/>
        </w:rPr>
        <w:t xml:space="preserve"> </w:t>
      </w:r>
      <w:r w:rsidR="002A6C6A" w:rsidRPr="00472DB8">
        <w:rPr>
          <w:rFonts w:ascii="Times" w:hAnsi="Times" w:cs="Times"/>
        </w:rPr>
        <w:t xml:space="preserve">their </w:t>
      </w:r>
      <w:r w:rsidR="00037AB1" w:rsidRPr="00472DB8">
        <w:rPr>
          <w:rFonts w:ascii="Times" w:hAnsi="Times" w:cs="Times"/>
        </w:rPr>
        <w:t>records</w:t>
      </w:r>
      <w:r w:rsidR="00DC53A8" w:rsidRPr="00472DB8">
        <w:rPr>
          <w:rFonts w:ascii="Times" w:hAnsi="Times" w:cs="Times"/>
        </w:rPr>
        <w:t xml:space="preserve"> with the Commission</w:t>
      </w:r>
      <w:r w:rsidR="003B72F8" w:rsidRPr="00472DB8">
        <w:rPr>
          <w:rFonts w:ascii="Times" w:hAnsi="Times" w:cs="Times"/>
        </w:rPr>
        <w:t xml:space="preserve"> regarding </w:t>
      </w:r>
      <w:r w:rsidR="00862805" w:rsidRPr="00472DB8">
        <w:rPr>
          <w:rFonts w:ascii="Times" w:hAnsi="Times" w:cs="Times"/>
        </w:rPr>
        <w:t xml:space="preserve">their </w:t>
      </w:r>
      <w:r w:rsidR="00113B15" w:rsidRPr="00472DB8">
        <w:rPr>
          <w:rFonts w:ascii="Times" w:hAnsi="Times" w:cs="Times"/>
        </w:rPr>
        <w:t xml:space="preserve">input </w:t>
      </w:r>
      <w:r w:rsidR="00B15FB9" w:rsidRPr="00472DB8">
        <w:rPr>
          <w:rFonts w:ascii="Times" w:hAnsi="Times" w:cs="Times"/>
        </w:rPr>
        <w:t xml:space="preserve">signal </w:t>
      </w:r>
      <w:r w:rsidR="00113B15" w:rsidRPr="00472DB8">
        <w:rPr>
          <w:rFonts w:ascii="Times" w:hAnsi="Times" w:cs="Times"/>
        </w:rPr>
        <w:t>data</w:t>
      </w:r>
      <w:r w:rsidR="00B80D29" w:rsidRPr="00472DB8">
        <w:rPr>
          <w:rStyle w:val="FootnoteReference"/>
          <w:rFonts w:ascii="Times" w:hAnsi="Times" w:cs="Times"/>
        </w:rPr>
        <w:footnoteReference w:id="69"/>
      </w:r>
      <w:r w:rsidR="00113B15" w:rsidRPr="00472DB8">
        <w:rPr>
          <w:rFonts w:ascii="Times" w:hAnsi="Times" w:cs="Times"/>
        </w:rPr>
        <w:t xml:space="preserve"> and that it take further measures to improve the accuracy of that data available to applicants prior </w:t>
      </w:r>
      <w:r w:rsidR="00ED6765" w:rsidRPr="00472DB8">
        <w:rPr>
          <w:rFonts w:ascii="Times" w:hAnsi="Times" w:cs="Times"/>
        </w:rPr>
        <w:t xml:space="preserve">to </w:t>
      </w:r>
      <w:r w:rsidR="009F5EEC" w:rsidRPr="00472DB8">
        <w:rPr>
          <w:rFonts w:ascii="Times" w:hAnsi="Times" w:cs="Times"/>
        </w:rPr>
        <w:t xml:space="preserve">the </w:t>
      </w:r>
      <w:r w:rsidR="00ED6765" w:rsidRPr="00472DB8">
        <w:rPr>
          <w:rFonts w:ascii="Times" w:hAnsi="Times" w:cs="Times"/>
        </w:rPr>
        <w:t xml:space="preserve">opening </w:t>
      </w:r>
      <w:r w:rsidR="007B309B" w:rsidRPr="00472DB8">
        <w:rPr>
          <w:rFonts w:ascii="Times" w:hAnsi="Times" w:cs="Times"/>
        </w:rPr>
        <w:t xml:space="preserve">of </w:t>
      </w:r>
      <w:r w:rsidR="00ED6765" w:rsidRPr="00472DB8">
        <w:rPr>
          <w:rFonts w:ascii="Times" w:hAnsi="Times" w:cs="Times"/>
        </w:rPr>
        <w:t xml:space="preserve">the LPFM window.  </w:t>
      </w:r>
      <w:r w:rsidR="00104D93" w:rsidRPr="00472DB8">
        <w:rPr>
          <w:rFonts w:ascii="Times" w:hAnsi="Times" w:cs="Times"/>
        </w:rPr>
        <w:t>Prometheus</w:t>
      </w:r>
      <w:r w:rsidR="00517710" w:rsidRPr="00472DB8">
        <w:rPr>
          <w:rFonts w:ascii="Times" w:hAnsi="Times" w:cs="Times"/>
        </w:rPr>
        <w:t xml:space="preserve"> </w:t>
      </w:r>
      <w:r w:rsidR="00ED6765" w:rsidRPr="00472DB8">
        <w:rPr>
          <w:rFonts w:ascii="Times" w:hAnsi="Times" w:cs="Times"/>
        </w:rPr>
        <w:t xml:space="preserve">states it has conducted a review of </w:t>
      </w:r>
      <w:r w:rsidR="00B15FB9" w:rsidRPr="00472DB8">
        <w:rPr>
          <w:rFonts w:ascii="Times" w:hAnsi="Times" w:cs="Times"/>
        </w:rPr>
        <w:t xml:space="preserve">the </w:t>
      </w:r>
      <w:r w:rsidR="001F7A11" w:rsidRPr="00472DB8">
        <w:rPr>
          <w:rFonts w:ascii="Times" w:hAnsi="Times" w:cs="Times"/>
        </w:rPr>
        <w:t>Commission</w:t>
      </w:r>
      <w:r w:rsidR="00B15FB9" w:rsidRPr="00472DB8">
        <w:rPr>
          <w:rFonts w:ascii="Times" w:hAnsi="Times" w:cs="Times"/>
        </w:rPr>
        <w:t>’s</w:t>
      </w:r>
      <w:r w:rsidR="001F7A11" w:rsidRPr="00472DB8">
        <w:rPr>
          <w:rFonts w:ascii="Times" w:hAnsi="Times" w:cs="Times"/>
        </w:rPr>
        <w:t xml:space="preserve"> </w:t>
      </w:r>
      <w:r w:rsidR="00113B15" w:rsidRPr="00472DB8">
        <w:rPr>
          <w:rFonts w:ascii="Times" w:hAnsi="Times" w:cs="Times"/>
        </w:rPr>
        <w:t xml:space="preserve">CDBS </w:t>
      </w:r>
      <w:r w:rsidR="00ED6765" w:rsidRPr="00472DB8">
        <w:rPr>
          <w:rFonts w:ascii="Times" w:hAnsi="Times" w:cs="Times"/>
        </w:rPr>
        <w:t>records</w:t>
      </w:r>
      <w:r w:rsidR="00B80D29" w:rsidRPr="00472DB8">
        <w:rPr>
          <w:rFonts w:ascii="Times" w:hAnsi="Times" w:cs="Times"/>
        </w:rPr>
        <w:t xml:space="preserve"> </w:t>
      </w:r>
      <w:r w:rsidR="00B15FB9" w:rsidRPr="00472DB8">
        <w:rPr>
          <w:rFonts w:ascii="Times" w:hAnsi="Times" w:cs="Times"/>
        </w:rPr>
        <w:t>regarding translator input signals</w:t>
      </w:r>
      <w:r w:rsidR="00ED6765" w:rsidRPr="00472DB8">
        <w:rPr>
          <w:rFonts w:ascii="Times" w:hAnsi="Times" w:cs="Times"/>
        </w:rPr>
        <w:t xml:space="preserve"> and has found </w:t>
      </w:r>
      <w:r w:rsidR="009F5EEC" w:rsidRPr="00472DB8">
        <w:rPr>
          <w:rFonts w:ascii="Times" w:hAnsi="Times" w:cs="Times"/>
        </w:rPr>
        <w:t xml:space="preserve">that they </w:t>
      </w:r>
      <w:r w:rsidR="00ED6765" w:rsidRPr="00472DB8">
        <w:rPr>
          <w:rFonts w:ascii="Times" w:hAnsi="Times" w:cs="Times"/>
        </w:rPr>
        <w:t>contain contradictory, incomplete, or missing data.</w:t>
      </w:r>
      <w:r w:rsidR="00ED6765" w:rsidRPr="00472DB8">
        <w:rPr>
          <w:rStyle w:val="FootnoteReference"/>
          <w:rFonts w:ascii="Times" w:hAnsi="Times" w:cs="Times"/>
        </w:rPr>
        <w:footnoteReference w:id="70"/>
      </w:r>
      <w:r w:rsidR="00ED6765" w:rsidRPr="00472DB8">
        <w:rPr>
          <w:rFonts w:ascii="Times" w:hAnsi="Times" w:cs="Times"/>
        </w:rPr>
        <w:t xml:space="preserve">  In cases where the data may be </w:t>
      </w:r>
      <w:r w:rsidR="00A90E99" w:rsidRPr="00472DB8">
        <w:rPr>
          <w:rFonts w:ascii="Times" w:hAnsi="Times" w:cs="Times"/>
        </w:rPr>
        <w:t>in</w:t>
      </w:r>
      <w:r w:rsidR="00ED6765" w:rsidRPr="00472DB8">
        <w:rPr>
          <w:rFonts w:ascii="Times" w:hAnsi="Times" w:cs="Times"/>
        </w:rPr>
        <w:t xml:space="preserve">accurate, </w:t>
      </w:r>
      <w:r w:rsidR="00B93EDB" w:rsidRPr="00472DB8">
        <w:rPr>
          <w:rFonts w:ascii="Times" w:hAnsi="Times" w:cs="Times"/>
        </w:rPr>
        <w:t>missing or dis</w:t>
      </w:r>
      <w:r w:rsidR="009F5EEC" w:rsidRPr="00472DB8">
        <w:rPr>
          <w:rFonts w:ascii="Times" w:hAnsi="Times" w:cs="Times"/>
        </w:rPr>
        <w:t xml:space="preserve">puted, </w:t>
      </w:r>
      <w:r w:rsidR="00ED6765" w:rsidRPr="00472DB8">
        <w:rPr>
          <w:rFonts w:ascii="Times" w:hAnsi="Times" w:cs="Times"/>
        </w:rPr>
        <w:t xml:space="preserve">Prometheus seeks guidance on submitting a sufficient </w:t>
      </w:r>
      <w:r w:rsidR="009F5EEC" w:rsidRPr="00472DB8">
        <w:rPr>
          <w:rFonts w:ascii="Times" w:hAnsi="Times" w:cs="Times"/>
        </w:rPr>
        <w:t xml:space="preserve">“no interference” </w:t>
      </w:r>
      <w:r w:rsidR="00ED6765" w:rsidRPr="00472DB8">
        <w:rPr>
          <w:rFonts w:ascii="Times" w:hAnsi="Times" w:cs="Times"/>
        </w:rPr>
        <w:t>showing</w:t>
      </w:r>
      <w:r w:rsidR="005A7561" w:rsidRPr="00472DB8">
        <w:rPr>
          <w:rFonts w:ascii="Times" w:hAnsi="Times" w:cs="Times"/>
        </w:rPr>
        <w:t>.</w:t>
      </w:r>
      <w:r w:rsidR="00ED6765" w:rsidRPr="00472DB8">
        <w:rPr>
          <w:rStyle w:val="FootnoteReference"/>
          <w:rFonts w:ascii="Times" w:hAnsi="Times" w:cs="Times"/>
        </w:rPr>
        <w:footnoteReference w:id="71"/>
      </w:r>
    </w:p>
    <w:p w14:paraId="44202156" w14:textId="4BA1C3F9" w:rsidR="00ED6765" w:rsidRPr="00472DB8" w:rsidRDefault="00ED6765" w:rsidP="00E75380">
      <w:pPr>
        <w:pStyle w:val="ListParagraph"/>
        <w:numPr>
          <w:ilvl w:val="0"/>
          <w:numId w:val="16"/>
        </w:numPr>
        <w:ind w:left="0"/>
        <w:jc w:val="left"/>
        <w:rPr>
          <w:rFonts w:ascii="Times" w:hAnsi="Times" w:cs="Times"/>
        </w:rPr>
      </w:pPr>
      <w:r w:rsidRPr="00472DB8">
        <w:rPr>
          <w:rFonts w:ascii="Times" w:hAnsi="Times" w:cs="Times"/>
        </w:rPr>
        <w:t xml:space="preserve">NPR opposes Prometheus’s request to require all translator licensees to update their </w:t>
      </w:r>
      <w:r w:rsidR="00706444" w:rsidRPr="00472DB8">
        <w:rPr>
          <w:rFonts w:ascii="Times" w:hAnsi="Times" w:cs="Times"/>
        </w:rPr>
        <w:t>records with the Commission</w:t>
      </w:r>
      <w:r w:rsidRPr="00472DB8">
        <w:rPr>
          <w:rFonts w:ascii="Times" w:hAnsi="Times" w:cs="Times"/>
        </w:rPr>
        <w:t xml:space="preserve">.  NPR points out that </w:t>
      </w:r>
      <w:r w:rsidR="009F5EEC" w:rsidRPr="00472DB8">
        <w:rPr>
          <w:rFonts w:ascii="Times" w:hAnsi="Times" w:cs="Times"/>
        </w:rPr>
        <w:t xml:space="preserve">the Commission previously declined this </w:t>
      </w:r>
      <w:r w:rsidRPr="00472DB8">
        <w:rPr>
          <w:rFonts w:ascii="Times" w:hAnsi="Times" w:cs="Times"/>
        </w:rPr>
        <w:t xml:space="preserve">Prometheus </w:t>
      </w:r>
      <w:r w:rsidR="009F5EEC" w:rsidRPr="00472DB8">
        <w:rPr>
          <w:rFonts w:ascii="Times" w:hAnsi="Times" w:cs="Times"/>
        </w:rPr>
        <w:t xml:space="preserve">request, choosing </w:t>
      </w:r>
      <w:r w:rsidRPr="00472DB8">
        <w:rPr>
          <w:rFonts w:ascii="Times" w:hAnsi="Times" w:cs="Times"/>
        </w:rPr>
        <w:t xml:space="preserve">instead </w:t>
      </w:r>
      <w:r w:rsidR="009F5EEC" w:rsidRPr="00472DB8">
        <w:rPr>
          <w:rFonts w:ascii="Times" w:hAnsi="Times" w:cs="Times"/>
        </w:rPr>
        <w:t xml:space="preserve">to </w:t>
      </w:r>
      <w:r w:rsidRPr="00472DB8">
        <w:rPr>
          <w:rFonts w:ascii="Times" w:hAnsi="Times" w:cs="Times"/>
        </w:rPr>
        <w:t xml:space="preserve">encourage licensees to </w:t>
      </w:r>
      <w:r w:rsidR="001F7A11" w:rsidRPr="00472DB8">
        <w:rPr>
          <w:rFonts w:ascii="Times" w:hAnsi="Times" w:cs="Times"/>
        </w:rPr>
        <w:t xml:space="preserve">voluntarily </w:t>
      </w:r>
      <w:r w:rsidR="009F5EEC" w:rsidRPr="00472DB8">
        <w:rPr>
          <w:rFonts w:ascii="Times" w:hAnsi="Times" w:cs="Times"/>
        </w:rPr>
        <w:t xml:space="preserve">review and </w:t>
      </w:r>
      <w:r w:rsidRPr="00472DB8">
        <w:rPr>
          <w:rFonts w:ascii="Times" w:hAnsi="Times" w:cs="Times"/>
        </w:rPr>
        <w:t xml:space="preserve">update </w:t>
      </w:r>
      <w:r w:rsidR="00862805" w:rsidRPr="00472DB8">
        <w:rPr>
          <w:rFonts w:ascii="Times" w:hAnsi="Times" w:cs="Times"/>
        </w:rPr>
        <w:t>this information</w:t>
      </w:r>
      <w:r w:rsidRPr="00472DB8">
        <w:rPr>
          <w:rFonts w:ascii="Times" w:hAnsi="Times" w:cs="Times"/>
        </w:rPr>
        <w:t>.</w:t>
      </w:r>
      <w:r w:rsidRPr="00472DB8">
        <w:rPr>
          <w:rStyle w:val="FootnoteReference"/>
          <w:rFonts w:ascii="Times" w:hAnsi="Times" w:cs="Times"/>
        </w:rPr>
        <w:footnoteReference w:id="72"/>
      </w:r>
      <w:r w:rsidR="004F165B" w:rsidRPr="00472DB8">
        <w:rPr>
          <w:rFonts w:ascii="Times" w:hAnsi="Times" w:cs="Times"/>
        </w:rPr>
        <w:t xml:space="preserve">  On the other hand, </w:t>
      </w:r>
      <w:r w:rsidRPr="00472DB8">
        <w:rPr>
          <w:rFonts w:ascii="Times" w:hAnsi="Times" w:cs="Times"/>
        </w:rPr>
        <w:t xml:space="preserve">NTA and EMF agree there should be some simple path </w:t>
      </w:r>
      <w:r w:rsidR="009F5EEC" w:rsidRPr="00472DB8">
        <w:rPr>
          <w:rFonts w:ascii="Times" w:hAnsi="Times" w:cs="Times"/>
        </w:rPr>
        <w:t xml:space="preserve">for </w:t>
      </w:r>
      <w:r w:rsidRPr="00472DB8">
        <w:rPr>
          <w:rFonts w:ascii="Times" w:hAnsi="Times" w:cs="Times"/>
        </w:rPr>
        <w:t xml:space="preserve">LPFM applicants </w:t>
      </w:r>
      <w:r w:rsidR="009F5EEC" w:rsidRPr="00472DB8">
        <w:rPr>
          <w:rFonts w:ascii="Times" w:hAnsi="Times" w:cs="Times"/>
        </w:rPr>
        <w:t>to</w:t>
      </w:r>
      <w:r w:rsidRPr="00472DB8">
        <w:rPr>
          <w:rFonts w:ascii="Times" w:hAnsi="Times" w:cs="Times"/>
        </w:rPr>
        <w:t xml:space="preserve"> determine </w:t>
      </w:r>
      <w:r w:rsidR="009F5EEC" w:rsidRPr="00472DB8">
        <w:rPr>
          <w:rFonts w:ascii="Times" w:hAnsi="Times" w:cs="Times"/>
        </w:rPr>
        <w:t xml:space="preserve">the identity of the stations delivering signals to </w:t>
      </w:r>
      <w:r w:rsidRPr="00472DB8">
        <w:rPr>
          <w:rFonts w:ascii="Times" w:hAnsi="Times" w:cs="Times"/>
        </w:rPr>
        <w:t>translator stations.</w:t>
      </w:r>
      <w:r w:rsidRPr="00472DB8">
        <w:rPr>
          <w:rStyle w:val="FootnoteReference"/>
          <w:rFonts w:ascii="Times" w:hAnsi="Times" w:cs="Times"/>
        </w:rPr>
        <w:footnoteReference w:id="73"/>
      </w:r>
      <w:r w:rsidRPr="00472DB8">
        <w:rPr>
          <w:rFonts w:ascii="Times" w:hAnsi="Times" w:cs="Times"/>
        </w:rPr>
        <w:t xml:space="preserve">  </w:t>
      </w:r>
      <w:r w:rsidR="001B1743" w:rsidRPr="00472DB8">
        <w:rPr>
          <w:rFonts w:ascii="Times" w:hAnsi="Times" w:cs="Times"/>
        </w:rPr>
        <w:t>NTA suggests that we modify CDBS to allow translators to identify translator receiver inputs, frequency, sources and locations.</w:t>
      </w:r>
      <w:r w:rsidR="001B1743" w:rsidRPr="00472DB8">
        <w:rPr>
          <w:rStyle w:val="FootnoteReference"/>
          <w:rFonts w:ascii="Times" w:hAnsi="Times" w:cs="Times"/>
        </w:rPr>
        <w:footnoteReference w:id="74"/>
      </w:r>
      <w:r w:rsidR="001B1743" w:rsidRPr="00472DB8">
        <w:rPr>
          <w:rFonts w:ascii="Times" w:hAnsi="Times" w:cs="Times"/>
        </w:rPr>
        <w:t xml:space="preserve">  </w:t>
      </w:r>
      <w:r w:rsidRPr="00472DB8">
        <w:rPr>
          <w:rFonts w:ascii="Times" w:hAnsi="Times" w:cs="Times"/>
        </w:rPr>
        <w:t xml:space="preserve">EMF </w:t>
      </w:r>
      <w:r w:rsidR="009F5EEC" w:rsidRPr="00472DB8">
        <w:rPr>
          <w:rFonts w:ascii="Times" w:hAnsi="Times" w:cs="Times"/>
        </w:rPr>
        <w:t>also contends</w:t>
      </w:r>
      <w:r w:rsidRPr="00472DB8">
        <w:rPr>
          <w:rFonts w:ascii="Times" w:hAnsi="Times" w:cs="Times"/>
        </w:rPr>
        <w:t xml:space="preserve"> </w:t>
      </w:r>
      <w:r w:rsidR="009F5EEC" w:rsidRPr="00472DB8">
        <w:rPr>
          <w:rFonts w:ascii="Times" w:hAnsi="Times" w:cs="Times"/>
        </w:rPr>
        <w:t xml:space="preserve">that protection </w:t>
      </w:r>
      <w:r w:rsidR="00A85A2F" w:rsidRPr="00472DB8">
        <w:rPr>
          <w:rFonts w:ascii="Times" w:hAnsi="Times" w:cs="Times"/>
        </w:rPr>
        <w:t>of translator input signals</w:t>
      </w:r>
      <w:r w:rsidR="00B80D29" w:rsidRPr="00472DB8">
        <w:rPr>
          <w:rFonts w:ascii="Times" w:hAnsi="Times" w:cs="Times"/>
        </w:rPr>
        <w:t xml:space="preserve"> </w:t>
      </w:r>
      <w:r w:rsidR="009F5EEC" w:rsidRPr="00472DB8">
        <w:rPr>
          <w:rFonts w:ascii="Times" w:hAnsi="Times" w:cs="Times"/>
        </w:rPr>
        <w:t xml:space="preserve">should apply to </w:t>
      </w:r>
      <w:r w:rsidRPr="00472DB8">
        <w:rPr>
          <w:rFonts w:ascii="Times" w:hAnsi="Times" w:cs="Times"/>
        </w:rPr>
        <w:t xml:space="preserve">the input signals </w:t>
      </w:r>
      <w:r w:rsidR="005A7561" w:rsidRPr="00472DB8">
        <w:rPr>
          <w:rFonts w:ascii="Times" w:hAnsi="Times" w:cs="Times"/>
        </w:rPr>
        <w:t xml:space="preserve">specified in </w:t>
      </w:r>
      <w:r w:rsidRPr="00472DB8">
        <w:rPr>
          <w:rFonts w:ascii="Times" w:hAnsi="Times" w:cs="Times"/>
        </w:rPr>
        <w:t>applications and construction permits for new translators</w:t>
      </w:r>
      <w:r w:rsidR="005A7561" w:rsidRPr="00472DB8">
        <w:rPr>
          <w:rFonts w:ascii="Times" w:hAnsi="Times" w:cs="Times"/>
        </w:rPr>
        <w:t xml:space="preserve"> as well as operational stations</w:t>
      </w:r>
      <w:r w:rsidRPr="00472DB8">
        <w:rPr>
          <w:rFonts w:ascii="Times" w:hAnsi="Times" w:cs="Times"/>
        </w:rPr>
        <w:t>.</w:t>
      </w:r>
      <w:r w:rsidRPr="00472DB8">
        <w:rPr>
          <w:rStyle w:val="FootnoteReference"/>
          <w:rFonts w:ascii="Times" w:hAnsi="Times" w:cs="Times"/>
        </w:rPr>
        <w:footnoteReference w:id="75"/>
      </w:r>
      <w:r w:rsidRPr="00472DB8">
        <w:rPr>
          <w:rFonts w:ascii="Times" w:hAnsi="Times" w:cs="Times"/>
        </w:rPr>
        <w:t xml:space="preserve">  Prometheus agrees with EMF that input signals specified by prior-filed translator applications </w:t>
      </w:r>
      <w:r w:rsidR="000605B7" w:rsidRPr="00472DB8">
        <w:rPr>
          <w:rFonts w:ascii="Times" w:hAnsi="Times" w:cs="Times"/>
        </w:rPr>
        <w:t>should be</w:t>
      </w:r>
      <w:r w:rsidRPr="00472DB8">
        <w:rPr>
          <w:rFonts w:ascii="Times" w:hAnsi="Times" w:cs="Times"/>
        </w:rPr>
        <w:t xml:space="preserve"> protected by later-filed LPFM applications.</w:t>
      </w:r>
      <w:r w:rsidRPr="00472DB8">
        <w:rPr>
          <w:rStyle w:val="FootnoteReference"/>
          <w:rFonts w:ascii="Times" w:hAnsi="Times" w:cs="Times"/>
        </w:rPr>
        <w:footnoteReference w:id="76"/>
      </w:r>
    </w:p>
    <w:p w14:paraId="1FABB36A" w14:textId="77777777" w:rsidR="00ED6765" w:rsidRPr="00472DB8" w:rsidRDefault="00ED6765" w:rsidP="00E75380">
      <w:pPr>
        <w:jc w:val="left"/>
        <w:rPr>
          <w:rFonts w:ascii="Times" w:hAnsi="Times" w:cs="Times"/>
        </w:rPr>
      </w:pPr>
    </w:p>
    <w:p w14:paraId="0A9ACD01" w14:textId="4DBB18D3" w:rsidR="00FC1B9E" w:rsidRPr="00472DB8" w:rsidRDefault="001B1743" w:rsidP="00E75380">
      <w:pPr>
        <w:pStyle w:val="ListParagraph"/>
        <w:numPr>
          <w:ilvl w:val="0"/>
          <w:numId w:val="16"/>
        </w:numPr>
        <w:ind w:left="0"/>
        <w:jc w:val="left"/>
        <w:rPr>
          <w:rFonts w:ascii="Times" w:hAnsi="Times" w:cs="Times"/>
        </w:rPr>
      </w:pPr>
      <w:r w:rsidRPr="00472DB8">
        <w:rPr>
          <w:rFonts w:ascii="Times" w:hAnsi="Times" w:cs="Times"/>
        </w:rPr>
        <w:t>Our CDBS database collects all of the information specified by NTA, with the exception of the receive antenna location</w:t>
      </w:r>
      <w:r w:rsidR="00B80D29" w:rsidRPr="00472DB8">
        <w:rPr>
          <w:rFonts w:ascii="Times" w:hAnsi="Times" w:cs="Times"/>
        </w:rPr>
        <w:t xml:space="preserve"> (</w:t>
      </w:r>
      <w:r w:rsidR="00B80D29" w:rsidRPr="00472DB8">
        <w:rPr>
          <w:rFonts w:ascii="Times" w:hAnsi="Times" w:cs="Times"/>
          <w:i/>
        </w:rPr>
        <w:t>i.e.,</w:t>
      </w:r>
      <w:r w:rsidR="00B80D29" w:rsidRPr="00472DB8">
        <w:rPr>
          <w:rFonts w:ascii="Times" w:hAnsi="Times" w:cs="Times"/>
        </w:rPr>
        <w:t xml:space="preserve"> </w:t>
      </w:r>
      <w:r w:rsidR="00E408A6" w:rsidRPr="00472DB8">
        <w:rPr>
          <w:rFonts w:ascii="Times" w:hAnsi="Times" w:cs="Times"/>
        </w:rPr>
        <w:t>input signal</w:t>
      </w:r>
      <w:r w:rsidR="00B80D29" w:rsidRPr="00472DB8">
        <w:rPr>
          <w:rFonts w:ascii="Times" w:hAnsi="Times" w:cs="Times"/>
        </w:rPr>
        <w:t>, frequency, source, and location)</w:t>
      </w:r>
      <w:r w:rsidRPr="00472DB8">
        <w:rPr>
          <w:rFonts w:ascii="Times" w:hAnsi="Times" w:cs="Times"/>
        </w:rPr>
        <w:t xml:space="preserve">.  As indicated in the </w:t>
      </w:r>
      <w:r w:rsidRPr="00472DB8">
        <w:rPr>
          <w:rFonts w:ascii="Times" w:hAnsi="Times" w:cs="Times"/>
          <w:i/>
        </w:rPr>
        <w:t>Sixth Report and Order</w:t>
      </w:r>
      <w:r w:rsidRPr="00472DB8">
        <w:rPr>
          <w:rFonts w:ascii="Times" w:hAnsi="Times" w:cs="Times"/>
        </w:rPr>
        <w:t>,</w:t>
      </w:r>
      <w:r w:rsidR="000E3935" w:rsidRPr="00472DB8">
        <w:rPr>
          <w:rFonts w:ascii="Times" w:hAnsi="Times" w:cs="Times"/>
        </w:rPr>
        <w:t xml:space="preserve"> we assume</w:t>
      </w:r>
      <w:r w:rsidRPr="00472DB8">
        <w:rPr>
          <w:rFonts w:ascii="Times" w:hAnsi="Times" w:cs="Times"/>
        </w:rPr>
        <w:t xml:space="preserve"> the receive antenna and the transmit antenna are normally co-located</w:t>
      </w:r>
      <w:r w:rsidR="000E3935" w:rsidRPr="00472DB8">
        <w:rPr>
          <w:rFonts w:ascii="Times" w:hAnsi="Times" w:cs="Times"/>
        </w:rPr>
        <w:t>,</w:t>
      </w:r>
      <w:r w:rsidR="00B80D29" w:rsidRPr="00472DB8">
        <w:rPr>
          <w:rFonts w:ascii="Times" w:hAnsi="Times" w:cs="Times"/>
        </w:rPr>
        <w:t xml:space="preserve"> </w:t>
      </w:r>
      <w:r w:rsidR="000E3935" w:rsidRPr="00472DB8">
        <w:rPr>
          <w:rFonts w:ascii="Times" w:hAnsi="Times" w:cs="Times"/>
        </w:rPr>
        <w:t>thus</w:t>
      </w:r>
      <w:r w:rsidR="00B80D29" w:rsidRPr="00472DB8">
        <w:rPr>
          <w:rFonts w:ascii="Times" w:hAnsi="Times" w:cs="Times"/>
        </w:rPr>
        <w:t xml:space="preserve"> identifying the location of transmit antennas in CDBS </w:t>
      </w:r>
      <w:r w:rsidR="000E3935" w:rsidRPr="00472DB8">
        <w:rPr>
          <w:rFonts w:ascii="Times" w:hAnsi="Times" w:cs="Times"/>
        </w:rPr>
        <w:t>will</w:t>
      </w:r>
      <w:r w:rsidR="00B80D29" w:rsidRPr="00472DB8">
        <w:rPr>
          <w:rFonts w:ascii="Times" w:hAnsi="Times" w:cs="Times"/>
        </w:rPr>
        <w:t xml:space="preserve"> suffice</w:t>
      </w:r>
      <w:r w:rsidR="000E3935" w:rsidRPr="00472DB8">
        <w:rPr>
          <w:rFonts w:ascii="Times" w:hAnsi="Times" w:cs="Times"/>
        </w:rPr>
        <w:t xml:space="preserve"> in identifying the receive antenna</w:t>
      </w:r>
      <w:r w:rsidRPr="00472DB8">
        <w:rPr>
          <w:rFonts w:ascii="Times" w:hAnsi="Times" w:cs="Times"/>
        </w:rPr>
        <w:t>.</w:t>
      </w:r>
      <w:r w:rsidRPr="00472DB8">
        <w:rPr>
          <w:rStyle w:val="FootnoteReference"/>
          <w:rFonts w:ascii="Times" w:hAnsi="Times" w:cs="Times"/>
        </w:rPr>
        <w:footnoteReference w:id="77"/>
      </w:r>
      <w:r w:rsidRPr="00472DB8">
        <w:rPr>
          <w:rFonts w:ascii="Times" w:hAnsi="Times" w:cs="Times"/>
        </w:rPr>
        <w:t xml:space="preserve">  No one has disputed </w:t>
      </w:r>
      <w:r w:rsidR="002A6C6A" w:rsidRPr="00472DB8">
        <w:rPr>
          <w:rFonts w:ascii="Times" w:hAnsi="Times" w:cs="Times"/>
        </w:rPr>
        <w:t xml:space="preserve">the validity of </w:t>
      </w:r>
      <w:r w:rsidRPr="00472DB8">
        <w:rPr>
          <w:rFonts w:ascii="Times" w:hAnsi="Times" w:cs="Times"/>
        </w:rPr>
        <w:t>this assumption</w:t>
      </w:r>
      <w:r w:rsidR="00E61DCA" w:rsidRPr="00472DB8">
        <w:rPr>
          <w:rFonts w:ascii="Times" w:hAnsi="Times" w:cs="Times"/>
        </w:rPr>
        <w:t xml:space="preserve"> and therefore we reject NTA’s proposal to expand information burden collections</w:t>
      </w:r>
      <w:r w:rsidR="00B80D29" w:rsidRPr="00472DB8">
        <w:rPr>
          <w:rFonts w:ascii="Times" w:hAnsi="Times" w:cs="Times"/>
        </w:rPr>
        <w:t xml:space="preserve"> (by requiring </w:t>
      </w:r>
      <w:r w:rsidR="00090A43" w:rsidRPr="00472DB8">
        <w:rPr>
          <w:rFonts w:ascii="Times" w:hAnsi="Times" w:cs="Times"/>
        </w:rPr>
        <w:t xml:space="preserve">the </w:t>
      </w:r>
      <w:r w:rsidR="00065997" w:rsidRPr="00472DB8">
        <w:rPr>
          <w:rFonts w:ascii="Times" w:hAnsi="Times" w:cs="Times"/>
        </w:rPr>
        <w:t xml:space="preserve">fling of </w:t>
      </w:r>
      <w:r w:rsidR="00090A43" w:rsidRPr="00472DB8">
        <w:rPr>
          <w:rFonts w:ascii="Times" w:hAnsi="Times" w:cs="Times"/>
        </w:rPr>
        <w:t xml:space="preserve">thousands of </w:t>
      </w:r>
      <w:r w:rsidR="00065997" w:rsidRPr="00472DB8">
        <w:rPr>
          <w:rFonts w:ascii="Times" w:hAnsi="Times" w:cs="Times"/>
        </w:rPr>
        <w:t>notifications identifying the locations of</w:t>
      </w:r>
      <w:r w:rsidR="00B80D29" w:rsidRPr="00472DB8">
        <w:rPr>
          <w:rFonts w:ascii="Times" w:hAnsi="Times" w:cs="Times"/>
        </w:rPr>
        <w:t xml:space="preserve"> receive antenna</w:t>
      </w:r>
      <w:r w:rsidR="00065997" w:rsidRPr="00472DB8">
        <w:rPr>
          <w:rFonts w:ascii="Times" w:hAnsi="Times" w:cs="Times"/>
        </w:rPr>
        <w:t>s</w:t>
      </w:r>
      <w:r w:rsidR="00B80D29" w:rsidRPr="00472DB8">
        <w:rPr>
          <w:rFonts w:ascii="Times" w:hAnsi="Times" w:cs="Times"/>
        </w:rPr>
        <w:t>)</w:t>
      </w:r>
      <w:r w:rsidR="00E61DCA" w:rsidRPr="00472DB8">
        <w:rPr>
          <w:rFonts w:ascii="Times" w:hAnsi="Times" w:cs="Times"/>
        </w:rPr>
        <w:t xml:space="preserve"> on translator licensees</w:t>
      </w:r>
      <w:r w:rsidR="00DC53A8" w:rsidRPr="00472DB8">
        <w:rPr>
          <w:rFonts w:ascii="Times" w:hAnsi="Times" w:cs="Times"/>
        </w:rPr>
        <w:t xml:space="preserve"> </w:t>
      </w:r>
      <w:r w:rsidR="00E61DCA" w:rsidRPr="00472DB8">
        <w:rPr>
          <w:rFonts w:ascii="Times" w:hAnsi="Times" w:cs="Times"/>
        </w:rPr>
        <w:t>and applicants</w:t>
      </w:r>
      <w:r w:rsidRPr="00472DB8">
        <w:rPr>
          <w:rFonts w:ascii="Times" w:hAnsi="Times" w:cs="Times"/>
        </w:rPr>
        <w:t>.  With respect to the accuracy of the CDBS data, CDBS is a database that compiles information</w:t>
      </w:r>
      <w:r w:rsidR="002A6C6A" w:rsidRPr="00472DB8">
        <w:rPr>
          <w:rFonts w:ascii="Times" w:hAnsi="Times" w:cs="Times"/>
        </w:rPr>
        <w:t xml:space="preserve"> received by the Commission</w:t>
      </w:r>
      <w:r w:rsidRPr="00472DB8">
        <w:rPr>
          <w:rFonts w:ascii="Times" w:hAnsi="Times" w:cs="Times"/>
        </w:rPr>
        <w:t xml:space="preserve"> from thousands of licensees</w:t>
      </w:r>
      <w:r w:rsidR="003E34DC" w:rsidRPr="00472DB8">
        <w:rPr>
          <w:rFonts w:ascii="Times" w:hAnsi="Times" w:cs="Times"/>
        </w:rPr>
        <w:t xml:space="preserve"> </w:t>
      </w:r>
      <w:r w:rsidR="00E61DCA" w:rsidRPr="00472DB8">
        <w:rPr>
          <w:rFonts w:ascii="Times" w:hAnsi="Times" w:cs="Times"/>
        </w:rPr>
        <w:t>and applicants</w:t>
      </w:r>
      <w:r w:rsidRPr="00472DB8">
        <w:rPr>
          <w:rFonts w:ascii="Times" w:hAnsi="Times" w:cs="Times"/>
        </w:rPr>
        <w:t>.  As a result, at any given time there is some</w:t>
      </w:r>
      <w:r w:rsidR="00ED6765" w:rsidRPr="00472DB8">
        <w:rPr>
          <w:rFonts w:ascii="Times" w:hAnsi="Times" w:cs="Times"/>
        </w:rPr>
        <w:t xml:space="preserve"> conflicting </w:t>
      </w:r>
      <w:r w:rsidR="00A41262" w:rsidRPr="00472DB8">
        <w:rPr>
          <w:rFonts w:ascii="Times" w:hAnsi="Times" w:cs="Times"/>
        </w:rPr>
        <w:t xml:space="preserve">and missing </w:t>
      </w:r>
      <w:r w:rsidRPr="00472DB8">
        <w:rPr>
          <w:rFonts w:ascii="Times" w:hAnsi="Times" w:cs="Times"/>
        </w:rPr>
        <w:t xml:space="preserve">translator </w:t>
      </w:r>
      <w:r w:rsidR="00ED6765" w:rsidRPr="00472DB8">
        <w:rPr>
          <w:rFonts w:ascii="Times" w:hAnsi="Times" w:cs="Times"/>
        </w:rPr>
        <w:t>data</w:t>
      </w:r>
      <w:r w:rsidR="00EA35A2" w:rsidRPr="00472DB8">
        <w:rPr>
          <w:rFonts w:ascii="Times" w:hAnsi="Times" w:cs="Times"/>
        </w:rPr>
        <w:t xml:space="preserve"> in </w:t>
      </w:r>
      <w:r w:rsidR="00862805" w:rsidRPr="00472DB8">
        <w:rPr>
          <w:rFonts w:ascii="Times" w:hAnsi="Times" w:cs="Times"/>
        </w:rPr>
        <w:t>CDBS</w:t>
      </w:r>
      <w:r w:rsidR="00327230" w:rsidRPr="00472DB8">
        <w:rPr>
          <w:rFonts w:ascii="Times" w:hAnsi="Times" w:cs="Times"/>
        </w:rPr>
        <w:t xml:space="preserve">, mainly data concerning </w:t>
      </w:r>
      <w:r w:rsidR="00A41262" w:rsidRPr="00472DB8">
        <w:rPr>
          <w:rFonts w:ascii="Times" w:hAnsi="Times" w:cs="Times"/>
        </w:rPr>
        <w:t xml:space="preserve">translator input </w:t>
      </w:r>
      <w:r w:rsidR="00327230" w:rsidRPr="00472DB8">
        <w:rPr>
          <w:rFonts w:ascii="Times" w:hAnsi="Times" w:cs="Times"/>
        </w:rPr>
        <w:t>delivery method</w:t>
      </w:r>
      <w:r w:rsidR="003B72F8" w:rsidRPr="00472DB8">
        <w:rPr>
          <w:rFonts w:ascii="Times" w:hAnsi="Times" w:cs="Times"/>
        </w:rPr>
        <w:t>s</w:t>
      </w:r>
      <w:r w:rsidR="00ED6765" w:rsidRPr="00472DB8">
        <w:rPr>
          <w:rFonts w:ascii="Times" w:hAnsi="Times" w:cs="Times"/>
        </w:rPr>
        <w:t>.</w:t>
      </w:r>
      <w:r w:rsidR="00F35EC7" w:rsidRPr="00472DB8">
        <w:rPr>
          <w:rStyle w:val="FootnoteReference"/>
          <w:rFonts w:ascii="Times" w:hAnsi="Times" w:cs="Times"/>
        </w:rPr>
        <w:footnoteReference w:id="78"/>
      </w:r>
      <w:r w:rsidR="00ED6765" w:rsidRPr="00472DB8">
        <w:rPr>
          <w:rFonts w:ascii="Times" w:hAnsi="Times" w:cs="Times"/>
        </w:rPr>
        <w:t xml:space="preserve">  </w:t>
      </w:r>
      <w:r w:rsidR="00DE0D78" w:rsidRPr="00472DB8">
        <w:rPr>
          <w:rFonts w:ascii="Times" w:hAnsi="Times" w:cs="Times"/>
        </w:rPr>
        <w:t>We remind translator licensees that “[c]hanges in the primary FM station being retransmitted must be submitted to the FCC in writing,”</w:t>
      </w:r>
      <w:r w:rsidR="00DE0D78" w:rsidRPr="00472DB8">
        <w:rPr>
          <w:rFonts w:ascii="Times" w:hAnsi="Times" w:cs="Times"/>
          <w:vertAlign w:val="superscript"/>
        </w:rPr>
        <w:footnoteReference w:id="79"/>
      </w:r>
      <w:r w:rsidR="00DE0D78" w:rsidRPr="00472DB8">
        <w:rPr>
          <w:rFonts w:ascii="Times" w:hAnsi="Times" w:cs="Times"/>
        </w:rPr>
        <w:t xml:space="preserve"> and that timely notification is required to qualify for the protections provided by Section 73.827 with regard to LPFM applications filed in the upcoming window.</w:t>
      </w:r>
      <w:r w:rsidR="00DE0D78" w:rsidRPr="00472DB8">
        <w:rPr>
          <w:rFonts w:ascii="Times" w:hAnsi="Times" w:cs="Times"/>
          <w:vertAlign w:val="superscript"/>
        </w:rPr>
        <w:footnoteReference w:id="80"/>
      </w:r>
      <w:r w:rsidR="00DE0D78" w:rsidRPr="00472DB8">
        <w:rPr>
          <w:rFonts w:ascii="Times" w:hAnsi="Times" w:cs="Times"/>
        </w:rPr>
        <w:t xml:space="preserve">  W</w:t>
      </w:r>
      <w:r w:rsidR="00ED6765" w:rsidRPr="00472DB8">
        <w:rPr>
          <w:rFonts w:ascii="Times" w:hAnsi="Times" w:cs="Times"/>
        </w:rPr>
        <w:t>e</w:t>
      </w:r>
      <w:r w:rsidR="00DE0D78" w:rsidRPr="00472DB8">
        <w:rPr>
          <w:rFonts w:ascii="Times" w:hAnsi="Times" w:cs="Times"/>
        </w:rPr>
        <w:t xml:space="preserve"> also</w:t>
      </w:r>
      <w:r w:rsidR="00ED6765" w:rsidRPr="00472DB8">
        <w:rPr>
          <w:rFonts w:ascii="Times" w:hAnsi="Times" w:cs="Times"/>
        </w:rPr>
        <w:t xml:space="preserve"> continue to encourage FM translator licensees to </w:t>
      </w:r>
      <w:r w:rsidR="005A7561" w:rsidRPr="00472DB8">
        <w:rPr>
          <w:rFonts w:ascii="Times" w:hAnsi="Times" w:cs="Times"/>
        </w:rPr>
        <w:t xml:space="preserve">review and </w:t>
      </w:r>
      <w:r w:rsidR="00ED6765" w:rsidRPr="00472DB8">
        <w:rPr>
          <w:rFonts w:ascii="Times" w:hAnsi="Times" w:cs="Times"/>
        </w:rPr>
        <w:t xml:space="preserve">update </w:t>
      </w:r>
      <w:r w:rsidR="00862805" w:rsidRPr="00472DB8">
        <w:rPr>
          <w:rFonts w:ascii="Times" w:hAnsi="Times" w:cs="Times"/>
        </w:rPr>
        <w:t xml:space="preserve">the </w:t>
      </w:r>
      <w:r w:rsidR="00ED6765" w:rsidRPr="00472DB8">
        <w:rPr>
          <w:rFonts w:ascii="Times" w:hAnsi="Times" w:cs="Times"/>
        </w:rPr>
        <w:t>Commission</w:t>
      </w:r>
      <w:r w:rsidR="003B72F8" w:rsidRPr="00472DB8">
        <w:rPr>
          <w:rFonts w:ascii="Times" w:hAnsi="Times" w:cs="Times"/>
        </w:rPr>
        <w:t xml:space="preserve"> as to their op</w:t>
      </w:r>
      <w:r w:rsidR="00113B15" w:rsidRPr="00472DB8">
        <w:rPr>
          <w:rFonts w:ascii="Times" w:hAnsi="Times" w:cs="Times"/>
        </w:rPr>
        <w:t>e</w:t>
      </w:r>
      <w:r w:rsidR="003B72F8" w:rsidRPr="00472DB8">
        <w:rPr>
          <w:rFonts w:ascii="Times" w:hAnsi="Times" w:cs="Times"/>
        </w:rPr>
        <w:t>rations</w:t>
      </w:r>
      <w:r w:rsidR="00862805" w:rsidRPr="00472DB8">
        <w:rPr>
          <w:rFonts w:ascii="Times" w:hAnsi="Times" w:cs="Times"/>
        </w:rPr>
        <w:t xml:space="preserve">, </w:t>
      </w:r>
      <w:r w:rsidR="00645EEC" w:rsidRPr="00472DB8">
        <w:rPr>
          <w:rFonts w:ascii="Times" w:hAnsi="Times" w:cs="Times"/>
        </w:rPr>
        <w:t>as necessary</w:t>
      </w:r>
      <w:r w:rsidR="003B72F8" w:rsidRPr="00472DB8">
        <w:rPr>
          <w:rFonts w:ascii="Times" w:hAnsi="Times" w:cs="Times"/>
        </w:rPr>
        <w:t>, so that staff may revise CDBS accordingly</w:t>
      </w:r>
      <w:r w:rsidR="00ED6765" w:rsidRPr="00472DB8">
        <w:rPr>
          <w:rFonts w:ascii="Times" w:hAnsi="Times" w:cs="Times"/>
        </w:rPr>
        <w:t>.</w:t>
      </w:r>
      <w:r w:rsidR="00327230" w:rsidRPr="00472DB8">
        <w:rPr>
          <w:rFonts w:ascii="Times" w:hAnsi="Times" w:cs="Times"/>
        </w:rPr>
        <w:t xml:space="preserve">  In cases where </w:t>
      </w:r>
      <w:r w:rsidR="00D22CEB" w:rsidRPr="00472DB8">
        <w:rPr>
          <w:rFonts w:ascii="Times" w:hAnsi="Times" w:cs="Times"/>
        </w:rPr>
        <w:t xml:space="preserve">LPFM </w:t>
      </w:r>
      <w:r w:rsidR="00327230" w:rsidRPr="00472DB8">
        <w:rPr>
          <w:rFonts w:ascii="Times" w:hAnsi="Times" w:cs="Times"/>
        </w:rPr>
        <w:t xml:space="preserve">applicants are unable to obtain data regarding </w:t>
      </w:r>
      <w:r w:rsidR="009F5EEC" w:rsidRPr="00472DB8">
        <w:rPr>
          <w:rFonts w:ascii="Times" w:hAnsi="Times" w:cs="Times"/>
        </w:rPr>
        <w:t xml:space="preserve">signal </w:t>
      </w:r>
      <w:r w:rsidR="00327230" w:rsidRPr="00472DB8">
        <w:rPr>
          <w:rFonts w:ascii="Times" w:hAnsi="Times" w:cs="Times"/>
        </w:rPr>
        <w:t xml:space="preserve">delivery method, </w:t>
      </w:r>
      <w:r w:rsidR="009F5EEC" w:rsidRPr="00472DB8">
        <w:rPr>
          <w:rFonts w:ascii="Times" w:hAnsi="Times" w:cs="Times"/>
        </w:rPr>
        <w:t xml:space="preserve">they should assume </w:t>
      </w:r>
      <w:r w:rsidR="00327230" w:rsidRPr="00472DB8">
        <w:rPr>
          <w:rFonts w:ascii="Times" w:hAnsi="Times" w:cs="Times"/>
        </w:rPr>
        <w:t>for evidentiary and exhibit purposes</w:t>
      </w:r>
      <w:r w:rsidR="009F5EEC" w:rsidRPr="00472DB8">
        <w:rPr>
          <w:rFonts w:ascii="Times" w:hAnsi="Times" w:cs="Times"/>
        </w:rPr>
        <w:t xml:space="preserve"> that </w:t>
      </w:r>
      <w:r w:rsidR="00327230" w:rsidRPr="00472DB8">
        <w:rPr>
          <w:rFonts w:ascii="Times" w:hAnsi="Times" w:cs="Times"/>
        </w:rPr>
        <w:t>the signal delivery method is off-air.</w:t>
      </w:r>
      <w:r w:rsidR="00467BBC" w:rsidRPr="00472DB8">
        <w:rPr>
          <w:rFonts w:ascii="Times" w:hAnsi="Times" w:cs="Times"/>
        </w:rPr>
        <w:t xml:space="preserve">  We also direct the Media Bureau to issue a </w:t>
      </w:r>
      <w:r w:rsidR="00422D08" w:rsidRPr="00472DB8">
        <w:rPr>
          <w:rFonts w:ascii="Times" w:hAnsi="Times" w:cs="Times"/>
        </w:rPr>
        <w:t>p</w:t>
      </w:r>
      <w:r w:rsidR="00467BBC" w:rsidRPr="00472DB8">
        <w:rPr>
          <w:rFonts w:ascii="Times" w:hAnsi="Times" w:cs="Times"/>
        </w:rPr>
        <w:t xml:space="preserve">ublic </w:t>
      </w:r>
      <w:r w:rsidR="00422D08" w:rsidRPr="00472DB8">
        <w:rPr>
          <w:rFonts w:ascii="Times" w:hAnsi="Times" w:cs="Times"/>
        </w:rPr>
        <w:t>n</w:t>
      </w:r>
      <w:r w:rsidR="00467BBC" w:rsidRPr="00472DB8">
        <w:rPr>
          <w:rFonts w:ascii="Times" w:hAnsi="Times" w:cs="Times"/>
        </w:rPr>
        <w:t xml:space="preserve">otice </w:t>
      </w:r>
      <w:r w:rsidR="00862805" w:rsidRPr="00472DB8">
        <w:rPr>
          <w:rFonts w:ascii="Times" w:hAnsi="Times" w:cs="Times"/>
        </w:rPr>
        <w:t xml:space="preserve">providing guidance to potential LPFM applicants by </w:t>
      </w:r>
      <w:r w:rsidR="00467BBC" w:rsidRPr="00472DB8">
        <w:rPr>
          <w:rFonts w:ascii="Times" w:hAnsi="Times" w:cs="Times"/>
        </w:rPr>
        <w:t xml:space="preserve">identifying the various </w:t>
      </w:r>
      <w:r w:rsidR="00C23CD6" w:rsidRPr="00472DB8">
        <w:rPr>
          <w:rFonts w:ascii="Times" w:hAnsi="Times" w:cs="Times"/>
        </w:rPr>
        <w:t xml:space="preserve">CDBS </w:t>
      </w:r>
      <w:r w:rsidR="00467BBC" w:rsidRPr="00472DB8">
        <w:rPr>
          <w:rFonts w:ascii="Times" w:hAnsi="Times" w:cs="Times"/>
        </w:rPr>
        <w:t xml:space="preserve">data fields </w:t>
      </w:r>
      <w:r w:rsidR="00B80D29" w:rsidRPr="00472DB8">
        <w:rPr>
          <w:rFonts w:ascii="Times" w:hAnsi="Times" w:cs="Times"/>
        </w:rPr>
        <w:t xml:space="preserve">that </w:t>
      </w:r>
      <w:r w:rsidR="00467BBC" w:rsidRPr="00472DB8">
        <w:rPr>
          <w:rFonts w:ascii="Times" w:hAnsi="Times" w:cs="Times"/>
        </w:rPr>
        <w:t>may contain relevant information.</w:t>
      </w:r>
      <w:r w:rsidR="00ED6765" w:rsidRPr="00472DB8">
        <w:rPr>
          <w:rFonts w:ascii="Times" w:hAnsi="Times" w:cs="Times"/>
        </w:rPr>
        <w:t xml:space="preserve"> </w:t>
      </w:r>
    </w:p>
    <w:p w14:paraId="6FB763C5" w14:textId="77777777" w:rsidR="00D45BF9" w:rsidRPr="00472DB8" w:rsidRDefault="00D45BF9" w:rsidP="00E75380">
      <w:pPr>
        <w:jc w:val="left"/>
        <w:rPr>
          <w:rFonts w:ascii="Times" w:hAnsi="Times" w:cs="Times"/>
        </w:rPr>
      </w:pPr>
    </w:p>
    <w:p w14:paraId="697B768C" w14:textId="77777777" w:rsidR="00D45BF9" w:rsidRPr="00472DB8" w:rsidRDefault="00D45BF9" w:rsidP="00E75380">
      <w:pPr>
        <w:ind w:left="2160" w:hanging="720"/>
        <w:jc w:val="left"/>
        <w:rPr>
          <w:rFonts w:ascii="Times" w:hAnsi="Times" w:cs="Times"/>
          <w:b/>
        </w:rPr>
      </w:pPr>
      <w:r w:rsidRPr="00472DB8">
        <w:rPr>
          <w:rFonts w:ascii="Times" w:hAnsi="Times" w:cs="Times"/>
          <w:b/>
        </w:rPr>
        <w:t>4.</w:t>
      </w:r>
      <w:r w:rsidRPr="00472DB8">
        <w:rPr>
          <w:rFonts w:ascii="Times" w:hAnsi="Times" w:cs="Times"/>
          <w:b/>
        </w:rPr>
        <w:tab/>
      </w:r>
      <w:r w:rsidR="009F5EEC" w:rsidRPr="00472DB8">
        <w:rPr>
          <w:rFonts w:ascii="Times" w:hAnsi="Times" w:cs="Times"/>
          <w:b/>
        </w:rPr>
        <w:t xml:space="preserve">Limitation on Input Signal </w:t>
      </w:r>
      <w:r w:rsidRPr="00472DB8">
        <w:rPr>
          <w:rFonts w:ascii="Times" w:hAnsi="Times" w:cs="Times"/>
          <w:b/>
        </w:rPr>
        <w:t xml:space="preserve">Protection </w:t>
      </w:r>
      <w:r w:rsidR="009F5EEC" w:rsidRPr="00472DB8">
        <w:rPr>
          <w:rFonts w:ascii="Times" w:hAnsi="Times" w:cs="Times"/>
          <w:b/>
        </w:rPr>
        <w:t xml:space="preserve">Obligations </w:t>
      </w:r>
      <w:r w:rsidRPr="00472DB8">
        <w:rPr>
          <w:rFonts w:ascii="Times" w:hAnsi="Times" w:cs="Times"/>
          <w:b/>
        </w:rPr>
        <w:t>by LPFM Applicants</w:t>
      </w:r>
    </w:p>
    <w:p w14:paraId="407FCDF9" w14:textId="77777777" w:rsidR="006E6F48" w:rsidRPr="00472DB8" w:rsidRDefault="006E6F48" w:rsidP="00E75380">
      <w:pPr>
        <w:jc w:val="left"/>
        <w:rPr>
          <w:rFonts w:ascii="Times" w:hAnsi="Times" w:cs="Times"/>
        </w:rPr>
      </w:pPr>
    </w:p>
    <w:p w14:paraId="020D9FA1" w14:textId="1DB42AA6" w:rsidR="007C16A2" w:rsidRPr="00472DB8" w:rsidRDefault="003B72F8" w:rsidP="00E75380">
      <w:pPr>
        <w:pStyle w:val="ListParagraph"/>
        <w:numPr>
          <w:ilvl w:val="0"/>
          <w:numId w:val="16"/>
        </w:numPr>
        <w:ind w:left="0"/>
        <w:jc w:val="left"/>
        <w:rPr>
          <w:rFonts w:ascii="Times" w:hAnsi="Times" w:cs="Times"/>
        </w:rPr>
      </w:pPr>
      <w:r w:rsidRPr="00472DB8">
        <w:rPr>
          <w:rFonts w:ascii="Times" w:hAnsi="Times" w:cs="Times"/>
        </w:rPr>
        <w:t>Section 73.827(b) currently provides, “</w:t>
      </w:r>
      <w:r w:rsidR="00CA6921" w:rsidRPr="00472DB8">
        <w:rPr>
          <w:rFonts w:ascii="Times" w:hAnsi="Times" w:cs="Times"/>
        </w:rPr>
        <w:t xml:space="preserve">[a]n </w:t>
      </w:r>
      <w:r w:rsidRPr="00472DB8">
        <w:rPr>
          <w:rFonts w:ascii="Times" w:hAnsi="Times" w:cs="Times"/>
        </w:rPr>
        <w:t xml:space="preserve">authorized LPFM station will not be permitted to operate if an FM translator or FM booster station demonstrates that the LPFM station is causing actual interference to the FM booster station’s input signal, provided that the same input signal was in use at the time the LPFM station was authorized.”  </w:t>
      </w:r>
      <w:r w:rsidR="00F7463E" w:rsidRPr="00472DB8">
        <w:rPr>
          <w:rFonts w:ascii="Times" w:hAnsi="Times" w:cs="Times"/>
        </w:rPr>
        <w:t>Prometheus seeks revision</w:t>
      </w:r>
      <w:r w:rsidR="007C16A2" w:rsidRPr="00472DB8">
        <w:rPr>
          <w:rFonts w:ascii="Times" w:hAnsi="Times" w:cs="Times"/>
        </w:rPr>
        <w:t xml:space="preserve"> </w:t>
      </w:r>
      <w:r w:rsidR="00C263E8" w:rsidRPr="00472DB8">
        <w:rPr>
          <w:rFonts w:ascii="Times" w:hAnsi="Times" w:cs="Times"/>
        </w:rPr>
        <w:t>of th</w:t>
      </w:r>
      <w:r w:rsidR="0034236C" w:rsidRPr="00472DB8">
        <w:rPr>
          <w:rFonts w:ascii="Times" w:hAnsi="Times" w:cs="Times"/>
        </w:rPr>
        <w:t>is</w:t>
      </w:r>
      <w:r w:rsidR="00C263E8" w:rsidRPr="00472DB8">
        <w:rPr>
          <w:rFonts w:ascii="Times" w:hAnsi="Times" w:cs="Times"/>
        </w:rPr>
        <w:t xml:space="preserve"> rule </w:t>
      </w:r>
      <w:r w:rsidR="007C16A2" w:rsidRPr="00472DB8">
        <w:rPr>
          <w:rFonts w:ascii="Times" w:hAnsi="Times" w:cs="Times"/>
        </w:rPr>
        <w:t xml:space="preserve">to require that </w:t>
      </w:r>
      <w:r w:rsidR="0074728B" w:rsidRPr="00472DB8">
        <w:rPr>
          <w:rFonts w:ascii="Times" w:hAnsi="Times" w:cs="Times"/>
        </w:rPr>
        <w:t>an</w:t>
      </w:r>
      <w:r w:rsidR="007C16A2" w:rsidRPr="00472DB8">
        <w:rPr>
          <w:rFonts w:ascii="Times" w:hAnsi="Times" w:cs="Times"/>
        </w:rPr>
        <w:t xml:space="preserve"> input signal be in use “prior to the release of the public notice announcing an LPFM application window period,</w:t>
      </w:r>
      <w:r w:rsidR="00DC53A8" w:rsidRPr="00472DB8">
        <w:rPr>
          <w:rFonts w:ascii="Times" w:hAnsi="Times" w:cs="Times"/>
        </w:rPr>
        <w:t>”</w:t>
      </w:r>
      <w:r w:rsidR="007C16A2" w:rsidRPr="00472DB8">
        <w:rPr>
          <w:rFonts w:ascii="Times" w:hAnsi="Times" w:cs="Times"/>
        </w:rPr>
        <w:t xml:space="preserve"> rather than </w:t>
      </w:r>
      <w:r w:rsidRPr="00472DB8">
        <w:rPr>
          <w:rFonts w:ascii="Times" w:hAnsi="Times" w:cs="Times"/>
        </w:rPr>
        <w:t>“</w:t>
      </w:r>
      <w:r w:rsidR="007C16A2" w:rsidRPr="00472DB8">
        <w:rPr>
          <w:rFonts w:ascii="Times" w:hAnsi="Times" w:cs="Times"/>
        </w:rPr>
        <w:t>at the time the LPFM station is authorized.”</w:t>
      </w:r>
      <w:r w:rsidR="007C16A2" w:rsidRPr="00472DB8">
        <w:rPr>
          <w:rStyle w:val="FootnoteReference"/>
          <w:rFonts w:ascii="Times" w:hAnsi="Times" w:cs="Times"/>
        </w:rPr>
        <w:footnoteReference w:id="81"/>
      </w:r>
      <w:r w:rsidR="007C16A2" w:rsidRPr="00472DB8">
        <w:rPr>
          <w:rFonts w:ascii="Times" w:hAnsi="Times" w:cs="Times"/>
        </w:rPr>
        <w:t xml:space="preserve">  </w:t>
      </w:r>
      <w:r w:rsidR="00104D93" w:rsidRPr="00472DB8">
        <w:rPr>
          <w:rFonts w:ascii="Times" w:hAnsi="Times" w:cs="Times"/>
        </w:rPr>
        <w:t>Prometheus</w:t>
      </w:r>
      <w:r w:rsidR="007C16A2" w:rsidRPr="00472DB8">
        <w:rPr>
          <w:rFonts w:ascii="Times" w:hAnsi="Times" w:cs="Times"/>
        </w:rPr>
        <w:t xml:space="preserve"> also seeks clarification that the term “in use” in </w:t>
      </w:r>
      <w:r w:rsidR="00D22CEB" w:rsidRPr="00472DB8">
        <w:rPr>
          <w:rFonts w:ascii="Times" w:hAnsi="Times" w:cs="Times"/>
        </w:rPr>
        <w:t xml:space="preserve">Section 73.827(b) </w:t>
      </w:r>
      <w:r w:rsidR="007C16A2" w:rsidRPr="00472DB8">
        <w:rPr>
          <w:rFonts w:ascii="Times" w:hAnsi="Times" w:cs="Times"/>
        </w:rPr>
        <w:t>means “in use as the input to that translator.”</w:t>
      </w:r>
      <w:r w:rsidR="007C16A2" w:rsidRPr="00472DB8">
        <w:rPr>
          <w:rStyle w:val="FootnoteReference"/>
          <w:rFonts w:ascii="Times" w:hAnsi="Times" w:cs="Times"/>
        </w:rPr>
        <w:footnoteReference w:id="82"/>
      </w:r>
      <w:r w:rsidR="007C16A2" w:rsidRPr="00472DB8">
        <w:rPr>
          <w:rFonts w:ascii="Times" w:hAnsi="Times" w:cs="Times"/>
        </w:rPr>
        <w:t xml:space="preserve"> </w:t>
      </w:r>
    </w:p>
    <w:p w14:paraId="5FB1929E" w14:textId="77777777" w:rsidR="007C16A2" w:rsidRPr="00472DB8" w:rsidRDefault="007C16A2" w:rsidP="00E75380">
      <w:pPr>
        <w:jc w:val="left"/>
        <w:rPr>
          <w:rFonts w:ascii="Times" w:hAnsi="Times" w:cs="Times"/>
        </w:rPr>
      </w:pPr>
    </w:p>
    <w:p w14:paraId="3A529AE8" w14:textId="77777777" w:rsidR="007C16A2" w:rsidRPr="00472DB8" w:rsidRDefault="007C16A2" w:rsidP="00E75380">
      <w:pPr>
        <w:pStyle w:val="ListParagraph"/>
        <w:numPr>
          <w:ilvl w:val="0"/>
          <w:numId w:val="16"/>
        </w:numPr>
        <w:ind w:left="0"/>
        <w:jc w:val="left"/>
        <w:rPr>
          <w:rFonts w:ascii="Times" w:hAnsi="Times" w:cs="Times"/>
        </w:rPr>
      </w:pPr>
      <w:r w:rsidRPr="00472DB8">
        <w:rPr>
          <w:rFonts w:ascii="Times" w:hAnsi="Times" w:cs="Times"/>
        </w:rPr>
        <w:t xml:space="preserve">NPR states </w:t>
      </w:r>
      <w:r w:rsidR="00C23CD6" w:rsidRPr="00472DB8">
        <w:rPr>
          <w:rFonts w:ascii="Times" w:hAnsi="Times" w:cs="Times"/>
        </w:rPr>
        <w:t xml:space="preserve">that this attempted </w:t>
      </w:r>
      <w:r w:rsidRPr="00472DB8">
        <w:rPr>
          <w:rFonts w:ascii="Times" w:hAnsi="Times" w:cs="Times"/>
        </w:rPr>
        <w:t xml:space="preserve">reconsideration of </w:t>
      </w:r>
      <w:r w:rsidR="00A94742" w:rsidRPr="00472DB8">
        <w:rPr>
          <w:rFonts w:ascii="Times" w:hAnsi="Times" w:cs="Times"/>
        </w:rPr>
        <w:t>Section</w:t>
      </w:r>
      <w:r w:rsidR="00645EEC" w:rsidRPr="00472DB8">
        <w:rPr>
          <w:rFonts w:ascii="Times" w:hAnsi="Times" w:cs="Times"/>
        </w:rPr>
        <w:t xml:space="preserve"> </w:t>
      </w:r>
      <w:r w:rsidRPr="00472DB8">
        <w:rPr>
          <w:rFonts w:ascii="Times" w:hAnsi="Times" w:cs="Times"/>
        </w:rPr>
        <w:t xml:space="preserve">73.827(b) should be dismissed because </w:t>
      </w:r>
      <w:r w:rsidR="00104D93" w:rsidRPr="00472DB8">
        <w:rPr>
          <w:rFonts w:ascii="Times" w:hAnsi="Times" w:cs="Times"/>
        </w:rPr>
        <w:t>Prometheus</w:t>
      </w:r>
      <w:r w:rsidRPr="00472DB8">
        <w:rPr>
          <w:rFonts w:ascii="Times" w:hAnsi="Times" w:cs="Times"/>
        </w:rPr>
        <w:t xml:space="preserve"> did not offer any arguments previously as to why the Commission should </w:t>
      </w:r>
      <w:r w:rsidR="003B72F8" w:rsidRPr="00472DB8">
        <w:rPr>
          <w:rFonts w:ascii="Times" w:hAnsi="Times" w:cs="Times"/>
        </w:rPr>
        <w:t xml:space="preserve">so </w:t>
      </w:r>
      <w:r w:rsidRPr="00472DB8">
        <w:rPr>
          <w:rFonts w:ascii="Times" w:hAnsi="Times" w:cs="Times"/>
        </w:rPr>
        <w:t>limit its proposed protection of FM translator input signals.</w:t>
      </w:r>
      <w:r w:rsidRPr="00472DB8">
        <w:rPr>
          <w:rStyle w:val="FootnoteReference"/>
          <w:rFonts w:ascii="Times" w:hAnsi="Times" w:cs="Times"/>
        </w:rPr>
        <w:footnoteReference w:id="83"/>
      </w:r>
      <w:r w:rsidRPr="00472DB8">
        <w:rPr>
          <w:rFonts w:ascii="Times" w:hAnsi="Times" w:cs="Times"/>
        </w:rPr>
        <w:t xml:space="preserve">  NPR </w:t>
      </w:r>
      <w:r w:rsidR="00645EEC" w:rsidRPr="00472DB8">
        <w:rPr>
          <w:rFonts w:ascii="Times" w:hAnsi="Times" w:cs="Times"/>
        </w:rPr>
        <w:t xml:space="preserve">also </w:t>
      </w:r>
      <w:r w:rsidRPr="00472DB8">
        <w:rPr>
          <w:rFonts w:ascii="Times" w:hAnsi="Times" w:cs="Times"/>
        </w:rPr>
        <w:t xml:space="preserve">argues </w:t>
      </w:r>
      <w:r w:rsidR="0074728B" w:rsidRPr="00472DB8">
        <w:rPr>
          <w:rFonts w:ascii="Times" w:hAnsi="Times" w:cs="Times"/>
        </w:rPr>
        <w:t xml:space="preserve">that </w:t>
      </w:r>
      <w:r w:rsidRPr="00472DB8">
        <w:rPr>
          <w:rFonts w:ascii="Times" w:hAnsi="Times" w:cs="Times"/>
        </w:rPr>
        <w:t>Section 6 of the LCRA requires the Commission to address the potential for predicted interference to an FM translator station’s input signal</w:t>
      </w:r>
      <w:r w:rsidR="00645EEC" w:rsidRPr="00472DB8">
        <w:rPr>
          <w:rFonts w:ascii="Times" w:hAnsi="Times" w:cs="Times"/>
        </w:rPr>
        <w:t>, without limitations based on filing dates</w:t>
      </w:r>
      <w:r w:rsidRPr="00472DB8">
        <w:rPr>
          <w:rFonts w:ascii="Times" w:hAnsi="Times" w:cs="Times"/>
        </w:rPr>
        <w:t>.</w:t>
      </w:r>
      <w:r w:rsidRPr="00472DB8">
        <w:rPr>
          <w:rStyle w:val="FootnoteReference"/>
          <w:rFonts w:ascii="Times" w:hAnsi="Times" w:cs="Times"/>
        </w:rPr>
        <w:footnoteReference w:id="84"/>
      </w:r>
      <w:r w:rsidRPr="00472DB8">
        <w:rPr>
          <w:rFonts w:ascii="Times" w:hAnsi="Times" w:cs="Times"/>
        </w:rPr>
        <w:t xml:space="preserve">  </w:t>
      </w:r>
    </w:p>
    <w:p w14:paraId="0E0D8928" w14:textId="77777777" w:rsidR="007C16A2" w:rsidRPr="00472DB8" w:rsidRDefault="007C16A2" w:rsidP="00E75380">
      <w:pPr>
        <w:jc w:val="left"/>
        <w:rPr>
          <w:rFonts w:ascii="Times" w:hAnsi="Times" w:cs="Times"/>
        </w:rPr>
      </w:pPr>
    </w:p>
    <w:p w14:paraId="385372F6" w14:textId="40D68531" w:rsidR="0062527B" w:rsidRPr="00472DB8" w:rsidRDefault="007C16A2" w:rsidP="00E75380">
      <w:pPr>
        <w:pStyle w:val="ListParagraph"/>
        <w:numPr>
          <w:ilvl w:val="0"/>
          <w:numId w:val="16"/>
        </w:numPr>
        <w:ind w:left="0"/>
        <w:jc w:val="left"/>
        <w:rPr>
          <w:rFonts w:ascii="Times" w:hAnsi="Times" w:cs="Times"/>
        </w:rPr>
      </w:pPr>
      <w:r w:rsidRPr="00472DB8">
        <w:rPr>
          <w:rFonts w:ascii="Times" w:hAnsi="Times" w:cs="Times"/>
        </w:rPr>
        <w:t xml:space="preserve">In response to </w:t>
      </w:r>
      <w:r w:rsidR="00104D93" w:rsidRPr="00472DB8">
        <w:rPr>
          <w:rFonts w:ascii="Times" w:hAnsi="Times" w:cs="Times"/>
        </w:rPr>
        <w:t>Prometheus</w:t>
      </w:r>
      <w:r w:rsidRPr="00472DB8">
        <w:rPr>
          <w:rFonts w:ascii="Times" w:hAnsi="Times" w:cs="Times"/>
        </w:rPr>
        <w:t xml:space="preserve">’s </w:t>
      </w:r>
      <w:r w:rsidR="00B80D29" w:rsidRPr="00472DB8">
        <w:rPr>
          <w:rFonts w:ascii="Times" w:hAnsi="Times" w:cs="Times"/>
        </w:rPr>
        <w:t>request</w:t>
      </w:r>
      <w:r w:rsidRPr="00472DB8">
        <w:rPr>
          <w:rFonts w:ascii="Times" w:hAnsi="Times" w:cs="Times"/>
        </w:rPr>
        <w:t xml:space="preserve">, NTA suggests revision of </w:t>
      </w:r>
      <w:r w:rsidR="007B309B" w:rsidRPr="00472DB8">
        <w:rPr>
          <w:rFonts w:ascii="Times" w:hAnsi="Times" w:cs="Times"/>
        </w:rPr>
        <w:t xml:space="preserve">Section </w:t>
      </w:r>
      <w:r w:rsidRPr="00472DB8">
        <w:rPr>
          <w:rFonts w:ascii="Times" w:hAnsi="Times" w:cs="Times"/>
        </w:rPr>
        <w:t xml:space="preserve">73.827(b) to allow </w:t>
      </w:r>
      <w:r w:rsidR="0074728B" w:rsidRPr="00472DB8">
        <w:rPr>
          <w:rFonts w:ascii="Times" w:hAnsi="Times" w:cs="Times"/>
        </w:rPr>
        <w:t xml:space="preserve">FM translator licensees </w:t>
      </w:r>
      <w:r w:rsidRPr="00472DB8">
        <w:rPr>
          <w:rFonts w:ascii="Times" w:hAnsi="Times" w:cs="Times"/>
        </w:rPr>
        <w:t xml:space="preserve">to change input sources as needed, at any time, and allow affected LPFM applicants to </w:t>
      </w:r>
      <w:r w:rsidR="0074728B" w:rsidRPr="00472DB8">
        <w:rPr>
          <w:rFonts w:ascii="Times" w:hAnsi="Times" w:cs="Times"/>
        </w:rPr>
        <w:t>file</w:t>
      </w:r>
      <w:r w:rsidR="00C23CD6" w:rsidRPr="00472DB8">
        <w:rPr>
          <w:rFonts w:ascii="Times" w:hAnsi="Times" w:cs="Times"/>
        </w:rPr>
        <w:t>, where necessary,</w:t>
      </w:r>
      <w:r w:rsidR="0074728B" w:rsidRPr="00472DB8">
        <w:rPr>
          <w:rFonts w:ascii="Times" w:hAnsi="Times" w:cs="Times"/>
        </w:rPr>
        <w:t xml:space="preserve"> displacement modification applications</w:t>
      </w:r>
      <w:r w:rsidRPr="00472DB8">
        <w:rPr>
          <w:rFonts w:ascii="Times" w:hAnsi="Times" w:cs="Times"/>
        </w:rPr>
        <w:t>.</w:t>
      </w:r>
      <w:r w:rsidRPr="00472DB8">
        <w:rPr>
          <w:rStyle w:val="FootnoteReference"/>
          <w:rFonts w:ascii="Times" w:hAnsi="Times" w:cs="Times"/>
        </w:rPr>
        <w:footnoteReference w:id="85"/>
      </w:r>
      <w:r w:rsidRPr="00472DB8">
        <w:rPr>
          <w:rFonts w:ascii="Times" w:hAnsi="Times" w:cs="Times"/>
        </w:rPr>
        <w:t xml:space="preserve">  </w:t>
      </w:r>
      <w:r w:rsidR="00313071" w:rsidRPr="00472DB8">
        <w:rPr>
          <w:rFonts w:ascii="Times" w:hAnsi="Times" w:cs="Times"/>
        </w:rPr>
        <w:t xml:space="preserve">Further, while </w:t>
      </w:r>
      <w:r w:rsidRPr="00472DB8">
        <w:rPr>
          <w:rFonts w:ascii="Times" w:hAnsi="Times" w:cs="Times"/>
        </w:rPr>
        <w:t xml:space="preserve">NTA suggests that </w:t>
      </w:r>
      <w:r w:rsidR="00C23CD6" w:rsidRPr="00472DB8">
        <w:rPr>
          <w:rFonts w:ascii="Times" w:hAnsi="Times" w:cs="Times"/>
        </w:rPr>
        <w:t xml:space="preserve">the Media Bureau </w:t>
      </w:r>
      <w:r w:rsidR="00313071" w:rsidRPr="00472DB8">
        <w:rPr>
          <w:rFonts w:ascii="Times" w:hAnsi="Times" w:cs="Times"/>
        </w:rPr>
        <w:t xml:space="preserve"> </w:t>
      </w:r>
      <w:r w:rsidR="0087594D" w:rsidRPr="00472DB8">
        <w:rPr>
          <w:rFonts w:ascii="Times" w:hAnsi="Times" w:cs="Times"/>
        </w:rPr>
        <w:t>protect</w:t>
      </w:r>
      <w:r w:rsidRPr="00472DB8">
        <w:rPr>
          <w:rFonts w:ascii="Times" w:hAnsi="Times" w:cs="Times"/>
        </w:rPr>
        <w:t xml:space="preserve"> change</w:t>
      </w:r>
      <w:r w:rsidR="0087594D" w:rsidRPr="00472DB8">
        <w:rPr>
          <w:rFonts w:ascii="Times" w:hAnsi="Times" w:cs="Times"/>
        </w:rPr>
        <w:t>s</w:t>
      </w:r>
      <w:r w:rsidRPr="00472DB8">
        <w:rPr>
          <w:rFonts w:ascii="Times" w:hAnsi="Times" w:cs="Times"/>
        </w:rPr>
        <w:t xml:space="preserve"> </w:t>
      </w:r>
      <w:r w:rsidR="0087594D" w:rsidRPr="00472DB8">
        <w:rPr>
          <w:rFonts w:ascii="Times" w:hAnsi="Times" w:cs="Times"/>
        </w:rPr>
        <w:t xml:space="preserve">to </w:t>
      </w:r>
      <w:r w:rsidR="0074728B" w:rsidRPr="00472DB8">
        <w:rPr>
          <w:rFonts w:ascii="Times" w:hAnsi="Times" w:cs="Times"/>
        </w:rPr>
        <w:t>signal</w:t>
      </w:r>
      <w:r w:rsidRPr="00472DB8">
        <w:rPr>
          <w:rFonts w:ascii="Times" w:hAnsi="Times" w:cs="Times"/>
        </w:rPr>
        <w:t xml:space="preserve"> inputs </w:t>
      </w:r>
      <w:r w:rsidR="00313071" w:rsidRPr="00472DB8">
        <w:rPr>
          <w:rFonts w:ascii="Times" w:hAnsi="Times" w:cs="Times"/>
        </w:rPr>
        <w:t xml:space="preserve">up to the point </w:t>
      </w:r>
      <w:r w:rsidR="0087594D" w:rsidRPr="00472DB8">
        <w:rPr>
          <w:rFonts w:ascii="Times" w:hAnsi="Times" w:cs="Times"/>
        </w:rPr>
        <w:t xml:space="preserve">the Bureau </w:t>
      </w:r>
      <w:r w:rsidR="0074728B" w:rsidRPr="00472DB8">
        <w:rPr>
          <w:rFonts w:ascii="Times" w:hAnsi="Times" w:cs="Times"/>
        </w:rPr>
        <w:t>establishes a</w:t>
      </w:r>
      <w:r w:rsidR="0087594D" w:rsidRPr="00472DB8">
        <w:rPr>
          <w:rFonts w:ascii="Times" w:hAnsi="Times" w:cs="Times"/>
        </w:rPr>
        <w:t xml:space="preserve"> translator</w:t>
      </w:r>
      <w:r w:rsidR="005A7561" w:rsidRPr="00472DB8">
        <w:rPr>
          <w:rFonts w:ascii="Times" w:hAnsi="Times" w:cs="Times"/>
        </w:rPr>
        <w:t xml:space="preserve"> application filing</w:t>
      </w:r>
      <w:r w:rsidR="0074728B" w:rsidRPr="00472DB8">
        <w:rPr>
          <w:rFonts w:ascii="Times" w:hAnsi="Times" w:cs="Times"/>
        </w:rPr>
        <w:t xml:space="preserve"> freeze prior to the LPFM </w:t>
      </w:r>
      <w:r w:rsidRPr="00472DB8">
        <w:rPr>
          <w:rFonts w:ascii="Times" w:hAnsi="Times" w:cs="Times"/>
        </w:rPr>
        <w:t>filing window</w:t>
      </w:r>
      <w:r w:rsidR="00313071" w:rsidRPr="00472DB8">
        <w:rPr>
          <w:rFonts w:ascii="Times" w:hAnsi="Times" w:cs="Times"/>
        </w:rPr>
        <w:t>, NTA also appears to acknowledge that LPFM window applicants will not be required to protect translator input signal changes made after the window</w:t>
      </w:r>
      <w:r w:rsidRPr="00472DB8">
        <w:rPr>
          <w:rFonts w:ascii="Times" w:hAnsi="Times" w:cs="Times"/>
        </w:rPr>
        <w:t>.</w:t>
      </w:r>
      <w:r w:rsidRPr="00472DB8">
        <w:rPr>
          <w:rStyle w:val="FootnoteReference"/>
          <w:rFonts w:ascii="Times" w:hAnsi="Times" w:cs="Times"/>
        </w:rPr>
        <w:footnoteReference w:id="86"/>
      </w:r>
      <w:r w:rsidR="00840E6C" w:rsidRPr="00472DB8">
        <w:rPr>
          <w:rFonts w:ascii="Times" w:hAnsi="Times" w:cs="Times"/>
        </w:rPr>
        <w:t xml:space="preserve"> </w:t>
      </w:r>
      <w:r w:rsidRPr="00472DB8">
        <w:rPr>
          <w:rFonts w:ascii="Times" w:hAnsi="Times" w:cs="Times"/>
        </w:rPr>
        <w:t> </w:t>
      </w:r>
      <w:r w:rsidR="00104D93" w:rsidRPr="00472DB8">
        <w:rPr>
          <w:rFonts w:ascii="Times" w:hAnsi="Times" w:cs="Times"/>
        </w:rPr>
        <w:t>Prometheus</w:t>
      </w:r>
      <w:r w:rsidRPr="00472DB8">
        <w:rPr>
          <w:rFonts w:ascii="Times" w:hAnsi="Times" w:cs="Times"/>
        </w:rPr>
        <w:t xml:space="preserve"> </w:t>
      </w:r>
      <w:r w:rsidR="00313071" w:rsidRPr="00472DB8">
        <w:rPr>
          <w:rFonts w:ascii="Times" w:hAnsi="Times" w:cs="Times"/>
        </w:rPr>
        <w:t xml:space="preserve">agrees </w:t>
      </w:r>
      <w:r w:rsidRPr="00472DB8">
        <w:rPr>
          <w:rFonts w:ascii="Times" w:hAnsi="Times" w:cs="Times"/>
        </w:rPr>
        <w:t xml:space="preserve">that while translators “may change their input signals as needed, these newly changed signals cannot be considered primary to previously filed LPFM applications </w:t>
      </w:r>
      <w:r w:rsidR="00C23CD6" w:rsidRPr="00472DB8">
        <w:rPr>
          <w:rFonts w:ascii="Times" w:hAnsi="Times" w:cs="Times"/>
        </w:rPr>
        <w:t>. . .</w:t>
      </w:r>
      <w:r w:rsidR="00840E6C" w:rsidRPr="00472DB8">
        <w:rPr>
          <w:rFonts w:ascii="Times" w:hAnsi="Times" w:cs="Times"/>
        </w:rPr>
        <w:t xml:space="preserve"> </w:t>
      </w:r>
      <w:r w:rsidRPr="00472DB8">
        <w:rPr>
          <w:rFonts w:ascii="Times" w:hAnsi="Times" w:cs="Times"/>
        </w:rPr>
        <w:t>[which] would violate the co-equal status of LPFM stations and translators.”</w:t>
      </w:r>
      <w:r w:rsidRPr="00472DB8">
        <w:rPr>
          <w:rStyle w:val="FootnoteReference"/>
          <w:rFonts w:ascii="Times" w:hAnsi="Times" w:cs="Times"/>
        </w:rPr>
        <w:footnoteReference w:id="87"/>
      </w:r>
      <w:r w:rsidRPr="00472DB8">
        <w:rPr>
          <w:rFonts w:ascii="Times" w:hAnsi="Times" w:cs="Times"/>
        </w:rPr>
        <w:t xml:space="preserve">  </w:t>
      </w:r>
    </w:p>
    <w:p w14:paraId="2CF1DFEE" w14:textId="77777777" w:rsidR="00C11918" w:rsidRPr="00472DB8" w:rsidRDefault="00C11918" w:rsidP="00E75380">
      <w:pPr>
        <w:pStyle w:val="ListParagraph"/>
        <w:jc w:val="left"/>
        <w:rPr>
          <w:rFonts w:ascii="Times" w:hAnsi="Times" w:cs="Times"/>
        </w:rPr>
      </w:pPr>
    </w:p>
    <w:p w14:paraId="0818729F" w14:textId="0278530A" w:rsidR="00C11918" w:rsidRPr="00472DB8" w:rsidRDefault="00C11918" w:rsidP="00E75380">
      <w:pPr>
        <w:pStyle w:val="FootnoteText"/>
        <w:numPr>
          <w:ilvl w:val="0"/>
          <w:numId w:val="16"/>
        </w:numPr>
        <w:spacing w:after="120"/>
        <w:ind w:left="0"/>
        <w:jc w:val="left"/>
        <w:rPr>
          <w:rFonts w:ascii="Times" w:hAnsi="Times" w:cs="Times"/>
          <w:sz w:val="22"/>
        </w:rPr>
      </w:pPr>
      <w:r w:rsidRPr="00472DB8">
        <w:rPr>
          <w:rFonts w:ascii="Times" w:hAnsi="Times" w:cs="Times"/>
          <w:sz w:val="22"/>
        </w:rPr>
        <w:t xml:space="preserve">As an initial matter, while NPR is correct that Prometheus could have raised this issue earlier, </w:t>
      </w:r>
      <w:r w:rsidR="00AE44DA" w:rsidRPr="00472DB8">
        <w:rPr>
          <w:rFonts w:ascii="Times" w:hAnsi="Times" w:cs="Times"/>
          <w:sz w:val="22"/>
        </w:rPr>
        <w:t xml:space="preserve">for the reason discussed below, </w:t>
      </w:r>
      <w:r w:rsidRPr="00472DB8">
        <w:rPr>
          <w:rFonts w:ascii="Times" w:hAnsi="Times" w:cs="Times"/>
          <w:sz w:val="22"/>
          <w:szCs w:val="22"/>
        </w:rPr>
        <w:t>we believe it is in the public interest to consider the merits of the argument.</w:t>
      </w:r>
      <w:r w:rsidRPr="00472DB8">
        <w:rPr>
          <w:rStyle w:val="FootnoteReference"/>
          <w:rFonts w:ascii="Times" w:hAnsi="Times" w:cs="Times"/>
          <w:sz w:val="22"/>
          <w:szCs w:val="22"/>
        </w:rPr>
        <w:footnoteReference w:id="88"/>
      </w:r>
      <w:r w:rsidRPr="00472DB8">
        <w:rPr>
          <w:rFonts w:ascii="Times" w:hAnsi="Times" w:cs="Times"/>
        </w:rPr>
        <w:t xml:space="preserve">  </w:t>
      </w:r>
      <w:r w:rsidRPr="00472DB8">
        <w:rPr>
          <w:rFonts w:ascii="Times" w:hAnsi="Times" w:cs="Times"/>
          <w:sz w:val="22"/>
        </w:rPr>
        <w:t xml:space="preserve">Under the Commission’s “cut-off” rules as between LPFM and FM translator filings, a prior-filed application in one service </w:t>
      </w:r>
      <w:r w:rsidRPr="00472DB8">
        <w:rPr>
          <w:rFonts w:ascii="Times" w:hAnsi="Times" w:cs="Times"/>
          <w:sz w:val="22"/>
          <w:szCs w:val="22"/>
        </w:rPr>
        <w:t xml:space="preserve">generally </w:t>
      </w:r>
      <w:r w:rsidRPr="00472DB8">
        <w:rPr>
          <w:rFonts w:ascii="Times" w:hAnsi="Times" w:cs="Times"/>
          <w:sz w:val="22"/>
        </w:rPr>
        <w:t>“cuts off” a subsequently-filed application in the other service.</w:t>
      </w:r>
      <w:r w:rsidRPr="00472DB8">
        <w:rPr>
          <w:rStyle w:val="FootnoteReference"/>
          <w:rFonts w:ascii="Times" w:hAnsi="Times" w:cs="Times"/>
          <w:sz w:val="22"/>
        </w:rPr>
        <w:footnoteReference w:id="89"/>
      </w:r>
      <w:r w:rsidRPr="00472DB8">
        <w:rPr>
          <w:rFonts w:ascii="Times" w:hAnsi="Times" w:cs="Times"/>
          <w:sz w:val="22"/>
        </w:rPr>
        <w:t xml:space="preserve">  </w:t>
      </w:r>
      <w:r w:rsidRPr="00472DB8">
        <w:rPr>
          <w:rFonts w:ascii="Times" w:hAnsi="Times" w:cs="Times"/>
          <w:sz w:val="22"/>
          <w:szCs w:val="22"/>
        </w:rPr>
        <w:t xml:space="preserve">However, </w:t>
      </w:r>
      <w:r w:rsidRPr="00472DB8">
        <w:rPr>
          <w:rFonts w:ascii="Times" w:hAnsi="Times" w:cs="Times"/>
          <w:sz w:val="22"/>
        </w:rPr>
        <w:t xml:space="preserve">Section 73.807(c) </w:t>
      </w:r>
      <w:r w:rsidRPr="00472DB8">
        <w:rPr>
          <w:rFonts w:ascii="Times" w:hAnsi="Times" w:cs="Times"/>
          <w:sz w:val="22"/>
          <w:szCs w:val="22"/>
        </w:rPr>
        <w:t>provides a different cut-off rule with regard</w:t>
      </w:r>
      <w:r w:rsidRPr="00472DB8">
        <w:rPr>
          <w:rFonts w:ascii="Times" w:hAnsi="Times" w:cs="Times"/>
          <w:sz w:val="22"/>
        </w:rPr>
        <w:t xml:space="preserve"> to </w:t>
      </w:r>
      <w:r w:rsidRPr="00472DB8">
        <w:rPr>
          <w:rFonts w:ascii="Times" w:hAnsi="Times" w:cs="Times"/>
          <w:sz w:val="22"/>
          <w:szCs w:val="22"/>
        </w:rPr>
        <w:t>LPFM window filings.  Only</w:t>
      </w:r>
      <w:r w:rsidRPr="00472DB8">
        <w:rPr>
          <w:rFonts w:ascii="Times" w:hAnsi="Times" w:cs="Times"/>
          <w:sz w:val="22"/>
        </w:rPr>
        <w:t xml:space="preserve"> FM translator authorizations and applications filed prior to the release of the </w:t>
      </w:r>
      <w:r w:rsidRPr="00472DB8">
        <w:rPr>
          <w:rFonts w:ascii="Times" w:hAnsi="Times" w:cs="Times"/>
          <w:sz w:val="22"/>
          <w:szCs w:val="22"/>
        </w:rPr>
        <w:t>public notice</w:t>
      </w:r>
      <w:r w:rsidRPr="00472DB8">
        <w:rPr>
          <w:rFonts w:ascii="Times" w:hAnsi="Times" w:cs="Times"/>
          <w:sz w:val="22"/>
        </w:rPr>
        <w:t xml:space="preserve"> announcing the LPFM window</w:t>
      </w:r>
      <w:r w:rsidRPr="00472DB8">
        <w:rPr>
          <w:rFonts w:ascii="Times" w:hAnsi="Times" w:cs="Times"/>
          <w:sz w:val="22"/>
          <w:szCs w:val="22"/>
        </w:rPr>
        <w:t xml:space="preserve"> are cut-off from window-filed applications</w:t>
      </w:r>
      <w:r w:rsidRPr="00472DB8">
        <w:rPr>
          <w:rFonts w:ascii="Times" w:hAnsi="Times" w:cs="Times"/>
          <w:sz w:val="22"/>
        </w:rPr>
        <w:t xml:space="preserve">.  This requirement provides stability and certainty to LPFM applicants regarding the LPFM applicants’ protection responsibilities when they are searching for available frequencies.  To ensure continued stability and certainty, we will apply this same policy to input signals.  </w:t>
      </w:r>
      <w:r w:rsidRPr="00472DB8">
        <w:rPr>
          <w:rFonts w:ascii="Times" w:hAnsi="Times" w:cs="Times"/>
          <w:sz w:val="22"/>
          <w:szCs w:val="22"/>
        </w:rPr>
        <w:t xml:space="preserve">Moreover, we find that this cut-off rule is the best way to give effect to the LCRA Section 5 requirement that the two services remain “equal in status.”  </w:t>
      </w:r>
      <w:r w:rsidRPr="00472DB8">
        <w:rPr>
          <w:rFonts w:ascii="Times" w:hAnsi="Times" w:cs="Times"/>
          <w:sz w:val="22"/>
        </w:rPr>
        <w:t xml:space="preserve">Thus, an application for an LPFM station must protect an input signal that is in use </w:t>
      </w:r>
      <w:r w:rsidRPr="00472DB8">
        <w:rPr>
          <w:rFonts w:ascii="Times" w:hAnsi="Times" w:cs="Times"/>
          <w:sz w:val="22"/>
          <w:szCs w:val="22"/>
        </w:rPr>
        <w:t>or proposed in an application filed with the Commission prior to the release</w:t>
      </w:r>
      <w:r w:rsidRPr="00472DB8">
        <w:rPr>
          <w:rFonts w:ascii="Times" w:hAnsi="Times" w:cs="Times"/>
          <w:sz w:val="22"/>
        </w:rPr>
        <w:t xml:space="preserve"> of the public notice announcing the dates for the LPFM filing window.</w:t>
      </w:r>
      <w:r w:rsidRPr="00472DB8">
        <w:rPr>
          <w:rStyle w:val="FootnoteReference"/>
          <w:rFonts w:ascii="Times" w:hAnsi="Times" w:cs="Times"/>
          <w:sz w:val="22"/>
        </w:rPr>
        <w:footnoteReference w:id="90"/>
      </w:r>
      <w:r w:rsidRPr="00472DB8" w:rsidDel="002A074F">
        <w:rPr>
          <w:rFonts w:ascii="Times" w:hAnsi="Times" w:cs="Times"/>
          <w:sz w:val="22"/>
          <w:szCs w:val="22"/>
        </w:rPr>
        <w:t xml:space="preserve"> </w:t>
      </w:r>
      <w:r w:rsidRPr="00472DB8">
        <w:rPr>
          <w:rFonts w:ascii="Times" w:hAnsi="Times" w:cs="Times"/>
          <w:sz w:val="22"/>
          <w:szCs w:val="22"/>
        </w:rPr>
        <w:t>Contrary to NPR’s assertion, this policy is consistent with the plain language of Section 6 of the LCRA’s requirement that the Commission address the potential for predicted interference to FM translator input signals;</w:t>
      </w:r>
      <w:r w:rsidRPr="00472DB8">
        <w:rPr>
          <w:rStyle w:val="FootnoteReference"/>
          <w:rFonts w:ascii="Times" w:hAnsi="Times" w:cs="Times"/>
          <w:sz w:val="22"/>
          <w:szCs w:val="22"/>
        </w:rPr>
        <w:footnoteReference w:id="91"/>
      </w:r>
      <w:r w:rsidRPr="00472DB8">
        <w:rPr>
          <w:rFonts w:ascii="Times" w:hAnsi="Times" w:cs="Times"/>
          <w:sz w:val="22"/>
          <w:szCs w:val="22"/>
        </w:rPr>
        <w:t xml:space="preserve"> Section 6 does not restrict the Commission’s authority to establish cut-off rights for both LPFM and FM translator </w:t>
      </w:r>
      <w:r w:rsidR="004634F0" w:rsidRPr="00472DB8">
        <w:rPr>
          <w:rFonts w:ascii="Times" w:hAnsi="Times" w:cs="Times"/>
          <w:sz w:val="22"/>
          <w:szCs w:val="22"/>
        </w:rPr>
        <w:t xml:space="preserve">stations </w:t>
      </w:r>
      <w:r w:rsidRPr="00472DB8">
        <w:rPr>
          <w:rFonts w:ascii="Times" w:hAnsi="Times" w:cs="Times"/>
          <w:sz w:val="22"/>
          <w:szCs w:val="22"/>
        </w:rPr>
        <w:t>regarding translator input signals.</w:t>
      </w:r>
      <w:r w:rsidRPr="00472DB8">
        <w:rPr>
          <w:rFonts w:ascii="Times" w:hAnsi="Times" w:cs="Times"/>
        </w:rPr>
        <w:t xml:space="preserve">  </w:t>
      </w:r>
      <w:r w:rsidRPr="00472DB8">
        <w:rPr>
          <w:rFonts w:ascii="Times" w:hAnsi="Times" w:cs="Times"/>
          <w:sz w:val="22"/>
        </w:rPr>
        <w:t xml:space="preserve">  </w:t>
      </w:r>
    </w:p>
    <w:p w14:paraId="215533C4" w14:textId="77777777" w:rsidR="00E26889" w:rsidRPr="00472DB8" w:rsidRDefault="00E26889" w:rsidP="00E75380">
      <w:pPr>
        <w:pStyle w:val="ListParagraph"/>
        <w:ind w:left="0"/>
        <w:jc w:val="left"/>
        <w:rPr>
          <w:rFonts w:ascii="Times" w:hAnsi="Times" w:cs="Times"/>
        </w:rPr>
      </w:pPr>
    </w:p>
    <w:p w14:paraId="5CAFB746" w14:textId="53257747" w:rsidR="00191BEA" w:rsidRPr="00472DB8" w:rsidRDefault="00032715" w:rsidP="00E75380">
      <w:pPr>
        <w:pStyle w:val="ListParagraph"/>
        <w:numPr>
          <w:ilvl w:val="0"/>
          <w:numId w:val="16"/>
        </w:numPr>
        <w:ind w:left="0"/>
        <w:jc w:val="left"/>
        <w:rPr>
          <w:rFonts w:ascii="Times" w:hAnsi="Times" w:cs="Times"/>
        </w:rPr>
      </w:pPr>
      <w:r w:rsidRPr="00472DB8">
        <w:rPr>
          <w:rFonts w:ascii="Times" w:hAnsi="Times" w:cs="Times"/>
        </w:rPr>
        <w:t xml:space="preserve">We provide the following clarifications with regard to Section 73.827(b).  We agree with Prometheus that the phrase “in use” limits the applicability of the rule to the particular input signal that was in use as the input signal to </w:t>
      </w:r>
      <w:r w:rsidR="00D02699" w:rsidRPr="00472DB8">
        <w:rPr>
          <w:rFonts w:ascii="Times" w:hAnsi="Times" w:cs="Times"/>
        </w:rPr>
        <w:t>the protected</w:t>
      </w:r>
      <w:r w:rsidRPr="00472DB8">
        <w:rPr>
          <w:rFonts w:ascii="Times" w:hAnsi="Times" w:cs="Times"/>
        </w:rPr>
        <w:t xml:space="preserve"> FM translator</w:t>
      </w:r>
      <w:r w:rsidR="00D02699" w:rsidRPr="00472DB8">
        <w:rPr>
          <w:rFonts w:ascii="Times" w:hAnsi="Times" w:cs="Times"/>
        </w:rPr>
        <w:t xml:space="preserve"> station</w:t>
      </w:r>
      <w:r w:rsidRPr="00472DB8">
        <w:rPr>
          <w:rFonts w:ascii="Times" w:hAnsi="Times" w:cs="Times"/>
        </w:rPr>
        <w:t xml:space="preserve"> as of the release date of the LPFM window public notice.</w:t>
      </w:r>
      <w:r w:rsidR="00D02699" w:rsidRPr="00472DB8">
        <w:rPr>
          <w:rFonts w:ascii="Times" w:hAnsi="Times" w:cs="Times"/>
        </w:rPr>
        <w:t xml:space="preserve">  Second, as noted by Prometheus, the text of the rule</w:t>
      </w:r>
      <w:r w:rsidR="00D02699" w:rsidRPr="00472DB8">
        <w:rPr>
          <w:rFonts w:ascii="Times" w:hAnsi="Times" w:cs="Times"/>
          <w:i/>
        </w:rPr>
        <w:t xml:space="preserve"> </w:t>
      </w:r>
      <w:r w:rsidR="00D02699" w:rsidRPr="00472DB8">
        <w:rPr>
          <w:rFonts w:ascii="Times" w:hAnsi="Times" w:cs="Times"/>
        </w:rPr>
        <w:t>refers initially to “an FM translator or FM booster</w:t>
      </w:r>
      <w:r w:rsidR="0079662B" w:rsidRPr="00472DB8">
        <w:rPr>
          <w:rFonts w:ascii="Times" w:hAnsi="Times" w:cs="Times"/>
        </w:rPr>
        <w:t xml:space="preserve">” </w:t>
      </w:r>
      <w:r w:rsidR="00D02699" w:rsidRPr="00472DB8">
        <w:rPr>
          <w:rFonts w:ascii="Times" w:hAnsi="Times" w:cs="Times"/>
        </w:rPr>
        <w:t>but later only to “the FM booster.</w:t>
      </w:r>
      <w:r w:rsidR="0079662B" w:rsidRPr="00472DB8">
        <w:rPr>
          <w:rFonts w:ascii="Times" w:hAnsi="Times" w:cs="Times"/>
        </w:rPr>
        <w:t>”</w:t>
      </w:r>
      <w:r w:rsidR="00D02699" w:rsidRPr="00472DB8">
        <w:rPr>
          <w:rStyle w:val="FootnoteReference"/>
          <w:rFonts w:ascii="Times" w:hAnsi="Times" w:cs="Times"/>
        </w:rPr>
        <w:footnoteReference w:id="92"/>
      </w:r>
      <w:r w:rsidR="00D02699" w:rsidRPr="00472DB8">
        <w:rPr>
          <w:rFonts w:ascii="Times" w:hAnsi="Times" w:cs="Times"/>
        </w:rPr>
        <w:t xml:space="preserve">  </w:t>
      </w:r>
      <w:r w:rsidR="0079662B" w:rsidRPr="00472DB8">
        <w:rPr>
          <w:rFonts w:ascii="Times" w:hAnsi="Times" w:cs="Times"/>
        </w:rPr>
        <w:t xml:space="preserve">We agree that the rule should list both types of stations and that the rule should be amended accordingly.  For these reasons, </w:t>
      </w:r>
      <w:r w:rsidR="009C24F5" w:rsidRPr="00472DB8">
        <w:rPr>
          <w:rFonts w:ascii="Times" w:hAnsi="Times" w:cs="Times"/>
        </w:rPr>
        <w:t>w</w:t>
      </w:r>
      <w:r w:rsidR="00060130" w:rsidRPr="00472DB8">
        <w:rPr>
          <w:rFonts w:ascii="Times" w:hAnsi="Times" w:cs="Times"/>
        </w:rPr>
        <w:t xml:space="preserve">e will revise </w:t>
      </w:r>
      <w:r w:rsidR="0062527B" w:rsidRPr="00472DB8">
        <w:rPr>
          <w:rFonts w:ascii="Times" w:hAnsi="Times" w:cs="Times"/>
        </w:rPr>
        <w:t xml:space="preserve">Section 73.827(b) </w:t>
      </w:r>
      <w:r w:rsidR="00060130" w:rsidRPr="00472DB8">
        <w:rPr>
          <w:rFonts w:ascii="Times" w:hAnsi="Times" w:cs="Times"/>
        </w:rPr>
        <w:t xml:space="preserve">to read (with the new language in </w:t>
      </w:r>
      <w:r w:rsidR="00060130" w:rsidRPr="00472DB8">
        <w:rPr>
          <w:rFonts w:ascii="Times" w:hAnsi="Times" w:cs="Times"/>
          <w:i/>
        </w:rPr>
        <w:t>italics</w:t>
      </w:r>
      <w:r w:rsidR="009808D3" w:rsidRPr="00472DB8">
        <w:rPr>
          <w:rFonts w:ascii="Times" w:hAnsi="Times" w:cs="Times"/>
        </w:rPr>
        <w:t xml:space="preserve"> and</w:t>
      </w:r>
      <w:r w:rsidR="0074728B" w:rsidRPr="00472DB8">
        <w:rPr>
          <w:rFonts w:ascii="Times" w:hAnsi="Times" w:cs="Times"/>
        </w:rPr>
        <w:t xml:space="preserve"> deleted language in </w:t>
      </w:r>
      <w:r w:rsidR="0074728B" w:rsidRPr="00472DB8">
        <w:rPr>
          <w:rFonts w:ascii="Times" w:hAnsi="Times" w:cs="Times"/>
          <w:strike/>
        </w:rPr>
        <w:t>strikethrough</w:t>
      </w:r>
      <w:r w:rsidR="00060130" w:rsidRPr="00472DB8">
        <w:rPr>
          <w:rFonts w:ascii="Times" w:hAnsi="Times" w:cs="Times"/>
        </w:rPr>
        <w:t xml:space="preserve">):  </w:t>
      </w:r>
      <w:r w:rsidR="00D02699" w:rsidRPr="00472DB8">
        <w:rPr>
          <w:rFonts w:ascii="Times" w:hAnsi="Times" w:cs="Times"/>
        </w:rPr>
        <w:t>“</w:t>
      </w:r>
      <w:r w:rsidR="0062527B" w:rsidRPr="00472DB8">
        <w:rPr>
          <w:rFonts w:ascii="Times" w:hAnsi="Times" w:cs="Times"/>
        </w:rPr>
        <w:t xml:space="preserve">An authorized LPFM station will not be permitted to continue to operate if an FM translator or FM booster station demonstrates that the LPFM station is causing actual interference to the </w:t>
      </w:r>
      <w:r w:rsidR="0062527B" w:rsidRPr="00472DB8">
        <w:rPr>
          <w:rFonts w:ascii="Times" w:hAnsi="Times" w:cs="Times"/>
          <w:i/>
        </w:rPr>
        <w:t xml:space="preserve">FM translator or </w:t>
      </w:r>
      <w:r w:rsidR="0062527B" w:rsidRPr="00472DB8">
        <w:rPr>
          <w:rFonts w:ascii="Times" w:hAnsi="Times" w:cs="Times"/>
        </w:rPr>
        <w:t>FM booster station’s input signal, provided that the same input signal was in use</w:t>
      </w:r>
      <w:r w:rsidR="002D0E6C" w:rsidRPr="00472DB8">
        <w:rPr>
          <w:rFonts w:ascii="Times" w:hAnsi="Times" w:cs="Times"/>
        </w:rPr>
        <w:t xml:space="preserve"> </w:t>
      </w:r>
      <w:r w:rsidR="002D0E6C" w:rsidRPr="00472DB8">
        <w:rPr>
          <w:rFonts w:ascii="Times" w:hAnsi="Times" w:cs="Times"/>
          <w:i/>
        </w:rPr>
        <w:t xml:space="preserve">or proposed in an application </w:t>
      </w:r>
      <w:r w:rsidR="00BE6BB8" w:rsidRPr="00472DB8">
        <w:rPr>
          <w:rFonts w:ascii="Times" w:hAnsi="Times" w:cs="Times"/>
          <w:i/>
        </w:rPr>
        <w:t xml:space="preserve">filed </w:t>
      </w:r>
      <w:r w:rsidR="002D0E6C" w:rsidRPr="00472DB8">
        <w:rPr>
          <w:rFonts w:ascii="Times" w:hAnsi="Times" w:cs="Times"/>
          <w:i/>
        </w:rPr>
        <w:t>with the Commission</w:t>
      </w:r>
      <w:r w:rsidR="0062527B" w:rsidRPr="00472DB8">
        <w:rPr>
          <w:rFonts w:ascii="Times" w:hAnsi="Times" w:cs="Times"/>
        </w:rPr>
        <w:t xml:space="preserve"> </w:t>
      </w:r>
      <w:r w:rsidR="0062527B" w:rsidRPr="00472DB8">
        <w:rPr>
          <w:rFonts w:ascii="Times" w:hAnsi="Times" w:cs="Times"/>
          <w:strike/>
        </w:rPr>
        <w:t>at the time the LPFM station was authorized</w:t>
      </w:r>
      <w:r w:rsidR="0062527B" w:rsidRPr="00472DB8">
        <w:rPr>
          <w:rFonts w:ascii="Times" w:hAnsi="Times" w:cs="Times"/>
        </w:rPr>
        <w:t xml:space="preserve"> </w:t>
      </w:r>
      <w:r w:rsidR="00277157" w:rsidRPr="00472DB8">
        <w:rPr>
          <w:rFonts w:ascii="Times" w:hAnsi="Times" w:cs="Times"/>
          <w:i/>
        </w:rPr>
        <w:t xml:space="preserve">prior to the release of the </w:t>
      </w:r>
      <w:r w:rsidR="003B72F8" w:rsidRPr="00472DB8">
        <w:rPr>
          <w:rFonts w:ascii="Times" w:hAnsi="Times" w:cs="Times"/>
          <w:i/>
        </w:rPr>
        <w:t>p</w:t>
      </w:r>
      <w:r w:rsidR="00277157" w:rsidRPr="00472DB8">
        <w:rPr>
          <w:rFonts w:ascii="Times" w:hAnsi="Times" w:cs="Times"/>
          <w:i/>
        </w:rPr>
        <w:t xml:space="preserve">ublic </w:t>
      </w:r>
      <w:r w:rsidR="003B72F8" w:rsidRPr="00472DB8">
        <w:rPr>
          <w:rFonts w:ascii="Times" w:hAnsi="Times" w:cs="Times"/>
          <w:i/>
        </w:rPr>
        <w:t>n</w:t>
      </w:r>
      <w:r w:rsidR="0062527B" w:rsidRPr="00472DB8">
        <w:rPr>
          <w:rFonts w:ascii="Times" w:hAnsi="Times" w:cs="Times"/>
          <w:i/>
        </w:rPr>
        <w:t xml:space="preserve">otice announcing </w:t>
      </w:r>
      <w:r w:rsidR="0074728B" w:rsidRPr="00472DB8">
        <w:rPr>
          <w:rFonts w:ascii="Times" w:hAnsi="Times" w:cs="Times"/>
          <w:i/>
        </w:rPr>
        <w:t xml:space="preserve">the dates for </w:t>
      </w:r>
      <w:r w:rsidR="0062527B" w:rsidRPr="00472DB8">
        <w:rPr>
          <w:rFonts w:ascii="Times" w:hAnsi="Times" w:cs="Times"/>
          <w:i/>
        </w:rPr>
        <w:t xml:space="preserve">an LPFM application </w:t>
      </w:r>
      <w:r w:rsidR="0074728B" w:rsidRPr="00472DB8">
        <w:rPr>
          <w:rFonts w:ascii="Times" w:hAnsi="Times" w:cs="Times"/>
          <w:i/>
        </w:rPr>
        <w:t xml:space="preserve">filing </w:t>
      </w:r>
      <w:r w:rsidR="0062527B" w:rsidRPr="00472DB8">
        <w:rPr>
          <w:rFonts w:ascii="Times" w:hAnsi="Times" w:cs="Times"/>
          <w:i/>
        </w:rPr>
        <w:t>window</w:t>
      </w:r>
      <w:r w:rsidR="0074728B" w:rsidRPr="00472DB8">
        <w:rPr>
          <w:rFonts w:ascii="Times" w:hAnsi="Times" w:cs="Times"/>
          <w:i/>
        </w:rPr>
        <w:t xml:space="preserve"> and has been continuously in use </w:t>
      </w:r>
      <w:r w:rsidR="002D0E6C" w:rsidRPr="00472DB8">
        <w:rPr>
          <w:rFonts w:ascii="Times" w:hAnsi="Times" w:cs="Times"/>
          <w:i/>
        </w:rPr>
        <w:t xml:space="preserve">or proposed </w:t>
      </w:r>
      <w:r w:rsidR="0074728B" w:rsidRPr="00472DB8">
        <w:rPr>
          <w:rFonts w:ascii="Times" w:hAnsi="Times" w:cs="Times"/>
          <w:i/>
        </w:rPr>
        <w:t>since that time</w:t>
      </w:r>
      <w:r w:rsidR="0062527B" w:rsidRPr="00472DB8">
        <w:rPr>
          <w:rFonts w:ascii="Times" w:hAnsi="Times" w:cs="Times"/>
        </w:rPr>
        <w:t>.</w:t>
      </w:r>
      <w:r w:rsidR="00D02699" w:rsidRPr="00472DB8">
        <w:rPr>
          <w:rFonts w:ascii="Times" w:hAnsi="Times" w:cs="Times"/>
        </w:rPr>
        <w:t>”</w:t>
      </w:r>
      <w:r w:rsidR="009C24F5" w:rsidRPr="00472DB8">
        <w:rPr>
          <w:rFonts w:ascii="Times" w:hAnsi="Times" w:cs="Times"/>
        </w:rPr>
        <w:t xml:space="preserve">  </w:t>
      </w:r>
    </w:p>
    <w:p w14:paraId="5C16E6CC" w14:textId="77777777" w:rsidR="00B4708C" w:rsidRPr="00472DB8" w:rsidRDefault="00B4708C" w:rsidP="00E75380">
      <w:pPr>
        <w:pStyle w:val="ListParagraph"/>
        <w:ind w:left="0" w:firstLine="0"/>
        <w:jc w:val="left"/>
        <w:rPr>
          <w:rFonts w:ascii="Times" w:hAnsi="Times" w:cs="Times"/>
        </w:rPr>
      </w:pPr>
    </w:p>
    <w:p w14:paraId="75A10F4D" w14:textId="3A71F191" w:rsidR="009808D3" w:rsidRPr="00472DB8" w:rsidRDefault="00177FFE" w:rsidP="00E75380">
      <w:pPr>
        <w:pStyle w:val="ListParagraph"/>
        <w:numPr>
          <w:ilvl w:val="0"/>
          <w:numId w:val="16"/>
        </w:numPr>
        <w:ind w:left="0"/>
        <w:jc w:val="left"/>
        <w:rPr>
          <w:rFonts w:ascii="Times" w:hAnsi="Times" w:cs="Times"/>
        </w:rPr>
      </w:pPr>
      <w:r w:rsidRPr="00472DB8">
        <w:rPr>
          <w:rFonts w:ascii="Times" w:hAnsi="Times" w:cs="Times"/>
        </w:rPr>
        <w:t xml:space="preserve">We will not adopt NTA’s suggestion to </w:t>
      </w:r>
      <w:r w:rsidR="00645061" w:rsidRPr="00472DB8">
        <w:rPr>
          <w:rFonts w:ascii="Times" w:hAnsi="Times" w:cs="Times"/>
        </w:rPr>
        <w:t xml:space="preserve">extend protection requirements to </w:t>
      </w:r>
      <w:r w:rsidR="00D02699" w:rsidRPr="00472DB8">
        <w:rPr>
          <w:rFonts w:ascii="Times" w:hAnsi="Times" w:cs="Times"/>
        </w:rPr>
        <w:t xml:space="preserve">input signal </w:t>
      </w:r>
      <w:r w:rsidRPr="00472DB8">
        <w:rPr>
          <w:rFonts w:ascii="Times" w:hAnsi="Times" w:cs="Times"/>
        </w:rPr>
        <w:t xml:space="preserve">changes </w:t>
      </w:r>
      <w:r w:rsidR="00645061" w:rsidRPr="00472DB8">
        <w:rPr>
          <w:rFonts w:ascii="Times" w:hAnsi="Times" w:cs="Times"/>
        </w:rPr>
        <w:t xml:space="preserve">made and applications </w:t>
      </w:r>
      <w:r w:rsidR="00645061" w:rsidRPr="0016098A">
        <w:rPr>
          <w:rFonts w:ascii="Times" w:hAnsi="Times" w:cs="Times"/>
        </w:rPr>
        <w:t xml:space="preserve">filed </w:t>
      </w:r>
      <w:r w:rsidR="0016098A" w:rsidRPr="0016098A">
        <w:rPr>
          <w:rFonts w:ascii="Times" w:hAnsi="Times" w:cs="Times"/>
        </w:rPr>
        <w:t>on or after June 17, 2013, the date of the release of the public notice announcing the LPFM window</w:t>
      </w:r>
      <w:r w:rsidR="001C262C">
        <w:rPr>
          <w:rFonts w:ascii="Times" w:hAnsi="Times" w:cs="Times"/>
        </w:rPr>
        <w:t>,</w:t>
      </w:r>
      <w:r w:rsidR="0016098A" w:rsidRPr="0016098A">
        <w:rPr>
          <w:rFonts w:ascii="Times" w:hAnsi="Times" w:cs="Times"/>
        </w:rPr>
        <w:t xml:space="preserve"> and prior to the LPFM window</w:t>
      </w:r>
      <w:r w:rsidRPr="00472DB8">
        <w:rPr>
          <w:rFonts w:ascii="Times" w:hAnsi="Times" w:cs="Times"/>
        </w:rPr>
        <w:t>.</w:t>
      </w:r>
      <w:r w:rsidR="0016098A">
        <w:rPr>
          <w:rStyle w:val="FootnoteReference"/>
          <w:rFonts w:ascii="Times" w:hAnsi="Times" w:cs="Times"/>
        </w:rPr>
        <w:footnoteReference w:id="93"/>
      </w:r>
      <w:r w:rsidRPr="00472DB8">
        <w:rPr>
          <w:rFonts w:ascii="Times" w:hAnsi="Times" w:cs="Times"/>
        </w:rPr>
        <w:t xml:space="preserve">  </w:t>
      </w:r>
      <w:r w:rsidR="00645061" w:rsidRPr="00472DB8">
        <w:rPr>
          <w:rFonts w:ascii="Times" w:hAnsi="Times" w:cs="Times"/>
        </w:rPr>
        <w:t>T</w:t>
      </w:r>
      <w:r w:rsidRPr="00472DB8">
        <w:rPr>
          <w:rFonts w:ascii="Times" w:hAnsi="Times" w:cs="Times"/>
        </w:rPr>
        <w:t xml:space="preserve">ranslator </w:t>
      </w:r>
      <w:r w:rsidR="00645061" w:rsidRPr="00472DB8">
        <w:rPr>
          <w:rFonts w:ascii="Times" w:hAnsi="Times" w:cs="Times"/>
        </w:rPr>
        <w:t xml:space="preserve">licensees may </w:t>
      </w:r>
      <w:r w:rsidRPr="00472DB8">
        <w:rPr>
          <w:rFonts w:ascii="Times" w:hAnsi="Times" w:cs="Times"/>
        </w:rPr>
        <w:t xml:space="preserve">change </w:t>
      </w:r>
      <w:r w:rsidR="007165FD" w:rsidRPr="00472DB8">
        <w:rPr>
          <w:rFonts w:ascii="Times" w:hAnsi="Times" w:cs="Times"/>
        </w:rPr>
        <w:t>their input signals as needed</w:t>
      </w:r>
      <w:r w:rsidR="00645061" w:rsidRPr="00472DB8">
        <w:rPr>
          <w:rFonts w:ascii="Times" w:hAnsi="Times" w:cs="Times"/>
        </w:rPr>
        <w:t xml:space="preserve"> during this period</w:t>
      </w:r>
      <w:r w:rsidR="007165FD" w:rsidRPr="00472DB8">
        <w:rPr>
          <w:rFonts w:ascii="Times" w:hAnsi="Times" w:cs="Times"/>
        </w:rPr>
        <w:t xml:space="preserve">.  However, pursuant to Section 5(c) of the LCRA’s mandate for co-equal status, these changes </w:t>
      </w:r>
      <w:r w:rsidR="00645061" w:rsidRPr="00472DB8">
        <w:rPr>
          <w:rFonts w:ascii="Times" w:hAnsi="Times" w:cs="Times"/>
        </w:rPr>
        <w:t xml:space="preserve">will cease to receive cut-off protection as of the release of the </w:t>
      </w:r>
      <w:r w:rsidR="007A09F6" w:rsidRPr="00472DB8">
        <w:rPr>
          <w:rFonts w:ascii="Times" w:hAnsi="Times" w:cs="Times"/>
        </w:rPr>
        <w:t xml:space="preserve">LPFM </w:t>
      </w:r>
      <w:r w:rsidR="00645061" w:rsidRPr="00472DB8">
        <w:rPr>
          <w:rFonts w:ascii="Times" w:hAnsi="Times" w:cs="Times"/>
        </w:rPr>
        <w:t>window public notice.</w:t>
      </w:r>
    </w:p>
    <w:p w14:paraId="3ED4EC17" w14:textId="77777777" w:rsidR="009808D3" w:rsidRPr="00472DB8" w:rsidRDefault="009808D3" w:rsidP="00E75380">
      <w:pPr>
        <w:pStyle w:val="ListParagraph"/>
        <w:ind w:left="0"/>
        <w:jc w:val="left"/>
        <w:rPr>
          <w:rFonts w:ascii="Times" w:hAnsi="Times" w:cs="Times"/>
        </w:rPr>
      </w:pPr>
    </w:p>
    <w:p w14:paraId="09721696" w14:textId="6E744F06" w:rsidR="00637AD4" w:rsidRPr="00472DB8" w:rsidRDefault="00637AD4" w:rsidP="00E75380">
      <w:pPr>
        <w:jc w:val="left"/>
        <w:rPr>
          <w:rFonts w:ascii="Times" w:hAnsi="Times" w:cs="Times"/>
          <w:b/>
        </w:rPr>
      </w:pPr>
      <w:r w:rsidRPr="00472DB8">
        <w:rPr>
          <w:rFonts w:ascii="Times" w:hAnsi="Times" w:cs="Times"/>
          <w:b/>
        </w:rPr>
        <w:t>D.</w:t>
      </w:r>
      <w:r w:rsidRPr="00472DB8">
        <w:rPr>
          <w:rFonts w:ascii="Times" w:hAnsi="Times" w:cs="Times"/>
          <w:b/>
        </w:rPr>
        <w:tab/>
      </w:r>
      <w:r w:rsidR="004724AD" w:rsidRPr="00472DB8">
        <w:rPr>
          <w:rFonts w:ascii="Times" w:hAnsi="Times" w:cs="Times"/>
          <w:b/>
        </w:rPr>
        <w:t>Protection Requirements Toward Certain Short-Spaced LPFM Stations</w:t>
      </w:r>
    </w:p>
    <w:p w14:paraId="78D91F01" w14:textId="77777777" w:rsidR="00637AD4" w:rsidRPr="00472DB8" w:rsidRDefault="00637AD4" w:rsidP="00E75380">
      <w:pPr>
        <w:jc w:val="left"/>
        <w:rPr>
          <w:rFonts w:ascii="Times" w:hAnsi="Times" w:cs="Times"/>
        </w:rPr>
      </w:pPr>
    </w:p>
    <w:p w14:paraId="56107D7C" w14:textId="2190A4E7" w:rsidR="004724AD" w:rsidRPr="00472DB8" w:rsidRDefault="000A199E" w:rsidP="00E75380">
      <w:pPr>
        <w:pStyle w:val="ListParagraph"/>
        <w:numPr>
          <w:ilvl w:val="0"/>
          <w:numId w:val="16"/>
        </w:numPr>
        <w:ind w:left="0"/>
        <w:jc w:val="left"/>
        <w:rPr>
          <w:rFonts w:ascii="Times" w:hAnsi="Times" w:cs="Times"/>
        </w:rPr>
      </w:pPr>
      <w:r w:rsidRPr="00472DB8">
        <w:rPr>
          <w:rStyle w:val="ptext-1"/>
          <w:rFonts w:ascii="Times" w:hAnsi="Times" w:cs="Times"/>
        </w:rPr>
        <w:t xml:space="preserve">  </w:t>
      </w:r>
      <w:r w:rsidR="004724AD" w:rsidRPr="00472DB8">
        <w:rPr>
          <w:rFonts w:ascii="Times" w:hAnsi="Times" w:cs="Times"/>
        </w:rPr>
        <w:t xml:space="preserve">Among other things, the </w:t>
      </w:r>
      <w:r w:rsidR="004724AD" w:rsidRPr="00472DB8">
        <w:rPr>
          <w:rFonts w:ascii="Times" w:hAnsi="Times" w:cs="Times"/>
          <w:i/>
        </w:rPr>
        <w:t>Sixth Report and Order</w:t>
      </w:r>
      <w:r w:rsidR="004724AD" w:rsidRPr="00472DB8">
        <w:rPr>
          <w:rFonts w:ascii="Times" w:hAnsi="Times" w:cs="Times"/>
        </w:rPr>
        <w:t xml:space="preserve"> implemented Section 3(b)(2)(A) of the LCRA, which permits LPFM stations to request waiver of the second-adjacent channel distance separation requirements with respect to any authorized radio service.</w:t>
      </w:r>
      <w:r w:rsidR="004724AD" w:rsidRPr="00472DB8">
        <w:rPr>
          <w:rStyle w:val="FootnoteReference"/>
          <w:rFonts w:ascii="Times" w:hAnsi="Times" w:cs="Times"/>
        </w:rPr>
        <w:footnoteReference w:id="94"/>
      </w:r>
      <w:r w:rsidR="004724AD" w:rsidRPr="00472DB8">
        <w:rPr>
          <w:rFonts w:ascii="Times" w:hAnsi="Times" w:cs="Times"/>
        </w:rPr>
        <w:t xml:space="preserve">  The Commission may grant a waiver if a waiver applicant demonstrates that its proposed operations “will not result in interference to any authorized radio service.”</w:t>
      </w:r>
      <w:r w:rsidR="004724AD" w:rsidRPr="00472DB8">
        <w:rPr>
          <w:rStyle w:val="FootnoteReference"/>
          <w:rFonts w:ascii="Times" w:hAnsi="Times" w:cs="Times"/>
        </w:rPr>
        <w:footnoteReference w:id="95"/>
      </w:r>
      <w:r w:rsidR="004724AD" w:rsidRPr="00472DB8">
        <w:rPr>
          <w:rFonts w:ascii="Times" w:hAnsi="Times" w:cs="Times"/>
        </w:rPr>
        <w:t xml:space="preserve">  One method in which waiver applicants can propose to eliminate interference </w:t>
      </w:r>
      <w:r w:rsidR="00852CF5" w:rsidRPr="00472DB8">
        <w:rPr>
          <w:rFonts w:ascii="Times" w:hAnsi="Times" w:cs="Times"/>
        </w:rPr>
        <w:t>is through</w:t>
      </w:r>
      <w:r w:rsidR="004724AD" w:rsidRPr="00472DB8">
        <w:rPr>
          <w:rFonts w:ascii="Times" w:hAnsi="Times" w:cs="Times"/>
        </w:rPr>
        <w:t xml:space="preserve"> the use of directional antennas.</w:t>
      </w:r>
      <w:r w:rsidR="004724AD" w:rsidRPr="00472DB8">
        <w:rPr>
          <w:rStyle w:val="FootnoteReference"/>
          <w:rFonts w:ascii="Times" w:hAnsi="Times" w:cs="Times"/>
        </w:rPr>
        <w:footnoteReference w:id="96"/>
      </w:r>
      <w:r w:rsidR="004724AD" w:rsidRPr="00472DB8">
        <w:rPr>
          <w:rFonts w:ascii="Times" w:hAnsi="Times" w:cs="Times"/>
        </w:rPr>
        <w:t xml:space="preserve">  The </w:t>
      </w:r>
      <w:r w:rsidR="004724AD" w:rsidRPr="00472DB8">
        <w:rPr>
          <w:rFonts w:ascii="Times" w:hAnsi="Times" w:cs="Times"/>
          <w:i/>
        </w:rPr>
        <w:t xml:space="preserve">Sixth Report and Order </w:t>
      </w:r>
      <w:r w:rsidR="004724AD" w:rsidRPr="00472DB8">
        <w:rPr>
          <w:rFonts w:ascii="Times" w:hAnsi="Times" w:cs="Times"/>
        </w:rPr>
        <w:t>made clear the protection obligations of subsequently filed FM translator applications toward LPFM stations using directional antennas</w:t>
      </w:r>
      <w:r w:rsidR="004724AD" w:rsidRPr="00472DB8" w:rsidDel="003A725B">
        <w:rPr>
          <w:rFonts w:ascii="Times" w:hAnsi="Times" w:cs="Times"/>
        </w:rPr>
        <w:t xml:space="preserve"> </w:t>
      </w:r>
      <w:r w:rsidR="004724AD" w:rsidRPr="00472DB8">
        <w:rPr>
          <w:rFonts w:ascii="Times" w:hAnsi="Times" w:cs="Times"/>
        </w:rPr>
        <w:t>to ensure interference-free operations.  Specifically, the Commission decided “[t]o simplify matters and provide clear guidance to FM translator applicants [by requiring] FM translator modification applications and applications for new FM translators to treat … LPFM stations [operating with directional antennas] as operating with non-directional antennas at their authorized power.”</w:t>
      </w:r>
      <w:r w:rsidR="004724AD" w:rsidRPr="00472DB8">
        <w:rPr>
          <w:rStyle w:val="FootnoteReference"/>
          <w:rFonts w:ascii="Times" w:hAnsi="Times" w:cs="Times"/>
        </w:rPr>
        <w:footnoteReference w:id="97"/>
      </w:r>
      <w:r w:rsidR="004724AD" w:rsidRPr="00472DB8">
        <w:rPr>
          <w:rFonts w:ascii="Times" w:hAnsi="Times" w:cs="Times"/>
        </w:rPr>
        <w:t xml:space="preserve">  </w:t>
      </w:r>
    </w:p>
    <w:p w14:paraId="51AAD94F" w14:textId="77777777" w:rsidR="004724AD" w:rsidRPr="00472DB8" w:rsidRDefault="004724AD" w:rsidP="00E75380">
      <w:pPr>
        <w:pStyle w:val="ListParagraph"/>
        <w:ind w:left="0"/>
        <w:jc w:val="left"/>
        <w:rPr>
          <w:rFonts w:ascii="Times" w:hAnsi="Times" w:cs="Times"/>
          <w:highlight w:val="yellow"/>
        </w:rPr>
      </w:pPr>
    </w:p>
    <w:p w14:paraId="31C895E9" w14:textId="3264B549" w:rsidR="00EB37A1" w:rsidRPr="00472DB8" w:rsidRDefault="004724AD" w:rsidP="00E75380">
      <w:pPr>
        <w:pStyle w:val="ListParagraph"/>
        <w:numPr>
          <w:ilvl w:val="0"/>
          <w:numId w:val="16"/>
        </w:numPr>
        <w:ind w:left="0"/>
        <w:jc w:val="left"/>
        <w:rPr>
          <w:rStyle w:val="ptext-1"/>
          <w:rFonts w:ascii="Times" w:hAnsi="Times" w:cs="Times"/>
        </w:rPr>
      </w:pPr>
      <w:r w:rsidRPr="00472DB8">
        <w:rPr>
          <w:rFonts w:ascii="Times" w:hAnsi="Times" w:cs="Times"/>
        </w:rPr>
        <w:t xml:space="preserve">Prometheus Radio Project (“Prometheus”) seeks clarification as to whether translator applicants’ obligations to protect LPFM stations using directional </w:t>
      </w:r>
      <w:r w:rsidR="00852CF5" w:rsidRPr="00472DB8">
        <w:rPr>
          <w:rFonts w:ascii="Times" w:hAnsi="Times" w:cs="Times"/>
        </w:rPr>
        <w:t>antennas will</w:t>
      </w:r>
      <w:r w:rsidRPr="00472DB8">
        <w:rPr>
          <w:rFonts w:ascii="Times" w:hAnsi="Times" w:cs="Times"/>
        </w:rPr>
        <w:t xml:space="preserve"> also apply to future LPFM new station and modification applications.  Specifically, Prometheus seeks clarification as to whether future LPFM applications or modifications will have to also treat LPFM stations using directional antennas as operating with non-directional antennas at their authorized power.</w:t>
      </w:r>
      <w:r w:rsidRPr="00472DB8">
        <w:rPr>
          <w:rStyle w:val="FootnoteReference"/>
          <w:rFonts w:ascii="Times" w:hAnsi="Times" w:cs="Times"/>
        </w:rPr>
        <w:footnoteReference w:id="98"/>
      </w:r>
      <w:r w:rsidRPr="00472DB8">
        <w:rPr>
          <w:rFonts w:ascii="Times" w:hAnsi="Times" w:cs="Times"/>
        </w:rPr>
        <w:t xml:space="preserve">  NTA suggests the Commission treat both FM translators and LPFM stations based on their actual operating (as opposed to their authorized) power and antenna patterns.</w:t>
      </w:r>
      <w:r w:rsidRPr="00472DB8">
        <w:rPr>
          <w:rStyle w:val="FootnoteReference"/>
          <w:rFonts w:ascii="Times" w:hAnsi="Times" w:cs="Times"/>
        </w:rPr>
        <w:footnoteReference w:id="99"/>
      </w:r>
      <w:r w:rsidRPr="00472DB8">
        <w:rPr>
          <w:rFonts w:ascii="Times" w:hAnsi="Times" w:cs="Times"/>
        </w:rPr>
        <w:t xml:space="preserve"> We expect minimal use of directional antennas and therefore decline to adopt this more complex licensing standard.  As noted in the </w:t>
      </w:r>
      <w:r w:rsidRPr="00472DB8">
        <w:rPr>
          <w:rFonts w:ascii="Times" w:hAnsi="Times" w:cs="Times"/>
          <w:i/>
        </w:rPr>
        <w:t>Sixth Report and Order</w:t>
      </w:r>
      <w:r w:rsidRPr="00472DB8">
        <w:rPr>
          <w:rFonts w:ascii="Times" w:hAnsi="Times" w:cs="Times"/>
        </w:rPr>
        <w:t xml:space="preserve">, </w:t>
      </w:r>
      <w:r w:rsidRPr="00472DB8">
        <w:rPr>
          <w:rFonts w:ascii="Times" w:eastAsia="Times New Roman" w:hAnsi="Times" w:cs="Times"/>
        </w:rPr>
        <w:t>the second</w:t>
      </w:r>
      <w:r w:rsidR="00065997" w:rsidRPr="00472DB8">
        <w:rPr>
          <w:rFonts w:ascii="Times" w:eastAsia="Times New Roman" w:hAnsi="Times" w:cs="Times"/>
        </w:rPr>
        <w:t>-</w:t>
      </w:r>
      <w:r w:rsidRPr="00472DB8">
        <w:rPr>
          <w:rFonts w:ascii="Times" w:eastAsia="Times New Roman" w:hAnsi="Times" w:cs="Times"/>
        </w:rPr>
        <w:t>adjacent channel interfering contour for LPFM stations will generally encompass only the area in the immediate vicinity of an LPFM station’s transmitter site.  Thus, directional antennas will have little value in limiting or eliminating the area where interference would be predicted to occur.</w:t>
      </w:r>
      <w:r w:rsidRPr="00472DB8">
        <w:rPr>
          <w:rStyle w:val="FootnoteReference"/>
          <w:rFonts w:ascii="Times" w:eastAsia="Times New Roman" w:hAnsi="Times" w:cs="Times"/>
        </w:rPr>
        <w:footnoteReference w:id="100"/>
      </w:r>
      <w:r w:rsidRPr="00472DB8">
        <w:rPr>
          <w:rFonts w:ascii="Times" w:eastAsia="Times New Roman" w:hAnsi="Times" w:cs="Times"/>
        </w:rPr>
        <w:t xml:space="preserve">  </w:t>
      </w:r>
      <w:r w:rsidRPr="00472DB8">
        <w:rPr>
          <w:rFonts w:ascii="Times" w:hAnsi="Times" w:cs="Times"/>
        </w:rPr>
        <w:t>For consistency and simplicity, we believe that it is appropriate that both FM translator and LPFM applicants should treat LPFM stations that are using directional antennas as operating non-directionally at their authorized power.</w:t>
      </w:r>
      <w:r w:rsidRPr="00472DB8">
        <w:rPr>
          <w:rStyle w:val="FootnoteReference"/>
          <w:rFonts w:ascii="Times" w:hAnsi="Times" w:cs="Times"/>
        </w:rPr>
        <w:footnoteReference w:id="101"/>
      </w:r>
    </w:p>
    <w:p w14:paraId="772BC8C8" w14:textId="77777777" w:rsidR="006D2172" w:rsidRPr="00472DB8" w:rsidRDefault="006D2172" w:rsidP="00E75380">
      <w:pPr>
        <w:jc w:val="left"/>
        <w:rPr>
          <w:rStyle w:val="ptext-1"/>
          <w:rFonts w:ascii="Times" w:hAnsi="Times" w:cs="Times"/>
        </w:rPr>
      </w:pPr>
    </w:p>
    <w:p w14:paraId="65C2A940" w14:textId="4FFCF1F0" w:rsidR="00EB37A1" w:rsidRPr="00472DB8" w:rsidRDefault="00EB37A1" w:rsidP="00E75380">
      <w:pPr>
        <w:jc w:val="left"/>
        <w:rPr>
          <w:rFonts w:ascii="Times" w:hAnsi="Times" w:cs="Times"/>
          <w:b/>
        </w:rPr>
      </w:pPr>
      <w:r w:rsidRPr="00472DB8">
        <w:rPr>
          <w:rStyle w:val="ptext-1"/>
          <w:rFonts w:ascii="Times" w:hAnsi="Times" w:cs="Times"/>
          <w:b/>
        </w:rPr>
        <w:t>E.</w:t>
      </w:r>
      <w:r w:rsidRPr="00472DB8">
        <w:rPr>
          <w:rStyle w:val="ptext-1"/>
          <w:rFonts w:ascii="Times" w:hAnsi="Times" w:cs="Times"/>
          <w:b/>
        </w:rPr>
        <w:tab/>
      </w:r>
      <w:r w:rsidR="000B08B9" w:rsidRPr="00472DB8">
        <w:rPr>
          <w:rFonts w:ascii="Times" w:hAnsi="Times" w:cs="Times"/>
          <w:b/>
        </w:rPr>
        <w:t>Periodic Announcements by Section 7(1) and Section 7(3) LPFM Stations</w:t>
      </w:r>
    </w:p>
    <w:p w14:paraId="3CEFC4C4" w14:textId="77777777" w:rsidR="000B08B9" w:rsidRPr="00472DB8" w:rsidRDefault="000B08B9" w:rsidP="00E75380">
      <w:pPr>
        <w:jc w:val="left"/>
        <w:rPr>
          <w:rFonts w:ascii="Times" w:hAnsi="Times" w:cs="Times"/>
          <w:b/>
        </w:rPr>
      </w:pPr>
    </w:p>
    <w:p w14:paraId="52DEF28D" w14:textId="77777777" w:rsidR="000B08B9" w:rsidRPr="00472DB8" w:rsidRDefault="000B08B9" w:rsidP="00E75380">
      <w:pPr>
        <w:pStyle w:val="ParaNum"/>
        <w:widowControl/>
        <w:numPr>
          <w:ilvl w:val="0"/>
          <w:numId w:val="16"/>
        </w:numPr>
        <w:spacing w:after="0"/>
        <w:ind w:left="0"/>
        <w:jc w:val="left"/>
        <w:rPr>
          <w:rFonts w:ascii="Times" w:hAnsi="Times" w:cs="Times"/>
          <w:szCs w:val="22"/>
        </w:rPr>
      </w:pPr>
      <w:r w:rsidRPr="00472DB8">
        <w:rPr>
          <w:rFonts w:ascii="Times" w:hAnsi="Times" w:cs="Times"/>
          <w:szCs w:val="22"/>
        </w:rPr>
        <w:t xml:space="preserve">In the </w:t>
      </w:r>
      <w:r w:rsidRPr="00472DB8">
        <w:rPr>
          <w:rFonts w:ascii="Times" w:hAnsi="Times" w:cs="Times"/>
          <w:i/>
          <w:szCs w:val="22"/>
        </w:rPr>
        <w:t xml:space="preserve">Sixth Report and Order </w:t>
      </w:r>
      <w:r w:rsidRPr="00472DB8">
        <w:rPr>
          <w:rFonts w:ascii="Times" w:hAnsi="Times" w:cs="Times"/>
          <w:szCs w:val="22"/>
        </w:rPr>
        <w:t>the Commission also addressed ambiguous language in Section 7 of the LCRA</w:t>
      </w:r>
      <w:r w:rsidRPr="00472DB8">
        <w:rPr>
          <w:rStyle w:val="FootnoteReference"/>
          <w:rFonts w:ascii="Times" w:hAnsi="Times" w:cs="Times"/>
          <w:szCs w:val="22"/>
        </w:rPr>
        <w:footnoteReference w:id="102"/>
      </w:r>
      <w:r w:rsidRPr="00472DB8">
        <w:rPr>
          <w:rFonts w:ascii="Times" w:hAnsi="Times" w:cs="Times"/>
          <w:szCs w:val="22"/>
        </w:rPr>
        <w:t xml:space="preserve"> and determined that Section 7 creates two different LPFM interference protection and remediation regimes, one for LPFM stations that would be short-spaced</w:t>
      </w:r>
      <w:r w:rsidRPr="00472DB8">
        <w:rPr>
          <w:rStyle w:val="FootnoteReference"/>
          <w:rFonts w:ascii="Times" w:hAnsi="Times" w:cs="Times"/>
          <w:szCs w:val="22"/>
        </w:rPr>
        <w:footnoteReference w:id="103"/>
      </w:r>
      <w:r w:rsidRPr="00472DB8">
        <w:rPr>
          <w:rFonts w:ascii="Times" w:hAnsi="Times" w:cs="Times"/>
          <w:szCs w:val="22"/>
        </w:rPr>
        <w:t xml:space="preserve"> under the third-adjacent channel spacing requirements in place when the LCRA was enacted (“Section 7(1) Stations”) and one for LPFM stations that would be fully spaced under those requirements (“Section 7(3) Stations”).</w:t>
      </w:r>
      <w:r w:rsidRPr="00472DB8">
        <w:rPr>
          <w:rStyle w:val="FootnoteReference"/>
          <w:rFonts w:ascii="Times" w:hAnsi="Times" w:cs="Times"/>
          <w:szCs w:val="22"/>
        </w:rPr>
        <w:footnoteReference w:id="104"/>
      </w:r>
      <w:r w:rsidRPr="00472DB8">
        <w:rPr>
          <w:rFonts w:ascii="Times" w:hAnsi="Times" w:cs="Times"/>
          <w:szCs w:val="22"/>
        </w:rPr>
        <w:t xml:space="preserve">  Thereafter, the Commission determined that the LCRA required Section 7(3) Stations, but not Section 7(1) Stations, to broadcast periodic announcements that alert listeners to the potential for interference and codified this requirement in Section 73.810(b)(2) of the Rules.</w:t>
      </w:r>
      <w:r w:rsidRPr="00472DB8">
        <w:rPr>
          <w:rStyle w:val="FootnoteReference"/>
          <w:rFonts w:ascii="Times" w:hAnsi="Times" w:cs="Times"/>
          <w:szCs w:val="22"/>
        </w:rPr>
        <w:footnoteReference w:id="105"/>
      </w:r>
      <w:r w:rsidRPr="00472DB8">
        <w:rPr>
          <w:rFonts w:ascii="Times" w:hAnsi="Times" w:cs="Times"/>
          <w:szCs w:val="22"/>
        </w:rPr>
        <w:t xml:space="preserve"> </w:t>
      </w:r>
    </w:p>
    <w:p w14:paraId="4E0BEA28" w14:textId="77777777" w:rsidR="000B08B9" w:rsidRPr="00472DB8" w:rsidRDefault="000B08B9" w:rsidP="00E75380">
      <w:pPr>
        <w:pStyle w:val="ParaNum"/>
        <w:widowControl/>
        <w:numPr>
          <w:ilvl w:val="0"/>
          <w:numId w:val="0"/>
        </w:numPr>
        <w:spacing w:after="0"/>
        <w:jc w:val="left"/>
        <w:rPr>
          <w:rFonts w:ascii="Times" w:hAnsi="Times" w:cs="Times"/>
          <w:szCs w:val="22"/>
        </w:rPr>
      </w:pPr>
    </w:p>
    <w:p w14:paraId="3A22DFB1" w14:textId="77777777" w:rsidR="000B08B9" w:rsidRPr="00472DB8" w:rsidRDefault="000B08B9" w:rsidP="00E75380">
      <w:pPr>
        <w:pStyle w:val="ParaNum"/>
        <w:widowControl/>
        <w:numPr>
          <w:ilvl w:val="0"/>
          <w:numId w:val="16"/>
        </w:numPr>
        <w:spacing w:after="0"/>
        <w:ind w:left="0"/>
        <w:jc w:val="left"/>
        <w:rPr>
          <w:rFonts w:ascii="Times" w:hAnsi="Times" w:cs="Times"/>
          <w:szCs w:val="22"/>
        </w:rPr>
      </w:pPr>
      <w:r w:rsidRPr="00472DB8">
        <w:rPr>
          <w:rFonts w:ascii="Times" w:hAnsi="Times" w:cs="Times"/>
          <w:szCs w:val="22"/>
        </w:rPr>
        <w:t>REC Networks (“REC”) argues Congress did not intend to create two separate regimes for periodic announcements.  However, it then maintains that the periodic announcement requirement should apply “</w:t>
      </w:r>
      <w:r w:rsidRPr="00472DB8">
        <w:rPr>
          <w:rFonts w:ascii="Times" w:hAnsi="Times" w:cs="Times"/>
          <w:i/>
          <w:szCs w:val="22"/>
        </w:rPr>
        <w:t xml:space="preserve">only </w:t>
      </w:r>
      <w:r w:rsidRPr="00472DB8">
        <w:rPr>
          <w:rFonts w:ascii="Times" w:hAnsi="Times" w:cs="Times"/>
          <w:szCs w:val="22"/>
        </w:rPr>
        <w:t>. . . to LPFM stations that do not meet the minimum spacing requirements to third-adjacent channel FM stations.”</w:t>
      </w:r>
      <w:r w:rsidRPr="00472DB8">
        <w:rPr>
          <w:rStyle w:val="FootnoteReference"/>
          <w:rFonts w:ascii="Times" w:hAnsi="Times" w:cs="Times"/>
          <w:szCs w:val="22"/>
        </w:rPr>
        <w:footnoteReference w:id="106"/>
      </w:r>
      <w:r w:rsidRPr="00472DB8">
        <w:rPr>
          <w:rFonts w:ascii="Times" w:hAnsi="Times" w:cs="Times"/>
          <w:szCs w:val="22"/>
        </w:rPr>
        <w:t xml:space="preserve">  In other words, contrary to its own interpretation that the LCRA established one regime for all third adjacent channel LPFM stations, REC would require periodic announcements for Section 7(1) Stations and eliminate the requirement for Section 7(3) Stations.  REC, which made a similar argument previously,</w:t>
      </w:r>
      <w:r w:rsidRPr="00472DB8">
        <w:rPr>
          <w:rStyle w:val="FootnoteReference"/>
          <w:rFonts w:ascii="Times" w:hAnsi="Times" w:cs="Times"/>
          <w:szCs w:val="22"/>
        </w:rPr>
        <w:footnoteReference w:id="107"/>
      </w:r>
      <w:r w:rsidRPr="00472DB8">
        <w:rPr>
          <w:rFonts w:ascii="Times" w:hAnsi="Times" w:cs="Times"/>
          <w:szCs w:val="22"/>
        </w:rPr>
        <w:t xml:space="preserve"> relies on prior legislative versions of the LCRA to support its interpretation.</w:t>
      </w:r>
      <w:r w:rsidRPr="00472DB8">
        <w:rPr>
          <w:rStyle w:val="FootnoteReference"/>
          <w:rFonts w:ascii="Times" w:hAnsi="Times" w:cs="Times"/>
          <w:szCs w:val="22"/>
        </w:rPr>
        <w:footnoteReference w:id="108"/>
      </w:r>
      <w:r w:rsidRPr="00472DB8">
        <w:rPr>
          <w:rFonts w:ascii="Times" w:hAnsi="Times" w:cs="Times"/>
          <w:szCs w:val="22"/>
        </w:rPr>
        <w:t xml:space="preserve">  We reject this argument as internally inconsistent.</w:t>
      </w:r>
    </w:p>
    <w:p w14:paraId="66EC5700" w14:textId="77777777" w:rsidR="000B08B9" w:rsidRPr="00472DB8" w:rsidRDefault="000B08B9" w:rsidP="00E75380">
      <w:pPr>
        <w:pStyle w:val="ListParagraph"/>
        <w:jc w:val="left"/>
        <w:rPr>
          <w:rFonts w:ascii="Times" w:hAnsi="Times" w:cs="Times"/>
        </w:rPr>
      </w:pPr>
    </w:p>
    <w:p w14:paraId="13D282B4" w14:textId="26B7750E" w:rsidR="000B08B9" w:rsidRPr="00472DB8" w:rsidRDefault="000B08B9" w:rsidP="00E75380">
      <w:pPr>
        <w:pStyle w:val="ParaNum"/>
        <w:widowControl/>
        <w:numPr>
          <w:ilvl w:val="0"/>
          <w:numId w:val="16"/>
        </w:numPr>
        <w:spacing w:after="0"/>
        <w:ind w:left="0"/>
        <w:jc w:val="left"/>
        <w:rPr>
          <w:rFonts w:ascii="Times" w:hAnsi="Times" w:cs="Times"/>
          <w:szCs w:val="22"/>
        </w:rPr>
      </w:pPr>
      <w:r w:rsidRPr="00472DB8">
        <w:rPr>
          <w:rFonts w:ascii="Times" w:hAnsi="Times" w:cs="Times"/>
          <w:szCs w:val="22"/>
        </w:rPr>
        <w:t xml:space="preserve">We also reject REC’s interpretation for the reasons set forth in the </w:t>
      </w:r>
      <w:r w:rsidRPr="00472DB8">
        <w:rPr>
          <w:rFonts w:ascii="Times" w:hAnsi="Times" w:cs="Times"/>
          <w:i/>
          <w:szCs w:val="22"/>
        </w:rPr>
        <w:t xml:space="preserve">Sixth Report and Order.  </w:t>
      </w:r>
      <w:r w:rsidRPr="00472DB8">
        <w:rPr>
          <w:rFonts w:ascii="Times" w:hAnsi="Times" w:cs="Times"/>
          <w:szCs w:val="22"/>
        </w:rPr>
        <w:t>The Commission is required to implement and interpret the legislation as enacted, which REC acknowledges included the addition of Section 7(1).  In Section 7(2), Congress required that for a period of one year after “a new low-power FM station is constructed on a third adjacent channel, such low-power FM station shall be required to broadcast periodic announcements . . . .”</w:t>
      </w:r>
      <w:r w:rsidRPr="00472DB8">
        <w:rPr>
          <w:rStyle w:val="FootnoteReference"/>
          <w:rFonts w:ascii="Times" w:hAnsi="Times" w:cs="Times"/>
          <w:szCs w:val="22"/>
        </w:rPr>
        <w:footnoteReference w:id="109"/>
      </w:r>
      <w:r w:rsidRPr="00472DB8">
        <w:rPr>
          <w:rFonts w:ascii="Times" w:hAnsi="Times" w:cs="Times"/>
          <w:szCs w:val="22"/>
        </w:rPr>
        <w:t xml:space="preserve">  In Section 7(1), in contrast, Congress applied a specific interference protection regime to “those low-power FM stations licensed at locations that do not satisfy third-adjacent channel spacing requirements” under the applicable Commission rule.</w:t>
      </w:r>
      <w:r w:rsidRPr="00472DB8">
        <w:rPr>
          <w:rStyle w:val="FootnoteReference"/>
          <w:rFonts w:ascii="Times" w:hAnsi="Times" w:cs="Times"/>
          <w:szCs w:val="22"/>
        </w:rPr>
        <w:footnoteReference w:id="110"/>
      </w:r>
      <w:r w:rsidRPr="00472DB8">
        <w:rPr>
          <w:rFonts w:ascii="Times" w:hAnsi="Times" w:cs="Times"/>
          <w:szCs w:val="22"/>
        </w:rPr>
        <w:t xml:space="preserve">  We recognize that the broad phrasing in section 7(3) is ambiguous, since it could be read to apply to all LPFM stations, not just those that are short-spaced.</w:t>
      </w:r>
      <w:r w:rsidRPr="00472DB8">
        <w:rPr>
          <w:rStyle w:val="FootnoteReference"/>
          <w:rFonts w:ascii="Times" w:hAnsi="Times" w:cs="Times"/>
          <w:szCs w:val="22"/>
        </w:rPr>
        <w:footnoteReference w:id="111"/>
      </w:r>
      <w:r w:rsidRPr="00472DB8">
        <w:rPr>
          <w:rFonts w:ascii="Times" w:hAnsi="Times" w:cs="Times"/>
          <w:szCs w:val="22"/>
        </w:rPr>
        <w:t xml:space="preserve">  The Commission concluded based on its analysis of the text, structure, and purpose of the statute that it is more reasonable to construe the statute as reflecting two different LPFM interference protection and remediation regimes for short-spaced and non-short spaced third adjacent channel stations and to apply Section 7(2) only to the latter group of stations.</w:t>
      </w:r>
      <w:r w:rsidRPr="00472DB8">
        <w:rPr>
          <w:rStyle w:val="FootnoteReference"/>
          <w:rFonts w:ascii="Times" w:hAnsi="Times" w:cs="Times"/>
          <w:szCs w:val="22"/>
        </w:rPr>
        <w:footnoteReference w:id="112"/>
      </w:r>
      <w:r w:rsidRPr="00472DB8">
        <w:rPr>
          <w:rFonts w:ascii="Times" w:hAnsi="Times" w:cs="Times"/>
          <w:szCs w:val="22"/>
        </w:rPr>
        <w:t xml:space="preserve"> As the Commission stated previously, if Congress had wished to apply the periodic announcements requirement to Section 7(1) Stations, it could have done so explicitly in the LCRA.</w:t>
      </w:r>
      <w:r w:rsidRPr="00472DB8">
        <w:rPr>
          <w:rStyle w:val="FootnoteReference"/>
          <w:rFonts w:ascii="Times" w:hAnsi="Times" w:cs="Times"/>
          <w:szCs w:val="22"/>
        </w:rPr>
        <w:footnoteReference w:id="113"/>
      </w:r>
      <w:r w:rsidRPr="00472DB8">
        <w:rPr>
          <w:rFonts w:ascii="Times" w:hAnsi="Times" w:cs="Times"/>
          <w:szCs w:val="22"/>
        </w:rPr>
        <w:t xml:space="preserve">  Instead, Congress expressly required the wholesale adoption of the well-established, comprehensive and strict Section 74.1203 FM translator non-interference regime for Section 7(1) Stations.</w:t>
      </w:r>
      <w:r w:rsidRPr="00472DB8">
        <w:rPr>
          <w:rStyle w:val="FootnoteReference"/>
          <w:rFonts w:ascii="Times" w:hAnsi="Times" w:cs="Times"/>
          <w:szCs w:val="22"/>
        </w:rPr>
        <w:footnoteReference w:id="114"/>
      </w:r>
      <w:r w:rsidRPr="00472DB8">
        <w:rPr>
          <w:rFonts w:ascii="Times" w:hAnsi="Times" w:cs="Times"/>
          <w:szCs w:val="22"/>
        </w:rPr>
        <w:t xml:space="preserve">  That regime does not include periodic announcements.  As NPR notes in its Comments,</w:t>
      </w:r>
      <w:r w:rsidRPr="00472DB8">
        <w:rPr>
          <w:rStyle w:val="FootnoteReference"/>
          <w:rFonts w:ascii="Times" w:hAnsi="Times" w:cs="Times"/>
          <w:szCs w:val="22"/>
        </w:rPr>
        <w:footnoteReference w:id="115"/>
      </w:r>
      <w:r w:rsidRPr="00472DB8">
        <w:rPr>
          <w:rFonts w:ascii="Times" w:hAnsi="Times" w:cs="Times"/>
          <w:szCs w:val="22"/>
        </w:rPr>
        <w:t xml:space="preserve"> REC presented similar arguments, which the Commission rejected in the </w:t>
      </w:r>
      <w:r w:rsidRPr="00472DB8">
        <w:rPr>
          <w:rFonts w:ascii="Times" w:eastAsiaTheme="minorHAnsi" w:hAnsi="Times" w:cs="Times"/>
          <w:i/>
          <w:snapToGrid/>
          <w:kern w:val="0"/>
          <w:szCs w:val="22"/>
        </w:rPr>
        <w:t>Sixth Report and Order</w:t>
      </w:r>
      <w:r w:rsidRPr="00472DB8">
        <w:rPr>
          <w:rFonts w:ascii="Times" w:hAnsi="Times" w:cs="Times"/>
          <w:szCs w:val="22"/>
        </w:rPr>
        <w:t>.</w:t>
      </w:r>
      <w:r w:rsidRPr="00472DB8">
        <w:rPr>
          <w:rStyle w:val="FootnoteReference"/>
          <w:rFonts w:ascii="Times" w:hAnsi="Times" w:cs="Times"/>
          <w:szCs w:val="22"/>
        </w:rPr>
        <w:footnoteReference w:id="116"/>
      </w:r>
      <w:r w:rsidRPr="00472DB8">
        <w:rPr>
          <w:rFonts w:ascii="Times" w:hAnsi="Times" w:cs="Times"/>
          <w:szCs w:val="22"/>
        </w:rPr>
        <w:t xml:space="preserve">  </w:t>
      </w:r>
      <w:r w:rsidRPr="00472DB8">
        <w:rPr>
          <w:rFonts w:ascii="Times" w:hAnsi="Times" w:cs="Times"/>
        </w:rPr>
        <w:t xml:space="preserve">REC presents </w:t>
      </w:r>
      <w:r w:rsidRPr="00472DB8">
        <w:rPr>
          <w:rStyle w:val="searchterm"/>
          <w:rFonts w:ascii="Times" w:hAnsi="Times" w:cs="Times"/>
        </w:rPr>
        <w:t>no</w:t>
      </w:r>
      <w:r w:rsidRPr="00472DB8">
        <w:rPr>
          <w:rFonts w:ascii="Times" w:hAnsi="Times" w:cs="Times"/>
        </w:rPr>
        <w:t xml:space="preserve"> </w:t>
      </w:r>
      <w:r w:rsidRPr="00472DB8">
        <w:rPr>
          <w:rStyle w:val="searchterm"/>
          <w:rFonts w:ascii="Times" w:hAnsi="Times" w:cs="Times"/>
        </w:rPr>
        <w:t>new</w:t>
      </w:r>
      <w:r w:rsidRPr="00472DB8">
        <w:rPr>
          <w:rFonts w:ascii="Times" w:hAnsi="Times" w:cs="Times"/>
        </w:rPr>
        <w:t xml:space="preserve"> arguments or </w:t>
      </w:r>
      <w:r w:rsidRPr="00472DB8">
        <w:rPr>
          <w:rStyle w:val="searchterm"/>
          <w:rFonts w:ascii="Times" w:hAnsi="Times" w:cs="Times"/>
        </w:rPr>
        <w:t>evidence</w:t>
      </w:r>
      <w:r w:rsidRPr="00472DB8">
        <w:rPr>
          <w:rFonts w:ascii="Times" w:hAnsi="Times" w:cs="Times"/>
        </w:rPr>
        <w:t xml:space="preserve"> in its Petition that would lead us to change that conclusion.  </w:t>
      </w:r>
      <w:r w:rsidRPr="00472DB8">
        <w:rPr>
          <w:rFonts w:ascii="Times" w:hAnsi="Times" w:cs="Times"/>
          <w:szCs w:val="22"/>
        </w:rPr>
        <w:t xml:space="preserve">Accordingly, we </w:t>
      </w:r>
      <w:r w:rsidRPr="00472DB8">
        <w:rPr>
          <w:rFonts w:ascii="Times" w:hAnsi="Times" w:cs="Times"/>
        </w:rPr>
        <w:t>deny the REC Petition</w:t>
      </w:r>
      <w:r w:rsidRPr="00472DB8">
        <w:rPr>
          <w:rFonts w:ascii="Times" w:hAnsi="Times" w:cs="Times"/>
          <w:szCs w:val="22"/>
        </w:rPr>
        <w:t>.</w:t>
      </w:r>
      <w:r w:rsidRPr="00472DB8">
        <w:rPr>
          <w:rFonts w:ascii="Times" w:hAnsi="Times" w:cs="Times"/>
        </w:rPr>
        <w:t xml:space="preserve"> </w:t>
      </w:r>
    </w:p>
    <w:p w14:paraId="0DECF5DB" w14:textId="77777777" w:rsidR="000B08B9" w:rsidRPr="00472DB8" w:rsidRDefault="000B08B9" w:rsidP="00E75380">
      <w:pPr>
        <w:pStyle w:val="ParaNum"/>
        <w:widowControl/>
        <w:numPr>
          <w:ilvl w:val="0"/>
          <w:numId w:val="0"/>
        </w:numPr>
        <w:spacing w:after="0"/>
        <w:ind w:left="720"/>
        <w:jc w:val="left"/>
        <w:rPr>
          <w:rFonts w:ascii="Times" w:hAnsi="Times" w:cs="Times"/>
          <w:szCs w:val="22"/>
        </w:rPr>
      </w:pPr>
    </w:p>
    <w:p w14:paraId="3FD674A0" w14:textId="0426FF55" w:rsidR="007A2F98" w:rsidRPr="00472DB8" w:rsidRDefault="000B08B9" w:rsidP="00E75380">
      <w:pPr>
        <w:pStyle w:val="ParaNum"/>
        <w:widowControl/>
        <w:numPr>
          <w:ilvl w:val="0"/>
          <w:numId w:val="16"/>
        </w:numPr>
        <w:spacing w:after="0"/>
        <w:ind w:left="0"/>
        <w:jc w:val="left"/>
        <w:rPr>
          <w:rFonts w:ascii="Times" w:hAnsi="Times" w:cs="Times"/>
          <w:szCs w:val="22"/>
        </w:rPr>
      </w:pPr>
      <w:r w:rsidRPr="00472DB8">
        <w:rPr>
          <w:rFonts w:ascii="Times" w:hAnsi="Times" w:cs="Times"/>
          <w:szCs w:val="22"/>
        </w:rPr>
        <w:t>We note that REC attempts to provide further evidence that the Commission misinterpreted Section 7 of the LCRA by arguing that an LPFM’s periodic announcement requirement</w:t>
      </w:r>
      <w:r w:rsidRPr="00472DB8" w:rsidDel="00A81307">
        <w:rPr>
          <w:rFonts w:ascii="Times" w:hAnsi="Times" w:cs="Times"/>
          <w:szCs w:val="22"/>
        </w:rPr>
        <w:t xml:space="preserve"> </w:t>
      </w:r>
      <w:r w:rsidRPr="00472DB8">
        <w:rPr>
          <w:rFonts w:ascii="Times" w:hAnsi="Times" w:cs="Times"/>
          <w:szCs w:val="22"/>
        </w:rPr>
        <w:t>under Section 73.810(b)(2</w:t>
      </w:r>
      <w:r w:rsidR="00852CF5" w:rsidRPr="00472DB8">
        <w:rPr>
          <w:rFonts w:ascii="Times" w:hAnsi="Times" w:cs="Times"/>
          <w:szCs w:val="22"/>
        </w:rPr>
        <w:t>) includes</w:t>
      </w:r>
      <w:r w:rsidRPr="00472DB8">
        <w:rPr>
          <w:rFonts w:ascii="Times" w:hAnsi="Times" w:cs="Times"/>
          <w:szCs w:val="22"/>
        </w:rPr>
        <w:t xml:space="preserve"> no geographic limitation as to what could be a “potentially affected” station.</w:t>
      </w:r>
      <w:r w:rsidRPr="00472DB8">
        <w:rPr>
          <w:rStyle w:val="FootnoteReference"/>
          <w:rFonts w:ascii="Times" w:hAnsi="Times" w:cs="Times"/>
          <w:szCs w:val="22"/>
        </w:rPr>
        <w:footnoteReference w:id="117"/>
      </w:r>
      <w:r w:rsidRPr="00472DB8">
        <w:rPr>
          <w:rFonts w:ascii="Times" w:hAnsi="Times" w:cs="Times"/>
          <w:szCs w:val="22"/>
        </w:rPr>
        <w:t xml:space="preserve">  Our rule regarding periodic announcements requires LPFM stations </w:t>
      </w:r>
      <w:r w:rsidRPr="00472DB8">
        <w:rPr>
          <w:rFonts w:ascii="Times" w:hAnsi="Times" w:cs="Times"/>
        </w:rPr>
        <w:t>to alert listeners of a potentially affected third-adjacent channel station of the potential for interference.</w:t>
      </w:r>
      <w:r w:rsidRPr="00472DB8">
        <w:rPr>
          <w:rStyle w:val="FootnoteReference"/>
          <w:rFonts w:ascii="Times" w:hAnsi="Times" w:cs="Times"/>
        </w:rPr>
        <w:footnoteReference w:id="118"/>
      </w:r>
      <w:r w:rsidRPr="00472DB8">
        <w:rPr>
          <w:rFonts w:ascii="Times" w:hAnsi="Times" w:cs="Times"/>
          <w:szCs w:val="22"/>
        </w:rPr>
        <w:t xml:space="preserve">  Specifically, “</w:t>
      </w:r>
      <w:r w:rsidRPr="00472DB8">
        <w:rPr>
          <w:rFonts w:ascii="Times" w:hAnsi="Times" w:cs="Times"/>
        </w:rPr>
        <w:t>[f]or a period of one year from the date of licensing of a new LPFM station that is constructed on a third-adjacent channel…such LPFM station shall  broadcast periodic announcements.  The announcements shall, at minimum, alert listeners of the potentially affected third-adjacent channel station of the potential for interference, instruct listeners to contact the LPFM station to report any interference, and provide contact information for the LPFM station.”</w:t>
      </w:r>
      <w:r w:rsidRPr="00472DB8">
        <w:rPr>
          <w:rStyle w:val="FootnoteReference"/>
          <w:rFonts w:ascii="Times" w:hAnsi="Times" w:cs="Times"/>
        </w:rPr>
        <w:footnoteReference w:id="119"/>
      </w:r>
      <w:r w:rsidRPr="00472DB8">
        <w:rPr>
          <w:rFonts w:ascii="Times" w:hAnsi="Times" w:cs="Times"/>
        </w:rPr>
        <w:t xml:space="preserve">   </w:t>
      </w:r>
      <w:r w:rsidRPr="00472DB8">
        <w:rPr>
          <w:rFonts w:ascii="Times" w:hAnsi="Times" w:cs="Times"/>
          <w:szCs w:val="22"/>
        </w:rPr>
        <w:t xml:space="preserve">However, neither the LCRA nor the </w:t>
      </w:r>
      <w:r w:rsidRPr="00472DB8">
        <w:rPr>
          <w:rFonts w:ascii="Times" w:hAnsi="Times" w:cs="Times"/>
          <w:i/>
          <w:szCs w:val="22"/>
        </w:rPr>
        <w:t xml:space="preserve">Sixth Report and Order </w:t>
      </w:r>
      <w:r w:rsidRPr="00472DB8">
        <w:rPr>
          <w:rFonts w:ascii="Times" w:hAnsi="Times" w:cs="Times"/>
          <w:szCs w:val="22"/>
        </w:rPr>
        <w:t xml:space="preserve">address </w:t>
      </w:r>
      <w:r w:rsidRPr="00472DB8">
        <w:rPr>
          <w:rFonts w:ascii="Times" w:hAnsi="Times" w:cs="Times"/>
        </w:rPr>
        <w:t xml:space="preserve">which stations would be considered the </w:t>
      </w:r>
      <w:r w:rsidRPr="00472DB8">
        <w:rPr>
          <w:rFonts w:ascii="Times" w:hAnsi="Times" w:cs="Times"/>
          <w:szCs w:val="22"/>
        </w:rPr>
        <w:t>“potentially affected” stations that the LPFM station must include in its periodic announcements.  Consequently, according to REC, the “periodic announcement could include hundreds if not thousands of potential interfering stations.”</w:t>
      </w:r>
      <w:r w:rsidRPr="00472DB8">
        <w:rPr>
          <w:rStyle w:val="FootnoteReference"/>
          <w:rFonts w:ascii="Times" w:hAnsi="Times" w:cs="Times"/>
          <w:szCs w:val="22"/>
        </w:rPr>
        <w:footnoteReference w:id="120"/>
      </w:r>
      <w:r w:rsidRPr="00472DB8">
        <w:rPr>
          <w:rFonts w:ascii="Times" w:hAnsi="Times" w:cs="Times"/>
          <w:szCs w:val="22"/>
        </w:rPr>
        <w:t xml:space="preserve">  </w:t>
      </w:r>
    </w:p>
    <w:p w14:paraId="6EAD079B" w14:textId="77777777" w:rsidR="007A2F98" w:rsidRPr="00472DB8" w:rsidRDefault="007A2F98" w:rsidP="00E75380">
      <w:pPr>
        <w:pStyle w:val="ParaNum"/>
        <w:widowControl/>
        <w:numPr>
          <w:ilvl w:val="0"/>
          <w:numId w:val="0"/>
        </w:numPr>
        <w:spacing w:after="0"/>
        <w:ind w:left="720"/>
        <w:jc w:val="left"/>
        <w:rPr>
          <w:rFonts w:ascii="Times" w:hAnsi="Times" w:cs="Times"/>
          <w:szCs w:val="22"/>
        </w:rPr>
      </w:pPr>
    </w:p>
    <w:p w14:paraId="555C5969" w14:textId="3102C3C3" w:rsidR="000B08B9" w:rsidRPr="00C42C0E" w:rsidRDefault="000B08B9" w:rsidP="00E75380">
      <w:pPr>
        <w:pStyle w:val="ParaNum"/>
        <w:widowControl/>
        <w:numPr>
          <w:ilvl w:val="0"/>
          <w:numId w:val="16"/>
        </w:numPr>
        <w:spacing w:after="0"/>
        <w:ind w:left="0"/>
        <w:jc w:val="left"/>
        <w:rPr>
          <w:rFonts w:ascii="Times" w:hAnsi="Times" w:cs="Times"/>
          <w:szCs w:val="22"/>
        </w:rPr>
      </w:pPr>
      <w:r w:rsidRPr="00472DB8">
        <w:rPr>
          <w:rFonts w:ascii="Times" w:hAnsi="Times" w:cs="Times"/>
          <w:szCs w:val="22"/>
        </w:rPr>
        <w:t xml:space="preserve">As discussed above, the LCRA requires periodic announcements for Section 7(3) Stations, and not for Section 7(1) Stations.  We believe it will be useful to provide some guidance to help these stations broadcast periodic announcements as directed by the LCRA.   Accordingly, for purposes of Section 73.810(b)(2), </w:t>
      </w:r>
      <w:r w:rsidRPr="00472DB8">
        <w:rPr>
          <w:rFonts w:ascii="Times" w:hAnsi="Times" w:cs="Times"/>
        </w:rPr>
        <w:t>we will consider “potentially affected” stations to be the two fully spaced third-adjacent channel stations operating above and below the frequency of the LPFM station whose transmitter sites are closest to that of the LPFM station, unless any such third adjacent channel station’s transmitter site is more than 100 km from the LPFM station transmitter site.  We believe that this standard reasonably defines the universe of “potentially affected” stations for listeners within a fully-spaced LPFM station’s service contour, while also being relatively easy to administer.  Unlike short-spaced stations, which are subject to the more stringent Section 7(1) requirements, the potential for interference from fully-spaced LPFM stations is unlikely and when it does occur it will be both localized and limited.  In this regard, the Commission has consistently held</w:t>
      </w:r>
      <w:r w:rsidRPr="00472DB8">
        <w:rPr>
          <w:rStyle w:val="FootnoteReference"/>
          <w:rFonts w:ascii="Times" w:hAnsi="Times" w:cs="Times"/>
        </w:rPr>
        <w:footnoteReference w:id="121"/>
      </w:r>
      <w:r w:rsidRPr="00472DB8">
        <w:rPr>
          <w:rFonts w:ascii="Times" w:hAnsi="Times" w:cs="Times"/>
        </w:rPr>
        <w:t xml:space="preserve"> that third-adjacent channel interference is restricted to the immediate vicinity of the LPFM transmitter site.  This standard is reasonably designed to identify in a simple and straight forward manner those third-adjacent channel stations that are most likely to have listeners near to the LPFM transmitter site.</w:t>
      </w:r>
    </w:p>
    <w:p w14:paraId="530996FF" w14:textId="77777777" w:rsidR="00C42C0E" w:rsidRPr="00472DB8" w:rsidRDefault="00C42C0E" w:rsidP="00E75380">
      <w:pPr>
        <w:pStyle w:val="ParaNum"/>
        <w:widowControl/>
        <w:numPr>
          <w:ilvl w:val="0"/>
          <w:numId w:val="0"/>
        </w:numPr>
        <w:spacing w:after="0"/>
        <w:jc w:val="left"/>
        <w:rPr>
          <w:rStyle w:val="ptext-1"/>
          <w:rFonts w:ascii="Times" w:hAnsi="Times" w:cs="Times"/>
          <w:szCs w:val="22"/>
        </w:rPr>
      </w:pPr>
    </w:p>
    <w:p w14:paraId="16226FA8" w14:textId="77777777" w:rsidR="00637AD4" w:rsidRPr="00472DB8" w:rsidRDefault="00DF199A" w:rsidP="00E75380">
      <w:pPr>
        <w:jc w:val="left"/>
        <w:rPr>
          <w:rFonts w:ascii="Times" w:hAnsi="Times" w:cs="Times"/>
          <w:b/>
        </w:rPr>
      </w:pPr>
      <w:r w:rsidRPr="00472DB8">
        <w:rPr>
          <w:rFonts w:ascii="Times" w:hAnsi="Times" w:cs="Times"/>
          <w:b/>
        </w:rPr>
        <w:t>F</w:t>
      </w:r>
      <w:r w:rsidR="00637AD4" w:rsidRPr="00472DB8">
        <w:rPr>
          <w:rFonts w:ascii="Times" w:hAnsi="Times" w:cs="Times"/>
          <w:b/>
        </w:rPr>
        <w:t>.</w:t>
      </w:r>
      <w:r w:rsidR="00637AD4" w:rsidRPr="00472DB8">
        <w:rPr>
          <w:rFonts w:ascii="Times" w:hAnsi="Times" w:cs="Times"/>
          <w:b/>
        </w:rPr>
        <w:tab/>
        <w:t xml:space="preserve">Elimination of </w:t>
      </w:r>
      <w:r w:rsidR="00E5052B" w:rsidRPr="00472DB8">
        <w:rPr>
          <w:rFonts w:ascii="Times" w:hAnsi="Times" w:cs="Times"/>
          <w:b/>
        </w:rPr>
        <w:t xml:space="preserve">LP10 </w:t>
      </w:r>
      <w:r w:rsidR="00CC6D26" w:rsidRPr="00472DB8">
        <w:rPr>
          <w:rFonts w:ascii="Times" w:hAnsi="Times" w:cs="Times"/>
          <w:b/>
        </w:rPr>
        <w:t>Class o</w:t>
      </w:r>
      <w:r w:rsidR="00637AD4" w:rsidRPr="00472DB8">
        <w:rPr>
          <w:rFonts w:ascii="Times" w:hAnsi="Times" w:cs="Times"/>
          <w:b/>
        </w:rPr>
        <w:t>f Service</w:t>
      </w:r>
    </w:p>
    <w:p w14:paraId="42224138" w14:textId="77777777" w:rsidR="00637AD4" w:rsidRPr="00472DB8" w:rsidRDefault="00637AD4" w:rsidP="00E75380">
      <w:pPr>
        <w:jc w:val="left"/>
        <w:rPr>
          <w:rFonts w:ascii="Times" w:hAnsi="Times" w:cs="Times"/>
        </w:rPr>
      </w:pPr>
    </w:p>
    <w:p w14:paraId="372CDC3C" w14:textId="380A233B" w:rsidR="00CB775E" w:rsidRPr="00472DB8" w:rsidRDefault="00CD3619" w:rsidP="00E75380">
      <w:pPr>
        <w:pStyle w:val="ParaNum"/>
        <w:widowControl/>
        <w:numPr>
          <w:ilvl w:val="0"/>
          <w:numId w:val="16"/>
        </w:numPr>
        <w:spacing w:after="0"/>
        <w:ind w:left="0"/>
        <w:jc w:val="left"/>
        <w:rPr>
          <w:rFonts w:ascii="Times" w:hAnsi="Times" w:cs="Times"/>
          <w:szCs w:val="22"/>
        </w:rPr>
      </w:pPr>
      <w:r w:rsidRPr="00472DB8">
        <w:rPr>
          <w:rFonts w:ascii="Times" w:hAnsi="Times" w:cs="Times"/>
          <w:szCs w:val="22"/>
        </w:rPr>
        <w:t xml:space="preserve">The </w:t>
      </w:r>
      <w:r w:rsidRPr="00472DB8">
        <w:rPr>
          <w:rFonts w:ascii="Times" w:hAnsi="Times" w:cs="Times"/>
          <w:i/>
          <w:szCs w:val="22"/>
        </w:rPr>
        <w:t>Sixth Report and Order</w:t>
      </w:r>
      <w:r w:rsidR="00CB775E" w:rsidRPr="00472DB8">
        <w:rPr>
          <w:rFonts w:ascii="Times" w:hAnsi="Times" w:cs="Times"/>
          <w:szCs w:val="22"/>
        </w:rPr>
        <w:t xml:space="preserve"> eliminated the LP10 class of service after determining </w:t>
      </w:r>
      <w:r w:rsidR="007A09F6" w:rsidRPr="00472DB8">
        <w:rPr>
          <w:rFonts w:ascii="Times" w:hAnsi="Times" w:cs="Times"/>
          <w:szCs w:val="22"/>
        </w:rPr>
        <w:t xml:space="preserve">licensing LP10 stations would be </w:t>
      </w:r>
      <w:r w:rsidR="00CB775E" w:rsidRPr="00472DB8">
        <w:rPr>
          <w:rFonts w:ascii="Times" w:hAnsi="Times" w:cs="Times"/>
          <w:szCs w:val="22"/>
        </w:rPr>
        <w:t>an inefficient utilization of spectrum.</w:t>
      </w:r>
      <w:r w:rsidR="00CB775E" w:rsidRPr="00472DB8">
        <w:rPr>
          <w:rStyle w:val="FootnoteReference"/>
          <w:rFonts w:ascii="Times" w:hAnsi="Times" w:cs="Times"/>
          <w:szCs w:val="22"/>
        </w:rPr>
        <w:footnoteReference w:id="122"/>
      </w:r>
      <w:r w:rsidR="00CB775E" w:rsidRPr="00472DB8">
        <w:rPr>
          <w:rFonts w:ascii="Times" w:hAnsi="Times" w:cs="Times"/>
          <w:szCs w:val="22"/>
        </w:rPr>
        <w:t xml:space="preserve">  </w:t>
      </w:r>
      <w:r w:rsidR="00EB5EFD" w:rsidRPr="00472DB8">
        <w:rPr>
          <w:rFonts w:ascii="Times" w:hAnsi="Times" w:cs="Times"/>
          <w:szCs w:val="22"/>
        </w:rPr>
        <w:t>Th</w:t>
      </w:r>
      <w:r w:rsidR="00CB775E" w:rsidRPr="00472DB8">
        <w:rPr>
          <w:rFonts w:ascii="Times" w:hAnsi="Times" w:cs="Times"/>
          <w:szCs w:val="22"/>
        </w:rPr>
        <w:t>e</w:t>
      </w:r>
      <w:r w:rsidR="00EB5EFD" w:rsidRPr="00472DB8">
        <w:rPr>
          <w:rFonts w:ascii="Times" w:hAnsi="Times" w:cs="Times"/>
          <w:szCs w:val="22"/>
        </w:rPr>
        <w:t xml:space="preserve"> Commission</w:t>
      </w:r>
      <w:r w:rsidR="00CB775E" w:rsidRPr="00472DB8">
        <w:rPr>
          <w:rFonts w:ascii="Times" w:hAnsi="Times" w:cs="Times"/>
          <w:szCs w:val="22"/>
        </w:rPr>
        <w:t xml:space="preserve"> noted that LP10 stations </w:t>
      </w:r>
      <w:r w:rsidRPr="00472DB8">
        <w:rPr>
          <w:rFonts w:ascii="Times" w:hAnsi="Times" w:cs="Times"/>
          <w:szCs w:val="22"/>
        </w:rPr>
        <w:t xml:space="preserve">could only </w:t>
      </w:r>
      <w:r w:rsidR="00CB775E" w:rsidRPr="00472DB8">
        <w:rPr>
          <w:rFonts w:ascii="Times" w:hAnsi="Times" w:cs="Times"/>
          <w:szCs w:val="22"/>
        </w:rPr>
        <w:t xml:space="preserve">offer more limited service </w:t>
      </w:r>
      <w:r w:rsidR="007C7B2F" w:rsidRPr="00472DB8">
        <w:rPr>
          <w:rFonts w:ascii="Times" w:hAnsi="Times" w:cs="Times"/>
          <w:szCs w:val="22"/>
        </w:rPr>
        <w:t>and would be</w:t>
      </w:r>
      <w:r w:rsidR="00CB775E" w:rsidRPr="00472DB8">
        <w:rPr>
          <w:rFonts w:ascii="Times" w:hAnsi="Times" w:cs="Times"/>
          <w:szCs w:val="22"/>
        </w:rPr>
        <w:t xml:space="preserve"> more susceptible to interference than LP100 stations.  </w:t>
      </w:r>
      <w:r w:rsidR="00802DA5" w:rsidRPr="00472DB8">
        <w:rPr>
          <w:rFonts w:ascii="Times" w:hAnsi="Times" w:cs="Times"/>
          <w:szCs w:val="22"/>
        </w:rPr>
        <w:t>Given the increasingly crowded nature of the FM band, the Commission found it appropriate to take this into account.</w:t>
      </w:r>
      <w:r w:rsidR="00802DA5" w:rsidRPr="00472DB8">
        <w:rPr>
          <w:rStyle w:val="FootnoteReference"/>
          <w:rFonts w:ascii="Times" w:hAnsi="Times" w:cs="Times"/>
          <w:szCs w:val="22"/>
        </w:rPr>
        <w:footnoteReference w:id="123"/>
      </w:r>
      <w:r w:rsidR="00802DA5" w:rsidRPr="00472DB8">
        <w:rPr>
          <w:rFonts w:ascii="Times" w:hAnsi="Times" w:cs="Times"/>
          <w:szCs w:val="22"/>
        </w:rPr>
        <w:t xml:space="preserve">  </w:t>
      </w:r>
      <w:r w:rsidR="00EB5EFD" w:rsidRPr="00472DB8">
        <w:rPr>
          <w:rFonts w:ascii="Times" w:hAnsi="Times" w:cs="Times"/>
          <w:szCs w:val="22"/>
        </w:rPr>
        <w:t xml:space="preserve">The Commission was </w:t>
      </w:r>
      <w:r w:rsidR="00CB775E" w:rsidRPr="00472DB8">
        <w:rPr>
          <w:rFonts w:ascii="Times" w:hAnsi="Times" w:cs="Times"/>
          <w:szCs w:val="22"/>
        </w:rPr>
        <w:t xml:space="preserve">also concerned that the </w:t>
      </w:r>
      <w:r w:rsidR="007A09F6" w:rsidRPr="00472DB8">
        <w:rPr>
          <w:rFonts w:ascii="Times" w:hAnsi="Times" w:cs="Times"/>
          <w:szCs w:val="22"/>
        </w:rPr>
        <w:t>coverage ar</w:t>
      </w:r>
      <w:r w:rsidR="007C7B2F" w:rsidRPr="00472DB8">
        <w:rPr>
          <w:rFonts w:ascii="Times" w:hAnsi="Times" w:cs="Times"/>
          <w:szCs w:val="22"/>
        </w:rPr>
        <w:t>ea</w:t>
      </w:r>
      <w:r w:rsidR="00CB775E" w:rsidRPr="00472DB8">
        <w:rPr>
          <w:rFonts w:ascii="Times" w:hAnsi="Times" w:cs="Times"/>
          <w:szCs w:val="22"/>
        </w:rPr>
        <w:t xml:space="preserve"> of LP10 stations would be too small for the stations to be economically viable.</w:t>
      </w:r>
      <w:r w:rsidR="00CB775E" w:rsidRPr="00472DB8">
        <w:rPr>
          <w:rStyle w:val="FootnoteReference"/>
          <w:rFonts w:ascii="Times" w:hAnsi="Times" w:cs="Times"/>
          <w:szCs w:val="22"/>
        </w:rPr>
        <w:footnoteReference w:id="124"/>
      </w:r>
      <w:r w:rsidR="00CB775E" w:rsidRPr="00472DB8">
        <w:rPr>
          <w:rFonts w:ascii="Times" w:hAnsi="Times" w:cs="Times"/>
          <w:szCs w:val="22"/>
        </w:rPr>
        <w:t xml:space="preserve">  Faced with the loss of the LP10 class, some commenters proposed </w:t>
      </w:r>
      <w:r w:rsidR="009466A5" w:rsidRPr="00472DB8">
        <w:rPr>
          <w:rFonts w:ascii="Times" w:hAnsi="Times" w:cs="Times"/>
          <w:szCs w:val="22"/>
        </w:rPr>
        <w:t xml:space="preserve">the creation of </w:t>
      </w:r>
      <w:r w:rsidR="00CB775E" w:rsidRPr="00472DB8">
        <w:rPr>
          <w:rFonts w:ascii="Times" w:hAnsi="Times" w:cs="Times"/>
          <w:szCs w:val="22"/>
        </w:rPr>
        <w:t xml:space="preserve">an LP50 class, which would allow licensees to transmit at any </w:t>
      </w:r>
      <w:r w:rsidR="00EE16F2" w:rsidRPr="00472DB8">
        <w:rPr>
          <w:rFonts w:ascii="Times" w:hAnsi="Times" w:cs="Times"/>
          <w:szCs w:val="22"/>
        </w:rPr>
        <w:t>Effective Radiated Power</w:t>
      </w:r>
      <w:r w:rsidR="00CB775E" w:rsidRPr="00472DB8">
        <w:rPr>
          <w:rFonts w:ascii="Times" w:hAnsi="Times" w:cs="Times"/>
          <w:szCs w:val="22"/>
        </w:rPr>
        <w:t xml:space="preserve"> </w:t>
      </w:r>
      <w:r w:rsidR="00450A46" w:rsidRPr="00472DB8">
        <w:rPr>
          <w:rFonts w:ascii="Times" w:hAnsi="Times" w:cs="Times"/>
          <w:szCs w:val="22"/>
        </w:rPr>
        <w:t xml:space="preserve">(“ERP”) </w:t>
      </w:r>
      <w:r w:rsidR="00CB775E" w:rsidRPr="00472DB8">
        <w:rPr>
          <w:rFonts w:ascii="Times" w:hAnsi="Times" w:cs="Times"/>
          <w:szCs w:val="22"/>
        </w:rPr>
        <w:t xml:space="preserve">from 1 to 50 </w:t>
      </w:r>
      <w:r w:rsidR="00BC4C52" w:rsidRPr="00472DB8">
        <w:rPr>
          <w:rFonts w:ascii="Times" w:hAnsi="Times" w:cs="Times"/>
          <w:szCs w:val="22"/>
        </w:rPr>
        <w:t>W</w:t>
      </w:r>
      <w:r w:rsidR="00CB775E" w:rsidRPr="00472DB8">
        <w:rPr>
          <w:rFonts w:ascii="Times" w:hAnsi="Times" w:cs="Times"/>
          <w:szCs w:val="22"/>
        </w:rPr>
        <w:t>atts.</w:t>
      </w:r>
      <w:r w:rsidR="00CB775E" w:rsidRPr="00472DB8">
        <w:rPr>
          <w:rStyle w:val="FootnoteReference"/>
          <w:rFonts w:ascii="Times" w:hAnsi="Times" w:cs="Times"/>
          <w:szCs w:val="22"/>
        </w:rPr>
        <w:footnoteReference w:id="125"/>
      </w:r>
      <w:r w:rsidR="00CB775E" w:rsidRPr="00472DB8">
        <w:rPr>
          <w:rFonts w:ascii="Times" w:hAnsi="Times" w:cs="Times"/>
          <w:szCs w:val="22"/>
        </w:rPr>
        <w:t xml:space="preserve">  </w:t>
      </w:r>
      <w:r w:rsidR="00EB5EFD" w:rsidRPr="00472DB8">
        <w:rPr>
          <w:rFonts w:ascii="Times" w:hAnsi="Times" w:cs="Times"/>
          <w:szCs w:val="22"/>
        </w:rPr>
        <w:t xml:space="preserve">The Commission </w:t>
      </w:r>
      <w:r w:rsidR="00CB775E" w:rsidRPr="00472DB8">
        <w:rPr>
          <w:rFonts w:ascii="Times" w:hAnsi="Times" w:cs="Times"/>
          <w:szCs w:val="22"/>
        </w:rPr>
        <w:t>declined to create an LP50 class</w:t>
      </w:r>
      <w:r w:rsidR="00272C56" w:rsidRPr="00472DB8">
        <w:rPr>
          <w:rFonts w:ascii="Times" w:hAnsi="Times" w:cs="Times"/>
          <w:szCs w:val="22"/>
        </w:rPr>
        <w:t xml:space="preserve">, noting that </w:t>
      </w:r>
      <w:r w:rsidR="00CB775E" w:rsidRPr="00472DB8">
        <w:rPr>
          <w:rFonts w:ascii="Times" w:hAnsi="Times" w:cs="Times"/>
          <w:szCs w:val="22"/>
        </w:rPr>
        <w:t xml:space="preserve">the </w:t>
      </w:r>
      <w:r w:rsidR="00CB775E" w:rsidRPr="00472DB8">
        <w:rPr>
          <w:rFonts w:ascii="Times" w:hAnsi="Times" w:cs="Times"/>
          <w:i/>
          <w:szCs w:val="22"/>
        </w:rPr>
        <w:t>Fourth Further Notice</w:t>
      </w:r>
      <w:r w:rsidR="00CB775E" w:rsidRPr="00472DB8">
        <w:rPr>
          <w:rFonts w:ascii="Times" w:hAnsi="Times" w:cs="Times"/>
          <w:szCs w:val="22"/>
        </w:rPr>
        <w:t xml:space="preserve"> </w:t>
      </w:r>
      <w:r w:rsidR="007C7B2F" w:rsidRPr="00472DB8">
        <w:rPr>
          <w:rFonts w:ascii="Times" w:hAnsi="Times" w:cs="Times"/>
          <w:szCs w:val="22"/>
        </w:rPr>
        <w:t xml:space="preserve">only sought </w:t>
      </w:r>
      <w:r w:rsidR="00EB5EFD" w:rsidRPr="00472DB8">
        <w:rPr>
          <w:rFonts w:ascii="Times" w:hAnsi="Times" w:cs="Times"/>
          <w:szCs w:val="22"/>
        </w:rPr>
        <w:t xml:space="preserve">comment on </w:t>
      </w:r>
      <w:r w:rsidR="007C7B2F" w:rsidRPr="00472DB8">
        <w:rPr>
          <w:rFonts w:ascii="Times" w:hAnsi="Times" w:cs="Times"/>
          <w:szCs w:val="22"/>
        </w:rPr>
        <w:t xml:space="preserve">whether </w:t>
      </w:r>
      <w:r w:rsidR="00CB775E" w:rsidRPr="00472DB8">
        <w:rPr>
          <w:rFonts w:ascii="Times" w:hAnsi="Times" w:cs="Times"/>
          <w:szCs w:val="22"/>
        </w:rPr>
        <w:t>to eliminate the LP10 class, retain the LP100 class</w:t>
      </w:r>
      <w:r w:rsidR="00AC5111" w:rsidRPr="00472DB8">
        <w:rPr>
          <w:rFonts w:ascii="Times" w:hAnsi="Times" w:cs="Times"/>
          <w:szCs w:val="22"/>
        </w:rPr>
        <w:t>,</w:t>
      </w:r>
      <w:r w:rsidR="00CB775E" w:rsidRPr="00472DB8">
        <w:rPr>
          <w:rFonts w:ascii="Times" w:hAnsi="Times" w:cs="Times"/>
          <w:szCs w:val="22"/>
        </w:rPr>
        <w:t xml:space="preserve"> and</w:t>
      </w:r>
      <w:r w:rsidR="007C7B2F" w:rsidRPr="00472DB8">
        <w:rPr>
          <w:rFonts w:ascii="Times" w:hAnsi="Times" w:cs="Times"/>
          <w:szCs w:val="22"/>
        </w:rPr>
        <w:t>/or</w:t>
      </w:r>
      <w:r w:rsidR="00CB775E" w:rsidRPr="00472DB8">
        <w:rPr>
          <w:rFonts w:ascii="Times" w:hAnsi="Times" w:cs="Times"/>
          <w:szCs w:val="22"/>
        </w:rPr>
        <w:t xml:space="preserve"> introduce a new LP250 class.</w:t>
      </w:r>
      <w:r w:rsidR="00CB775E" w:rsidRPr="00472DB8">
        <w:rPr>
          <w:rStyle w:val="FootnoteReference"/>
          <w:rFonts w:ascii="Times" w:hAnsi="Times" w:cs="Times"/>
          <w:szCs w:val="22"/>
        </w:rPr>
        <w:footnoteReference w:id="126"/>
      </w:r>
      <w:r w:rsidR="00CB775E" w:rsidRPr="00472DB8">
        <w:rPr>
          <w:rFonts w:ascii="Times" w:hAnsi="Times" w:cs="Times"/>
          <w:szCs w:val="22"/>
        </w:rPr>
        <w:t xml:space="preserve">  </w:t>
      </w:r>
      <w:r w:rsidR="001C0AD4" w:rsidRPr="00472DB8">
        <w:rPr>
          <w:rFonts w:ascii="Times" w:hAnsi="Times" w:cs="Times"/>
          <w:szCs w:val="22"/>
        </w:rPr>
        <w:t xml:space="preserve">Accordingly, </w:t>
      </w:r>
      <w:r w:rsidR="00EB5EFD" w:rsidRPr="00472DB8">
        <w:rPr>
          <w:rFonts w:ascii="Times" w:hAnsi="Times" w:cs="Times"/>
          <w:szCs w:val="22"/>
        </w:rPr>
        <w:t xml:space="preserve">the </w:t>
      </w:r>
      <w:r w:rsidR="00A121B0" w:rsidRPr="00472DB8">
        <w:rPr>
          <w:rFonts w:ascii="Times" w:hAnsi="Times" w:cs="Times"/>
          <w:szCs w:val="22"/>
        </w:rPr>
        <w:t>Commission</w:t>
      </w:r>
      <w:r w:rsidR="001C0AD4" w:rsidRPr="00472DB8">
        <w:rPr>
          <w:rFonts w:ascii="Times" w:hAnsi="Times" w:cs="Times"/>
          <w:szCs w:val="22"/>
        </w:rPr>
        <w:t xml:space="preserve"> determined that</w:t>
      </w:r>
      <w:r w:rsidR="00CB775E" w:rsidRPr="00472DB8">
        <w:rPr>
          <w:rFonts w:ascii="Times" w:hAnsi="Times" w:cs="Times"/>
          <w:szCs w:val="22"/>
        </w:rPr>
        <w:t xml:space="preserve"> a decision to introduce a new LP50 class could not have been reasonably anticipated by all interested parties</w:t>
      </w:r>
      <w:r w:rsidR="00A57933" w:rsidRPr="00472DB8">
        <w:rPr>
          <w:rFonts w:ascii="Times" w:hAnsi="Times" w:cs="Times"/>
          <w:szCs w:val="22"/>
        </w:rPr>
        <w:t>, and thus</w:t>
      </w:r>
      <w:r w:rsidR="00CE3257" w:rsidRPr="00472DB8">
        <w:rPr>
          <w:rFonts w:ascii="Times" w:hAnsi="Times" w:cs="Times"/>
          <w:szCs w:val="22"/>
        </w:rPr>
        <w:t>,</w:t>
      </w:r>
      <w:r w:rsidR="00A57933" w:rsidRPr="00472DB8">
        <w:rPr>
          <w:rFonts w:ascii="Times" w:hAnsi="Times" w:cs="Times"/>
          <w:szCs w:val="22"/>
        </w:rPr>
        <w:t xml:space="preserve"> was outside the scope of this proceeding.</w:t>
      </w:r>
      <w:r w:rsidR="00272C56" w:rsidRPr="00472DB8">
        <w:rPr>
          <w:rStyle w:val="FootnoteReference"/>
          <w:rFonts w:ascii="Times" w:hAnsi="Times" w:cs="Times"/>
          <w:szCs w:val="22"/>
        </w:rPr>
        <w:footnoteReference w:id="127"/>
      </w:r>
      <w:r w:rsidR="00CB775E" w:rsidRPr="00472DB8">
        <w:rPr>
          <w:rFonts w:ascii="Times" w:hAnsi="Times" w:cs="Times"/>
          <w:szCs w:val="22"/>
        </w:rPr>
        <w:t xml:space="preserve">  </w:t>
      </w:r>
    </w:p>
    <w:p w14:paraId="7E83EF19" w14:textId="77777777" w:rsidR="002B1E13" w:rsidRPr="00472DB8" w:rsidRDefault="002B1E13" w:rsidP="00E75380">
      <w:pPr>
        <w:pStyle w:val="ParaNum"/>
        <w:widowControl/>
        <w:numPr>
          <w:ilvl w:val="0"/>
          <w:numId w:val="0"/>
        </w:numPr>
        <w:spacing w:after="0"/>
        <w:ind w:left="720"/>
        <w:jc w:val="left"/>
        <w:rPr>
          <w:rFonts w:ascii="Times" w:hAnsi="Times" w:cs="Times"/>
          <w:szCs w:val="22"/>
        </w:rPr>
      </w:pPr>
    </w:p>
    <w:p w14:paraId="40C9223F" w14:textId="77F669EB" w:rsidR="00683E35" w:rsidRPr="00472DB8" w:rsidRDefault="0009678F" w:rsidP="00E75380">
      <w:pPr>
        <w:pStyle w:val="ParaNum"/>
        <w:widowControl/>
        <w:numPr>
          <w:ilvl w:val="0"/>
          <w:numId w:val="16"/>
        </w:numPr>
        <w:spacing w:after="0"/>
        <w:ind w:left="0"/>
        <w:jc w:val="left"/>
        <w:rPr>
          <w:rFonts w:ascii="Times" w:hAnsi="Times" w:cs="Times"/>
          <w:szCs w:val="22"/>
        </w:rPr>
      </w:pPr>
      <w:r w:rsidRPr="00472DB8">
        <w:rPr>
          <w:rFonts w:ascii="Times" w:hAnsi="Times" w:cs="Times"/>
          <w:szCs w:val="22"/>
        </w:rPr>
        <w:t>Let the Cities In!! (“LTCI”), along with a number of other parties,</w:t>
      </w:r>
      <w:r w:rsidRPr="00472DB8">
        <w:rPr>
          <w:rStyle w:val="FootnoteReference"/>
          <w:rFonts w:ascii="Times" w:hAnsi="Times" w:cs="Times"/>
          <w:szCs w:val="22"/>
        </w:rPr>
        <w:footnoteReference w:id="128"/>
      </w:r>
      <w:r w:rsidRPr="00472DB8">
        <w:rPr>
          <w:rFonts w:ascii="Times" w:hAnsi="Times" w:cs="Times"/>
          <w:szCs w:val="22"/>
        </w:rPr>
        <w:t xml:space="preserve"> </w:t>
      </w:r>
      <w:r w:rsidR="00A20882" w:rsidRPr="00472DB8">
        <w:rPr>
          <w:rFonts w:ascii="Times" w:hAnsi="Times" w:cs="Times"/>
          <w:szCs w:val="22"/>
        </w:rPr>
        <w:t>seeks reconsideration of</w:t>
      </w:r>
      <w:r w:rsidRPr="00472DB8">
        <w:rPr>
          <w:rFonts w:ascii="Times" w:hAnsi="Times" w:cs="Times"/>
          <w:szCs w:val="22"/>
        </w:rPr>
        <w:t xml:space="preserve"> </w:t>
      </w:r>
      <w:r w:rsidR="00EB5EFD" w:rsidRPr="00472DB8">
        <w:rPr>
          <w:rFonts w:ascii="Times" w:hAnsi="Times" w:cs="Times"/>
          <w:szCs w:val="22"/>
        </w:rPr>
        <w:t xml:space="preserve">the </w:t>
      </w:r>
      <w:r w:rsidRPr="00472DB8">
        <w:rPr>
          <w:rFonts w:ascii="Times" w:hAnsi="Times" w:cs="Times"/>
          <w:szCs w:val="22"/>
        </w:rPr>
        <w:t>decision to eliminate</w:t>
      </w:r>
      <w:r w:rsidR="00507C66" w:rsidRPr="00472DB8">
        <w:rPr>
          <w:rFonts w:ascii="Times" w:hAnsi="Times" w:cs="Times"/>
          <w:szCs w:val="22"/>
        </w:rPr>
        <w:t xml:space="preserve"> the LP10 class of service and </w:t>
      </w:r>
      <w:r w:rsidR="00EB5EFD" w:rsidRPr="00472DB8">
        <w:rPr>
          <w:rFonts w:ascii="Times" w:hAnsi="Times" w:cs="Times"/>
          <w:szCs w:val="22"/>
        </w:rPr>
        <w:t>the</w:t>
      </w:r>
      <w:r w:rsidR="00A20882" w:rsidRPr="00472DB8">
        <w:rPr>
          <w:rFonts w:ascii="Times" w:hAnsi="Times" w:cs="Times"/>
          <w:szCs w:val="22"/>
        </w:rPr>
        <w:t xml:space="preserve"> decision </w:t>
      </w:r>
      <w:r w:rsidR="00A57933" w:rsidRPr="00472DB8">
        <w:rPr>
          <w:rFonts w:ascii="Times" w:hAnsi="Times" w:cs="Times"/>
          <w:szCs w:val="22"/>
        </w:rPr>
        <w:t>not to allow</w:t>
      </w:r>
      <w:r w:rsidR="00507C66" w:rsidRPr="00472DB8">
        <w:rPr>
          <w:rFonts w:ascii="Times" w:hAnsi="Times" w:cs="Times"/>
          <w:szCs w:val="22"/>
        </w:rPr>
        <w:t xml:space="preserve"> another </w:t>
      </w:r>
      <w:r w:rsidR="007C7B2F" w:rsidRPr="00472DB8">
        <w:rPr>
          <w:rFonts w:ascii="Times" w:hAnsi="Times" w:cs="Times"/>
          <w:szCs w:val="22"/>
        </w:rPr>
        <w:t xml:space="preserve">lower </w:t>
      </w:r>
      <w:r w:rsidR="00507C66" w:rsidRPr="00472DB8">
        <w:rPr>
          <w:rFonts w:ascii="Times" w:hAnsi="Times" w:cs="Times"/>
          <w:szCs w:val="22"/>
        </w:rPr>
        <w:t xml:space="preserve">class of </w:t>
      </w:r>
      <w:r w:rsidR="007C7B2F" w:rsidRPr="00472DB8">
        <w:rPr>
          <w:rFonts w:ascii="Times" w:hAnsi="Times" w:cs="Times"/>
          <w:szCs w:val="22"/>
        </w:rPr>
        <w:t xml:space="preserve">LPFM </w:t>
      </w:r>
      <w:r w:rsidR="00507C66" w:rsidRPr="00472DB8">
        <w:rPr>
          <w:rFonts w:ascii="Times" w:hAnsi="Times" w:cs="Times"/>
          <w:szCs w:val="22"/>
        </w:rPr>
        <w:t>service</w:t>
      </w:r>
      <w:r w:rsidR="007C7B2F" w:rsidRPr="00472DB8">
        <w:rPr>
          <w:rFonts w:ascii="Times" w:hAnsi="Times" w:cs="Times"/>
          <w:szCs w:val="22"/>
        </w:rPr>
        <w:t>,</w:t>
      </w:r>
      <w:r w:rsidR="00507C66" w:rsidRPr="00472DB8">
        <w:rPr>
          <w:rFonts w:ascii="Times" w:hAnsi="Times" w:cs="Times"/>
          <w:szCs w:val="22"/>
        </w:rPr>
        <w:t xml:space="preserve"> such as an </w:t>
      </w:r>
      <w:r w:rsidR="009E7574" w:rsidRPr="00472DB8">
        <w:rPr>
          <w:rFonts w:ascii="Times" w:hAnsi="Times" w:cs="Times"/>
          <w:szCs w:val="22"/>
        </w:rPr>
        <w:t>LP</w:t>
      </w:r>
      <w:r w:rsidR="00507C66" w:rsidRPr="00472DB8">
        <w:rPr>
          <w:rFonts w:ascii="Times" w:hAnsi="Times" w:cs="Times"/>
          <w:szCs w:val="22"/>
        </w:rPr>
        <w:t>50</w:t>
      </w:r>
      <w:r w:rsidR="009E7574" w:rsidRPr="00472DB8">
        <w:rPr>
          <w:rFonts w:ascii="Times" w:hAnsi="Times" w:cs="Times"/>
          <w:szCs w:val="22"/>
        </w:rPr>
        <w:t xml:space="preserve"> </w:t>
      </w:r>
      <w:r w:rsidR="00A20882" w:rsidRPr="00472DB8">
        <w:rPr>
          <w:rFonts w:ascii="Times" w:hAnsi="Times" w:cs="Times"/>
          <w:szCs w:val="22"/>
        </w:rPr>
        <w:t>class of service</w:t>
      </w:r>
      <w:r w:rsidR="006B0932" w:rsidRPr="00472DB8">
        <w:rPr>
          <w:rFonts w:ascii="Times" w:hAnsi="Times" w:cs="Times"/>
          <w:szCs w:val="22"/>
        </w:rPr>
        <w:t>.</w:t>
      </w:r>
      <w:r w:rsidR="006B0932" w:rsidRPr="00472DB8">
        <w:rPr>
          <w:rStyle w:val="FootnoteReference"/>
          <w:rFonts w:ascii="Times" w:hAnsi="Times" w:cs="Times"/>
          <w:szCs w:val="22"/>
        </w:rPr>
        <w:footnoteReference w:id="129"/>
      </w:r>
      <w:r w:rsidR="006B0932" w:rsidRPr="00472DB8">
        <w:rPr>
          <w:rFonts w:ascii="Times" w:hAnsi="Times" w:cs="Times"/>
          <w:szCs w:val="22"/>
        </w:rPr>
        <w:t xml:space="preserve">  </w:t>
      </w:r>
      <w:r w:rsidR="007E114D" w:rsidRPr="00472DB8">
        <w:rPr>
          <w:rFonts w:ascii="Times" w:hAnsi="Times" w:cs="Times"/>
          <w:szCs w:val="22"/>
        </w:rPr>
        <w:t>In L</w:t>
      </w:r>
      <w:r w:rsidR="001C4C51" w:rsidRPr="00472DB8">
        <w:rPr>
          <w:rFonts w:ascii="Times" w:hAnsi="Times" w:cs="Times"/>
          <w:szCs w:val="22"/>
        </w:rPr>
        <w:t>TC</w:t>
      </w:r>
      <w:r w:rsidR="007E114D" w:rsidRPr="00472DB8">
        <w:rPr>
          <w:rFonts w:ascii="Times" w:hAnsi="Times" w:cs="Times"/>
          <w:szCs w:val="22"/>
        </w:rPr>
        <w:t xml:space="preserve">I’s view, </w:t>
      </w:r>
      <w:r w:rsidR="00115B39" w:rsidRPr="00472DB8">
        <w:rPr>
          <w:rFonts w:ascii="Times" w:hAnsi="Times" w:cs="Times"/>
          <w:szCs w:val="22"/>
        </w:rPr>
        <w:t xml:space="preserve">in order </w:t>
      </w:r>
      <w:r w:rsidR="007E114D" w:rsidRPr="00472DB8">
        <w:rPr>
          <w:rFonts w:ascii="Times" w:hAnsi="Times" w:cs="Times"/>
          <w:szCs w:val="22"/>
        </w:rPr>
        <w:t xml:space="preserve">to maximize the number of new LPFM facilities, the Commission should authorize </w:t>
      </w:r>
      <w:r w:rsidR="000E6CA2" w:rsidRPr="00472DB8">
        <w:rPr>
          <w:rFonts w:ascii="Times" w:hAnsi="Times" w:cs="Times"/>
          <w:szCs w:val="22"/>
        </w:rPr>
        <w:t>stations operating at less than 50 Watts</w:t>
      </w:r>
      <w:r w:rsidR="007E114D" w:rsidRPr="00472DB8">
        <w:rPr>
          <w:rFonts w:ascii="Times" w:hAnsi="Times" w:cs="Times"/>
          <w:szCs w:val="22"/>
        </w:rPr>
        <w:t xml:space="preserve"> in “urban core” areas, </w:t>
      </w:r>
      <w:r w:rsidR="00821EEF" w:rsidRPr="00472DB8">
        <w:rPr>
          <w:rFonts w:ascii="Times" w:hAnsi="Times" w:cs="Times"/>
          <w:szCs w:val="22"/>
        </w:rPr>
        <w:t xml:space="preserve">those </w:t>
      </w:r>
      <w:r w:rsidR="009B1FED" w:rsidRPr="00472DB8">
        <w:rPr>
          <w:rFonts w:ascii="Times" w:hAnsi="Times" w:cs="Times"/>
          <w:szCs w:val="22"/>
        </w:rPr>
        <w:t>in</w:t>
      </w:r>
      <w:r w:rsidR="007E114D" w:rsidRPr="00472DB8">
        <w:rPr>
          <w:rFonts w:ascii="Times" w:hAnsi="Times" w:cs="Times"/>
          <w:szCs w:val="22"/>
        </w:rPr>
        <w:t xml:space="preserve"> the top 100 Arbit</w:t>
      </w:r>
      <w:r w:rsidR="00821EEF" w:rsidRPr="00472DB8">
        <w:rPr>
          <w:rFonts w:ascii="Times" w:hAnsi="Times" w:cs="Times"/>
          <w:szCs w:val="22"/>
        </w:rPr>
        <w:t>ron M</w:t>
      </w:r>
      <w:r w:rsidR="007E114D" w:rsidRPr="00472DB8">
        <w:rPr>
          <w:rFonts w:ascii="Times" w:hAnsi="Times" w:cs="Times"/>
          <w:szCs w:val="22"/>
        </w:rPr>
        <w:t>arkets.</w:t>
      </w:r>
      <w:r w:rsidR="007E114D" w:rsidRPr="00472DB8">
        <w:rPr>
          <w:rStyle w:val="FootnoteReference"/>
          <w:rFonts w:ascii="Times" w:hAnsi="Times" w:cs="Times"/>
          <w:szCs w:val="22"/>
        </w:rPr>
        <w:footnoteReference w:id="130"/>
      </w:r>
      <w:r w:rsidR="003E24CA" w:rsidRPr="00472DB8">
        <w:rPr>
          <w:rFonts w:ascii="Times" w:hAnsi="Times" w:cs="Times"/>
          <w:szCs w:val="22"/>
        </w:rPr>
        <w:t xml:space="preserve"> </w:t>
      </w:r>
      <w:r w:rsidR="007E114D" w:rsidRPr="00472DB8">
        <w:rPr>
          <w:rFonts w:ascii="Times" w:hAnsi="Times" w:cs="Times"/>
          <w:szCs w:val="22"/>
        </w:rPr>
        <w:t xml:space="preserve"> </w:t>
      </w:r>
      <w:r w:rsidR="000617A7" w:rsidRPr="00472DB8">
        <w:rPr>
          <w:rFonts w:ascii="Times" w:hAnsi="Times" w:cs="Times"/>
          <w:szCs w:val="22"/>
        </w:rPr>
        <w:t xml:space="preserve">NPR states LTCI’s Petition should be denied because LTCI </w:t>
      </w:r>
      <w:r w:rsidR="007C7B2F" w:rsidRPr="00472DB8">
        <w:rPr>
          <w:rFonts w:ascii="Times" w:hAnsi="Times" w:cs="Times"/>
          <w:szCs w:val="22"/>
        </w:rPr>
        <w:t xml:space="preserve">relies on the same arguments </w:t>
      </w:r>
      <w:r w:rsidR="009E3D34" w:rsidRPr="00472DB8">
        <w:rPr>
          <w:rFonts w:ascii="Times" w:hAnsi="Times" w:cs="Times"/>
          <w:szCs w:val="22"/>
        </w:rPr>
        <w:t xml:space="preserve">that </w:t>
      </w:r>
      <w:r w:rsidR="007C7B2F" w:rsidRPr="00472DB8">
        <w:rPr>
          <w:rFonts w:ascii="Times" w:hAnsi="Times" w:cs="Times"/>
          <w:szCs w:val="22"/>
        </w:rPr>
        <w:t>the Commission found insufficient to retain the LP10 class of service</w:t>
      </w:r>
      <w:r w:rsidR="000617A7" w:rsidRPr="00472DB8">
        <w:rPr>
          <w:rFonts w:ascii="Times" w:hAnsi="Times" w:cs="Times"/>
          <w:szCs w:val="22"/>
        </w:rPr>
        <w:t>,</w:t>
      </w:r>
      <w:r w:rsidR="00A62324" w:rsidRPr="00472DB8">
        <w:rPr>
          <w:rStyle w:val="FootnoteReference"/>
          <w:rFonts w:ascii="Times" w:hAnsi="Times" w:cs="Times"/>
          <w:szCs w:val="22"/>
        </w:rPr>
        <w:footnoteReference w:id="131"/>
      </w:r>
      <w:r w:rsidR="000617A7" w:rsidRPr="00472DB8">
        <w:rPr>
          <w:rFonts w:ascii="Times" w:hAnsi="Times" w:cs="Times"/>
          <w:szCs w:val="22"/>
        </w:rPr>
        <w:t xml:space="preserve"> while National Association of Broadcasters </w:t>
      </w:r>
      <w:r w:rsidR="000E6CA2" w:rsidRPr="00472DB8">
        <w:rPr>
          <w:rFonts w:ascii="Times" w:hAnsi="Times" w:cs="Times"/>
          <w:szCs w:val="22"/>
        </w:rPr>
        <w:t xml:space="preserve">similarly </w:t>
      </w:r>
      <w:r w:rsidR="000617A7" w:rsidRPr="00472DB8">
        <w:rPr>
          <w:rFonts w:ascii="Times" w:hAnsi="Times" w:cs="Times"/>
          <w:szCs w:val="22"/>
        </w:rPr>
        <w:t>argues the Commission has addressed and disposed of LTCI’s concerns previously.</w:t>
      </w:r>
      <w:r w:rsidR="00A62324" w:rsidRPr="00472DB8">
        <w:rPr>
          <w:rStyle w:val="FootnoteReference"/>
          <w:rFonts w:ascii="Times" w:hAnsi="Times" w:cs="Times"/>
          <w:szCs w:val="22"/>
        </w:rPr>
        <w:footnoteReference w:id="132"/>
      </w:r>
      <w:r w:rsidR="000617A7" w:rsidRPr="00472DB8">
        <w:rPr>
          <w:rFonts w:ascii="Times" w:hAnsi="Times" w:cs="Times"/>
          <w:szCs w:val="22"/>
        </w:rPr>
        <w:t xml:space="preserve">  </w:t>
      </w:r>
    </w:p>
    <w:p w14:paraId="7F339E5A" w14:textId="77777777" w:rsidR="00683E35" w:rsidRPr="00472DB8" w:rsidRDefault="00683E35" w:rsidP="00E75380">
      <w:pPr>
        <w:pStyle w:val="ParaNum"/>
        <w:widowControl/>
        <w:numPr>
          <w:ilvl w:val="0"/>
          <w:numId w:val="0"/>
        </w:numPr>
        <w:spacing w:after="0"/>
        <w:jc w:val="left"/>
        <w:rPr>
          <w:rFonts w:ascii="Times" w:hAnsi="Times" w:cs="Times"/>
          <w:szCs w:val="22"/>
        </w:rPr>
      </w:pPr>
    </w:p>
    <w:p w14:paraId="7A4EF03B" w14:textId="7A7EE4AC" w:rsidR="002F6D1A" w:rsidRPr="00472DB8" w:rsidRDefault="00CE3257" w:rsidP="00E75380">
      <w:pPr>
        <w:pStyle w:val="ParaNum"/>
        <w:widowControl/>
        <w:numPr>
          <w:ilvl w:val="0"/>
          <w:numId w:val="16"/>
        </w:numPr>
        <w:spacing w:after="0"/>
        <w:ind w:left="0"/>
        <w:jc w:val="left"/>
        <w:rPr>
          <w:rFonts w:ascii="Times" w:hAnsi="Times" w:cs="Times"/>
          <w:szCs w:val="22"/>
        </w:rPr>
      </w:pPr>
      <w:r w:rsidRPr="00472DB8">
        <w:rPr>
          <w:rFonts w:ascii="Times" w:hAnsi="Times" w:cs="Times"/>
        </w:rPr>
        <w:t xml:space="preserve">Specifically, </w:t>
      </w:r>
      <w:r w:rsidR="006D719A" w:rsidRPr="00472DB8">
        <w:rPr>
          <w:rFonts w:ascii="Times" w:hAnsi="Times" w:cs="Times"/>
        </w:rPr>
        <w:t>LTCI argues th</w:t>
      </w:r>
      <w:r w:rsidR="00EB5EFD" w:rsidRPr="00472DB8">
        <w:rPr>
          <w:rFonts w:ascii="Times" w:hAnsi="Times" w:cs="Times"/>
        </w:rPr>
        <w:t>at</w:t>
      </w:r>
      <w:r w:rsidR="006D719A" w:rsidRPr="00472DB8">
        <w:rPr>
          <w:rFonts w:ascii="Times" w:hAnsi="Times" w:cs="Times"/>
        </w:rPr>
        <w:t xml:space="preserve"> </w:t>
      </w:r>
      <w:r w:rsidR="00EB5EFD" w:rsidRPr="00472DB8">
        <w:rPr>
          <w:rFonts w:ascii="Times" w:hAnsi="Times" w:cs="Times"/>
        </w:rPr>
        <w:t xml:space="preserve">elimination of </w:t>
      </w:r>
      <w:r w:rsidR="006D719A" w:rsidRPr="00472DB8">
        <w:rPr>
          <w:rFonts w:ascii="Times" w:hAnsi="Times" w:cs="Times"/>
        </w:rPr>
        <w:t xml:space="preserve">the LP10 class </w:t>
      </w:r>
      <w:r w:rsidR="00EB5EFD" w:rsidRPr="00472DB8">
        <w:rPr>
          <w:rFonts w:ascii="Times" w:hAnsi="Times" w:cs="Times"/>
        </w:rPr>
        <w:t xml:space="preserve">violates the Administrative Procedure Act (“APA”) </w:t>
      </w:r>
      <w:r w:rsidR="006D719A" w:rsidRPr="00472DB8">
        <w:rPr>
          <w:rFonts w:ascii="Times" w:hAnsi="Times" w:cs="Times"/>
        </w:rPr>
        <w:t>because the Commission offered no explanation as to why it proposed to eliminate th</w:t>
      </w:r>
      <w:r w:rsidR="000F7B34" w:rsidRPr="00472DB8">
        <w:rPr>
          <w:rFonts w:ascii="Times" w:hAnsi="Times" w:cs="Times"/>
        </w:rPr>
        <w:t>at</w:t>
      </w:r>
      <w:r w:rsidR="006D719A" w:rsidRPr="00472DB8">
        <w:rPr>
          <w:rFonts w:ascii="Times" w:hAnsi="Times" w:cs="Times"/>
        </w:rPr>
        <w:t xml:space="preserve"> service.</w:t>
      </w:r>
      <w:r w:rsidR="006D719A" w:rsidRPr="00472DB8">
        <w:rPr>
          <w:rStyle w:val="FootnoteReference"/>
          <w:rFonts w:ascii="Times" w:hAnsi="Times" w:cs="Times"/>
        </w:rPr>
        <w:footnoteReference w:id="133"/>
      </w:r>
      <w:r w:rsidR="006D719A" w:rsidRPr="00472DB8">
        <w:rPr>
          <w:rFonts w:ascii="Times" w:hAnsi="Times" w:cs="Times"/>
        </w:rPr>
        <w:t xml:space="preserve">  </w:t>
      </w:r>
      <w:r w:rsidRPr="00472DB8">
        <w:rPr>
          <w:rFonts w:ascii="Times" w:hAnsi="Times" w:cs="Times"/>
        </w:rPr>
        <w:t xml:space="preserve">This claim is </w:t>
      </w:r>
      <w:r w:rsidR="000E6CA2" w:rsidRPr="00472DB8">
        <w:rPr>
          <w:rFonts w:ascii="Times" w:hAnsi="Times" w:cs="Times"/>
        </w:rPr>
        <w:t>without legal basis</w:t>
      </w:r>
      <w:r w:rsidRPr="00472DB8">
        <w:rPr>
          <w:rFonts w:ascii="Times" w:hAnsi="Times" w:cs="Times"/>
        </w:rPr>
        <w:t xml:space="preserve">.  </w:t>
      </w:r>
      <w:r w:rsidR="00A61FE9" w:rsidRPr="00472DB8">
        <w:rPr>
          <w:rFonts w:ascii="Times" w:hAnsi="Times" w:cs="Times"/>
        </w:rPr>
        <w:t>Sections 553(b) and (c) of the APA require the Commission to give public notice of a proposed rulemaking that includes “either the terms or substance of the proposed rule or a description of the subjects and issues involved” and to give interested parties an opportunity to submit comments on the proposal.</w:t>
      </w:r>
      <w:r w:rsidR="00A61FE9" w:rsidRPr="00472DB8">
        <w:rPr>
          <w:rStyle w:val="FootnoteReference"/>
          <w:rFonts w:ascii="Times" w:hAnsi="Times" w:cs="Times"/>
        </w:rPr>
        <w:footnoteReference w:id="134"/>
      </w:r>
      <w:r w:rsidR="00A61FE9" w:rsidRPr="00472DB8">
        <w:rPr>
          <w:rFonts w:ascii="Times" w:hAnsi="Times" w:cs="Times"/>
        </w:rPr>
        <w:t xml:space="preserve">  Notice is sufficient where the description of the subjects and issues involved affords interested parties a reasonable opportunity to participate in the proceeding.</w:t>
      </w:r>
      <w:r w:rsidR="00A61FE9" w:rsidRPr="00472DB8">
        <w:rPr>
          <w:rStyle w:val="FootnoteReference"/>
          <w:rFonts w:ascii="Times" w:hAnsi="Times" w:cs="Times"/>
        </w:rPr>
        <w:footnoteReference w:id="135"/>
      </w:r>
      <w:r w:rsidR="00A61FE9" w:rsidRPr="00472DB8">
        <w:rPr>
          <w:rFonts w:ascii="Times" w:hAnsi="Times" w:cs="Times"/>
        </w:rPr>
        <w:t xml:space="preserve">  </w:t>
      </w:r>
      <w:r w:rsidR="001A302C" w:rsidRPr="00472DB8">
        <w:rPr>
          <w:rFonts w:ascii="Times" w:hAnsi="Times" w:cs="Times"/>
        </w:rPr>
        <w:t xml:space="preserve">The </w:t>
      </w:r>
      <w:r w:rsidR="001A302C" w:rsidRPr="00472DB8">
        <w:rPr>
          <w:rFonts w:ascii="Times" w:hAnsi="Times" w:cs="Times"/>
          <w:i/>
        </w:rPr>
        <w:t>Fourth Further Notice</w:t>
      </w:r>
      <w:r w:rsidR="001A302C" w:rsidRPr="00472DB8">
        <w:rPr>
          <w:rFonts w:ascii="Times" w:hAnsi="Times" w:cs="Times"/>
        </w:rPr>
        <w:t xml:space="preserve"> </w:t>
      </w:r>
      <w:r w:rsidR="004348D8" w:rsidRPr="00472DB8">
        <w:rPr>
          <w:rFonts w:ascii="Times" w:hAnsi="Times" w:cs="Times"/>
        </w:rPr>
        <w:t xml:space="preserve">clearly and </w:t>
      </w:r>
      <w:r w:rsidR="001A302C" w:rsidRPr="00472DB8">
        <w:rPr>
          <w:rFonts w:ascii="Times" w:hAnsi="Times" w:cs="Times"/>
        </w:rPr>
        <w:t>explicitly sought “comment on whether to eliminate the LP10 class of service.”</w:t>
      </w:r>
      <w:r w:rsidR="001A302C" w:rsidRPr="00472DB8">
        <w:rPr>
          <w:rStyle w:val="FootnoteReference"/>
          <w:rFonts w:ascii="Times" w:hAnsi="Times" w:cs="Times"/>
        </w:rPr>
        <w:footnoteReference w:id="136"/>
      </w:r>
      <w:r w:rsidR="001A302C" w:rsidRPr="00472DB8">
        <w:rPr>
          <w:rFonts w:ascii="Times" w:hAnsi="Times" w:cs="Times"/>
        </w:rPr>
        <w:t xml:space="preserve">  In response, numerous parties provided comments for</w:t>
      </w:r>
      <w:r w:rsidR="001A302C" w:rsidRPr="00472DB8">
        <w:rPr>
          <w:rStyle w:val="FootnoteReference"/>
          <w:rFonts w:ascii="Times" w:hAnsi="Times" w:cs="Times"/>
        </w:rPr>
        <w:footnoteReference w:id="137"/>
      </w:r>
      <w:r w:rsidR="00375CC6" w:rsidRPr="00472DB8">
        <w:rPr>
          <w:rFonts w:ascii="Times" w:hAnsi="Times" w:cs="Times"/>
        </w:rPr>
        <w:t xml:space="preserve"> </w:t>
      </w:r>
      <w:r w:rsidR="001A302C" w:rsidRPr="00472DB8">
        <w:rPr>
          <w:rFonts w:ascii="Times" w:hAnsi="Times" w:cs="Times"/>
        </w:rPr>
        <w:t>and against</w:t>
      </w:r>
      <w:r w:rsidR="001A302C" w:rsidRPr="00472DB8">
        <w:rPr>
          <w:rStyle w:val="FootnoteReference"/>
          <w:rFonts w:ascii="Times" w:hAnsi="Times" w:cs="Times"/>
        </w:rPr>
        <w:footnoteReference w:id="138"/>
      </w:r>
      <w:r w:rsidR="001A302C" w:rsidRPr="00472DB8">
        <w:rPr>
          <w:rFonts w:ascii="Times" w:hAnsi="Times" w:cs="Times"/>
        </w:rPr>
        <w:t xml:space="preserve"> retaining the LP10 class.  It is evident that </w:t>
      </w:r>
      <w:r w:rsidR="00DD11CF" w:rsidRPr="00472DB8">
        <w:rPr>
          <w:rFonts w:ascii="Times" w:hAnsi="Times" w:cs="Times"/>
        </w:rPr>
        <w:t xml:space="preserve">all </w:t>
      </w:r>
      <w:r w:rsidR="001A302C" w:rsidRPr="00472DB8">
        <w:rPr>
          <w:rFonts w:ascii="Times" w:hAnsi="Times" w:cs="Times"/>
        </w:rPr>
        <w:t>interested parties had an opportunity to submit comments on the proposal to eliminate the LP10 class of service and that APA requirements have been satisfied.</w:t>
      </w:r>
      <w:r w:rsidR="00FE00FD" w:rsidRPr="00472DB8">
        <w:rPr>
          <w:rStyle w:val="FootnoteReference"/>
          <w:rFonts w:ascii="Times" w:hAnsi="Times" w:cs="Times"/>
        </w:rPr>
        <w:footnoteReference w:id="139"/>
      </w:r>
      <w:r w:rsidR="001A302C" w:rsidRPr="00472DB8">
        <w:rPr>
          <w:rFonts w:ascii="Times" w:hAnsi="Times" w:cs="Times"/>
        </w:rPr>
        <w:t xml:space="preserve">  </w:t>
      </w:r>
    </w:p>
    <w:p w14:paraId="41630C48" w14:textId="77777777" w:rsidR="002F6D1A" w:rsidRPr="00472DB8" w:rsidRDefault="002F6D1A" w:rsidP="00E75380">
      <w:pPr>
        <w:pStyle w:val="ParaNum"/>
        <w:widowControl/>
        <w:numPr>
          <w:ilvl w:val="0"/>
          <w:numId w:val="0"/>
        </w:numPr>
        <w:spacing w:after="0"/>
        <w:jc w:val="left"/>
        <w:rPr>
          <w:rFonts w:ascii="Times" w:hAnsi="Times" w:cs="Times"/>
          <w:szCs w:val="22"/>
        </w:rPr>
      </w:pPr>
    </w:p>
    <w:p w14:paraId="0FDB01F2" w14:textId="5645A302" w:rsidR="0055557D" w:rsidRPr="00472DB8" w:rsidRDefault="00F32ED6" w:rsidP="00E75380">
      <w:pPr>
        <w:pStyle w:val="ParaNum"/>
        <w:widowControl/>
        <w:numPr>
          <w:ilvl w:val="0"/>
          <w:numId w:val="16"/>
        </w:numPr>
        <w:spacing w:after="0"/>
        <w:ind w:left="0"/>
        <w:jc w:val="left"/>
        <w:rPr>
          <w:rFonts w:ascii="Times" w:hAnsi="Times" w:cs="Times"/>
          <w:szCs w:val="22"/>
        </w:rPr>
      </w:pPr>
      <w:r w:rsidRPr="00472DB8">
        <w:rPr>
          <w:rFonts w:ascii="Times" w:hAnsi="Times" w:cs="Times"/>
          <w:szCs w:val="22"/>
        </w:rPr>
        <w:t xml:space="preserve">Substantively, LTCI </w:t>
      </w:r>
      <w:r w:rsidR="003E24CA" w:rsidRPr="00472DB8">
        <w:rPr>
          <w:rFonts w:ascii="Times" w:hAnsi="Times" w:cs="Times"/>
          <w:szCs w:val="22"/>
        </w:rPr>
        <w:t xml:space="preserve">maintains </w:t>
      </w:r>
      <w:r w:rsidR="0002703D" w:rsidRPr="00472DB8">
        <w:rPr>
          <w:rFonts w:ascii="Times" w:hAnsi="Times" w:cs="Times"/>
          <w:szCs w:val="22"/>
        </w:rPr>
        <w:t xml:space="preserve">the Commission’s technical and financial concerns do not justify </w:t>
      </w:r>
      <w:r w:rsidRPr="00472DB8">
        <w:rPr>
          <w:rFonts w:ascii="Times" w:hAnsi="Times" w:cs="Times"/>
          <w:szCs w:val="22"/>
        </w:rPr>
        <w:t>the elimination of the LP10 service</w:t>
      </w:r>
      <w:r w:rsidR="00C0695F" w:rsidRPr="00472DB8">
        <w:rPr>
          <w:rFonts w:ascii="Times" w:hAnsi="Times" w:cs="Times"/>
          <w:szCs w:val="22"/>
        </w:rPr>
        <w:t>,</w:t>
      </w:r>
      <w:r w:rsidRPr="00472DB8">
        <w:rPr>
          <w:rFonts w:ascii="Times" w:hAnsi="Times" w:cs="Times"/>
          <w:szCs w:val="22"/>
        </w:rPr>
        <w:t xml:space="preserve"> which it believes could provide community radio service in “urban core” areas</w:t>
      </w:r>
      <w:r w:rsidRPr="00472DB8">
        <w:rPr>
          <w:rStyle w:val="FootnoteReference"/>
          <w:rFonts w:ascii="Times" w:hAnsi="Times" w:cs="Times"/>
          <w:szCs w:val="22"/>
        </w:rPr>
        <w:footnoteReference w:id="140"/>
      </w:r>
      <w:r w:rsidRPr="00472DB8">
        <w:rPr>
          <w:rFonts w:ascii="Times" w:hAnsi="Times" w:cs="Times"/>
          <w:szCs w:val="22"/>
        </w:rPr>
        <w:t xml:space="preserve"> in which spectrum is very limited.</w:t>
      </w:r>
      <w:r w:rsidR="009E0132" w:rsidRPr="00472DB8">
        <w:rPr>
          <w:rStyle w:val="FootnoteReference"/>
          <w:rFonts w:ascii="Times" w:hAnsi="Times" w:cs="Times"/>
          <w:szCs w:val="22"/>
        </w:rPr>
        <w:footnoteReference w:id="141"/>
      </w:r>
      <w:r w:rsidRPr="00472DB8">
        <w:rPr>
          <w:rFonts w:ascii="Times" w:hAnsi="Times" w:cs="Times"/>
          <w:szCs w:val="22"/>
        </w:rPr>
        <w:t xml:space="preserve">  </w:t>
      </w:r>
      <w:r w:rsidR="0055557D" w:rsidRPr="00472DB8">
        <w:rPr>
          <w:rFonts w:ascii="Times" w:hAnsi="Times" w:cs="Times"/>
          <w:szCs w:val="22"/>
        </w:rPr>
        <w:t>LTCI argues the Commission erred in finding LP10 stations would not be an efficient use of spectrum.</w:t>
      </w:r>
      <w:r w:rsidR="0055557D" w:rsidRPr="00472DB8">
        <w:rPr>
          <w:rStyle w:val="FootnoteReference"/>
          <w:rFonts w:ascii="Times" w:hAnsi="Times" w:cs="Times"/>
          <w:szCs w:val="22"/>
        </w:rPr>
        <w:footnoteReference w:id="142"/>
      </w:r>
      <w:r w:rsidR="0055557D" w:rsidRPr="00472DB8">
        <w:rPr>
          <w:rFonts w:ascii="Times" w:hAnsi="Times" w:cs="Times"/>
          <w:szCs w:val="22"/>
        </w:rPr>
        <w:t xml:space="preserve">  </w:t>
      </w:r>
      <w:r w:rsidR="0055557D" w:rsidRPr="00472DB8">
        <w:rPr>
          <w:rFonts w:ascii="Times" w:hAnsi="Times" w:cs="Times"/>
        </w:rPr>
        <w:t>LTCI argues</w:t>
      </w:r>
      <w:r w:rsidR="00593FC9" w:rsidRPr="00472DB8">
        <w:rPr>
          <w:rFonts w:ascii="Times" w:hAnsi="Times" w:cs="Times"/>
        </w:rPr>
        <w:t xml:space="preserve"> LP10 stations “can be ‘dense packed’ on the same channel in a neighborhood” </w:t>
      </w:r>
      <w:r w:rsidR="0002703D" w:rsidRPr="00472DB8">
        <w:rPr>
          <w:rFonts w:ascii="Times" w:hAnsi="Times" w:cs="Times"/>
        </w:rPr>
        <w:t xml:space="preserve">to increase efficiency </w:t>
      </w:r>
      <w:r w:rsidR="00593FC9" w:rsidRPr="00472DB8">
        <w:rPr>
          <w:rFonts w:ascii="Times" w:hAnsi="Times" w:cs="Times"/>
        </w:rPr>
        <w:t>and</w:t>
      </w:r>
      <w:r w:rsidR="0055557D" w:rsidRPr="00472DB8">
        <w:rPr>
          <w:rFonts w:ascii="Times" w:hAnsi="Times" w:cs="Times"/>
        </w:rPr>
        <w:t xml:space="preserve"> the use of directional ante</w:t>
      </w:r>
      <w:r w:rsidR="00593FC9" w:rsidRPr="00472DB8">
        <w:rPr>
          <w:rFonts w:ascii="Times" w:hAnsi="Times" w:cs="Times"/>
        </w:rPr>
        <w:t xml:space="preserve">nnas can </w:t>
      </w:r>
      <w:r w:rsidR="00802DA5" w:rsidRPr="00472DB8">
        <w:rPr>
          <w:rFonts w:ascii="Times" w:hAnsi="Times" w:cs="Times"/>
        </w:rPr>
        <w:t xml:space="preserve">also </w:t>
      </w:r>
      <w:r w:rsidR="00593FC9" w:rsidRPr="00472DB8">
        <w:rPr>
          <w:rFonts w:ascii="Times" w:hAnsi="Times" w:cs="Times"/>
        </w:rPr>
        <w:t>increase the efficiency of an LP10 service class.</w:t>
      </w:r>
      <w:r w:rsidR="00593FC9" w:rsidRPr="00472DB8">
        <w:rPr>
          <w:rStyle w:val="FootnoteReference"/>
          <w:rFonts w:ascii="Times" w:hAnsi="Times" w:cs="Times"/>
        </w:rPr>
        <w:footnoteReference w:id="143"/>
      </w:r>
      <w:r w:rsidR="008E4737" w:rsidRPr="00472DB8">
        <w:rPr>
          <w:rFonts w:ascii="Times" w:hAnsi="Times" w:cs="Times"/>
        </w:rPr>
        <w:t xml:space="preserve">  LTCI also argues an LP10 service </w:t>
      </w:r>
      <w:r w:rsidR="00C1577A" w:rsidRPr="00472DB8">
        <w:rPr>
          <w:rFonts w:ascii="Times" w:hAnsi="Times" w:cs="Times"/>
        </w:rPr>
        <w:t xml:space="preserve">is technically viable </w:t>
      </w:r>
      <w:r w:rsidR="008E4737" w:rsidRPr="00472DB8">
        <w:rPr>
          <w:rFonts w:ascii="Times" w:hAnsi="Times" w:cs="Times"/>
        </w:rPr>
        <w:t>si</w:t>
      </w:r>
      <w:r w:rsidR="00DF0349" w:rsidRPr="00472DB8">
        <w:rPr>
          <w:rFonts w:ascii="Times" w:hAnsi="Times" w:cs="Times"/>
        </w:rPr>
        <w:t>nce the Commission licenses 10 W</w:t>
      </w:r>
      <w:r w:rsidR="008E4737" w:rsidRPr="00472DB8">
        <w:rPr>
          <w:rFonts w:ascii="Times" w:hAnsi="Times" w:cs="Times"/>
        </w:rPr>
        <w:t>att translator stations.</w:t>
      </w:r>
      <w:r w:rsidR="008E4737" w:rsidRPr="00472DB8">
        <w:rPr>
          <w:rStyle w:val="FootnoteReference"/>
          <w:rFonts w:ascii="Times" w:hAnsi="Times" w:cs="Times"/>
        </w:rPr>
        <w:footnoteReference w:id="144"/>
      </w:r>
      <w:r w:rsidR="00593FC9" w:rsidRPr="00472DB8">
        <w:rPr>
          <w:rFonts w:ascii="Times" w:hAnsi="Times" w:cs="Times"/>
        </w:rPr>
        <w:t xml:space="preserve">  LTCI </w:t>
      </w:r>
      <w:r w:rsidR="00925BCA" w:rsidRPr="00472DB8">
        <w:rPr>
          <w:rFonts w:ascii="Times" w:hAnsi="Times" w:cs="Times"/>
        </w:rPr>
        <w:t xml:space="preserve">further </w:t>
      </w:r>
      <w:r w:rsidR="00593FC9" w:rsidRPr="00472DB8">
        <w:rPr>
          <w:rFonts w:ascii="Times" w:hAnsi="Times" w:cs="Times"/>
        </w:rPr>
        <w:t>argues the Commission “has grossly overestimate</w:t>
      </w:r>
      <w:r w:rsidR="003C22ED" w:rsidRPr="00472DB8">
        <w:rPr>
          <w:rFonts w:ascii="Times" w:hAnsi="Times" w:cs="Times"/>
        </w:rPr>
        <w:t>d</w:t>
      </w:r>
      <w:r w:rsidR="00593FC9" w:rsidRPr="00472DB8">
        <w:rPr>
          <w:rFonts w:ascii="Times" w:hAnsi="Times" w:cs="Times"/>
        </w:rPr>
        <w:t xml:space="preserve"> the level of fund raising needed to sustain an LP10 station </w:t>
      </w:r>
      <w:r w:rsidR="008A084C" w:rsidRPr="00472DB8">
        <w:rPr>
          <w:rFonts w:ascii="Times" w:hAnsi="Times" w:cs="Times"/>
        </w:rPr>
        <w:t>financially</w:t>
      </w:r>
      <w:r w:rsidR="00593FC9" w:rsidRPr="00472DB8">
        <w:rPr>
          <w:rFonts w:ascii="Times" w:hAnsi="Times" w:cs="Times"/>
        </w:rPr>
        <w:t>.”</w:t>
      </w:r>
      <w:r w:rsidR="00593FC9" w:rsidRPr="00472DB8">
        <w:rPr>
          <w:rStyle w:val="FootnoteReference"/>
          <w:rFonts w:ascii="Times" w:hAnsi="Times" w:cs="Times"/>
        </w:rPr>
        <w:footnoteReference w:id="145"/>
      </w:r>
      <w:r w:rsidR="008A084C" w:rsidRPr="00472DB8">
        <w:rPr>
          <w:rFonts w:ascii="Times" w:hAnsi="Times" w:cs="Times"/>
        </w:rPr>
        <w:t xml:space="preserve">  Essentially, </w:t>
      </w:r>
      <w:r w:rsidR="00D506CF" w:rsidRPr="00472DB8">
        <w:rPr>
          <w:rFonts w:ascii="Times" w:hAnsi="Times" w:cs="Times"/>
        </w:rPr>
        <w:t xml:space="preserve">it appears </w:t>
      </w:r>
      <w:r w:rsidR="008A084C" w:rsidRPr="00472DB8">
        <w:rPr>
          <w:rFonts w:ascii="Times" w:hAnsi="Times" w:cs="Times"/>
        </w:rPr>
        <w:t xml:space="preserve">LTCI </w:t>
      </w:r>
      <w:r w:rsidR="00D506CF" w:rsidRPr="00472DB8">
        <w:rPr>
          <w:rFonts w:ascii="Times" w:hAnsi="Times" w:cs="Times"/>
        </w:rPr>
        <w:t>believes</w:t>
      </w:r>
      <w:r w:rsidR="008A084C" w:rsidRPr="00472DB8">
        <w:rPr>
          <w:rFonts w:ascii="Times" w:hAnsi="Times" w:cs="Times"/>
        </w:rPr>
        <w:t xml:space="preserve"> the Commission’s decision </w:t>
      </w:r>
      <w:r w:rsidR="00D506CF" w:rsidRPr="00472DB8">
        <w:rPr>
          <w:rFonts w:ascii="Times" w:hAnsi="Times" w:cs="Times"/>
        </w:rPr>
        <w:t xml:space="preserve">to eliminate the LP10 service </w:t>
      </w:r>
      <w:r w:rsidR="008A084C" w:rsidRPr="00472DB8">
        <w:rPr>
          <w:rFonts w:ascii="Times" w:hAnsi="Times" w:cs="Times"/>
        </w:rPr>
        <w:t>is arbitrary and capricious.</w:t>
      </w:r>
    </w:p>
    <w:p w14:paraId="5FE667F2" w14:textId="77777777" w:rsidR="0055557D" w:rsidRPr="00472DB8" w:rsidRDefault="0055557D" w:rsidP="00E75380">
      <w:pPr>
        <w:pStyle w:val="ListParagraph"/>
        <w:ind w:left="0"/>
        <w:jc w:val="left"/>
        <w:rPr>
          <w:rFonts w:ascii="Times" w:hAnsi="Times" w:cs="Times"/>
        </w:rPr>
      </w:pPr>
    </w:p>
    <w:p w14:paraId="252E903F" w14:textId="57B282BF" w:rsidR="00593AF2" w:rsidRPr="00472DB8" w:rsidRDefault="00D506CF" w:rsidP="00E75380">
      <w:pPr>
        <w:pStyle w:val="ParaNum"/>
        <w:widowControl/>
        <w:numPr>
          <w:ilvl w:val="0"/>
          <w:numId w:val="16"/>
        </w:numPr>
        <w:spacing w:after="0"/>
        <w:ind w:left="0"/>
        <w:jc w:val="left"/>
        <w:rPr>
          <w:rFonts w:ascii="Times" w:hAnsi="Times" w:cs="Times"/>
          <w:szCs w:val="22"/>
        </w:rPr>
      </w:pPr>
      <w:r w:rsidRPr="00472DB8">
        <w:rPr>
          <w:rFonts w:ascii="Times" w:hAnsi="Times" w:cs="Times"/>
        </w:rPr>
        <w:t>Even though</w:t>
      </w:r>
      <w:r w:rsidR="00115B39" w:rsidRPr="00472DB8">
        <w:rPr>
          <w:rFonts w:ascii="Times" w:hAnsi="Times" w:cs="Times"/>
        </w:rPr>
        <w:t>, due to spectrum congestion,</w:t>
      </w:r>
      <w:r w:rsidRPr="00472DB8">
        <w:rPr>
          <w:rFonts w:ascii="Times" w:hAnsi="Times" w:cs="Times"/>
        </w:rPr>
        <w:t xml:space="preserve"> some areas may </w:t>
      </w:r>
      <w:r w:rsidR="00FE00FD" w:rsidRPr="00472DB8">
        <w:rPr>
          <w:rFonts w:ascii="Times" w:hAnsi="Times" w:cs="Times"/>
        </w:rPr>
        <w:t xml:space="preserve">present </w:t>
      </w:r>
      <w:r w:rsidRPr="00472DB8">
        <w:rPr>
          <w:rFonts w:ascii="Times" w:hAnsi="Times" w:cs="Times"/>
        </w:rPr>
        <w:t>limited or no opportunities for an LP100 service</w:t>
      </w:r>
      <w:r w:rsidR="003C22ED" w:rsidRPr="00472DB8">
        <w:rPr>
          <w:rFonts w:ascii="Times" w:hAnsi="Times" w:cs="Times"/>
        </w:rPr>
        <w:t xml:space="preserve">, the </w:t>
      </w:r>
      <w:r w:rsidRPr="00472DB8">
        <w:rPr>
          <w:rFonts w:ascii="Times" w:hAnsi="Times" w:cs="Times"/>
        </w:rPr>
        <w:t>elimination of the LP10 service</w:t>
      </w:r>
      <w:r w:rsidR="003C22ED" w:rsidRPr="00472DB8">
        <w:rPr>
          <w:rFonts w:ascii="Times" w:hAnsi="Times" w:cs="Times"/>
        </w:rPr>
        <w:t xml:space="preserve"> is </w:t>
      </w:r>
      <w:bookmarkStart w:id="2" w:name="SR;7087"/>
      <w:bookmarkStart w:id="3" w:name="SR;7089"/>
      <w:bookmarkEnd w:id="2"/>
      <w:bookmarkEnd w:id="3"/>
      <w:r w:rsidR="00662677" w:rsidRPr="00472DB8">
        <w:rPr>
          <w:rFonts w:ascii="Times" w:hAnsi="Times" w:cs="Times"/>
        </w:rPr>
        <w:t>reasonable and supported by the record</w:t>
      </w:r>
      <w:r w:rsidR="003C22ED" w:rsidRPr="00472DB8">
        <w:rPr>
          <w:rFonts w:ascii="Times" w:hAnsi="Times" w:cs="Times"/>
        </w:rPr>
        <w:t xml:space="preserve">. The </w:t>
      </w:r>
      <w:r w:rsidR="003C22ED" w:rsidRPr="00472DB8">
        <w:rPr>
          <w:rStyle w:val="searchterm"/>
          <w:rFonts w:ascii="Times" w:hAnsi="Times" w:cs="Times"/>
        </w:rPr>
        <w:t>Commission</w:t>
      </w:r>
      <w:r w:rsidR="003C22ED" w:rsidRPr="00472DB8">
        <w:rPr>
          <w:rFonts w:ascii="Times" w:hAnsi="Times" w:cs="Times"/>
        </w:rPr>
        <w:t xml:space="preserve"> must balance the various statutory objectives of the LCRA</w:t>
      </w:r>
      <w:r w:rsidRPr="00472DB8">
        <w:rPr>
          <w:rFonts w:ascii="Times" w:hAnsi="Times" w:cs="Times"/>
        </w:rPr>
        <w:t>, and b</w:t>
      </w:r>
      <w:r w:rsidR="003C22ED" w:rsidRPr="00472DB8">
        <w:rPr>
          <w:rFonts w:ascii="Times" w:hAnsi="Times" w:cs="Times"/>
        </w:rPr>
        <w:t>ased on</w:t>
      </w:r>
      <w:r w:rsidR="00033681" w:rsidRPr="00472DB8">
        <w:rPr>
          <w:rFonts w:ascii="Times" w:hAnsi="Times" w:cs="Times"/>
          <w:szCs w:val="22"/>
        </w:rPr>
        <w:t xml:space="preserve"> </w:t>
      </w:r>
      <w:r w:rsidR="00506A66" w:rsidRPr="00472DB8">
        <w:rPr>
          <w:rFonts w:ascii="Times" w:hAnsi="Times" w:cs="Times"/>
          <w:szCs w:val="22"/>
        </w:rPr>
        <w:t xml:space="preserve">its expertise as well as </w:t>
      </w:r>
      <w:r w:rsidR="00033681" w:rsidRPr="00472DB8">
        <w:rPr>
          <w:rFonts w:ascii="Times" w:hAnsi="Times" w:cs="Times"/>
          <w:szCs w:val="22"/>
        </w:rPr>
        <w:t>the record</w:t>
      </w:r>
      <w:r w:rsidR="007A09F6" w:rsidRPr="00472DB8">
        <w:rPr>
          <w:rFonts w:ascii="Times" w:hAnsi="Times" w:cs="Times"/>
          <w:szCs w:val="22"/>
        </w:rPr>
        <w:t xml:space="preserve"> </w:t>
      </w:r>
      <w:r w:rsidR="003C22ED" w:rsidRPr="00472DB8">
        <w:rPr>
          <w:rFonts w:ascii="Times" w:hAnsi="Times" w:cs="Times"/>
          <w:szCs w:val="22"/>
        </w:rPr>
        <w:t>in response to</w:t>
      </w:r>
      <w:r w:rsidR="007A09F6" w:rsidRPr="00472DB8">
        <w:rPr>
          <w:rFonts w:ascii="Times" w:hAnsi="Times" w:cs="Times"/>
          <w:szCs w:val="22"/>
        </w:rPr>
        <w:t xml:space="preserve"> </w:t>
      </w:r>
      <w:r w:rsidR="000E6CA2" w:rsidRPr="00472DB8">
        <w:rPr>
          <w:rFonts w:ascii="Times" w:hAnsi="Times" w:cs="Times"/>
          <w:szCs w:val="22"/>
        </w:rPr>
        <w:t>its</w:t>
      </w:r>
      <w:r w:rsidR="007B1488" w:rsidRPr="00472DB8">
        <w:rPr>
          <w:rFonts w:ascii="Times" w:hAnsi="Times" w:cs="Times"/>
          <w:szCs w:val="22"/>
        </w:rPr>
        <w:t xml:space="preserve"> </w:t>
      </w:r>
      <w:r w:rsidR="005B4C01" w:rsidRPr="00472DB8">
        <w:rPr>
          <w:rFonts w:ascii="Times" w:hAnsi="Times" w:cs="Times"/>
          <w:szCs w:val="22"/>
        </w:rPr>
        <w:t xml:space="preserve">proposed </w:t>
      </w:r>
      <w:r w:rsidR="007B1488" w:rsidRPr="00472DB8">
        <w:rPr>
          <w:rFonts w:ascii="Times" w:hAnsi="Times" w:cs="Times"/>
          <w:szCs w:val="22"/>
        </w:rPr>
        <w:t>elimination of the LP10</w:t>
      </w:r>
      <w:r w:rsidR="00593AF2" w:rsidRPr="00472DB8">
        <w:rPr>
          <w:rFonts w:ascii="Times" w:hAnsi="Times" w:cs="Times"/>
          <w:szCs w:val="22"/>
        </w:rPr>
        <w:t xml:space="preserve"> service</w:t>
      </w:r>
      <w:r w:rsidR="003C22ED" w:rsidRPr="00472DB8">
        <w:rPr>
          <w:rStyle w:val="searchterm"/>
          <w:rFonts w:ascii="Times" w:hAnsi="Times" w:cs="Times"/>
        </w:rPr>
        <w:t>,</w:t>
      </w:r>
      <w:r w:rsidR="00246D80" w:rsidRPr="00472DB8">
        <w:rPr>
          <w:rStyle w:val="searchterm"/>
          <w:rFonts w:ascii="Times" w:hAnsi="Times" w:cs="Times"/>
        </w:rPr>
        <w:t xml:space="preserve"> </w:t>
      </w:r>
      <w:r w:rsidR="003C22ED" w:rsidRPr="00472DB8">
        <w:rPr>
          <w:rStyle w:val="searchterm"/>
          <w:rFonts w:ascii="Times" w:hAnsi="Times" w:cs="Times"/>
        </w:rPr>
        <w:t>the Commission</w:t>
      </w:r>
      <w:r w:rsidR="003C22ED" w:rsidRPr="00472DB8">
        <w:rPr>
          <w:rFonts w:ascii="Times" w:hAnsi="Times" w:cs="Times"/>
          <w:szCs w:val="22"/>
        </w:rPr>
        <w:t xml:space="preserve"> </w:t>
      </w:r>
      <w:r w:rsidR="00033681" w:rsidRPr="00472DB8">
        <w:rPr>
          <w:rFonts w:ascii="Times" w:hAnsi="Times" w:cs="Times"/>
          <w:szCs w:val="22"/>
        </w:rPr>
        <w:t xml:space="preserve">reasonably concluded that LP10 stations would be an inefficient use of available </w:t>
      </w:r>
      <w:r w:rsidR="00375CC6" w:rsidRPr="00472DB8">
        <w:rPr>
          <w:rFonts w:ascii="Times" w:hAnsi="Times" w:cs="Times"/>
          <w:szCs w:val="22"/>
        </w:rPr>
        <w:t>spectrum</w:t>
      </w:r>
      <w:r w:rsidR="00246D80" w:rsidRPr="00472DB8">
        <w:rPr>
          <w:rFonts w:ascii="Times" w:hAnsi="Times" w:cs="Times"/>
          <w:szCs w:val="22"/>
        </w:rPr>
        <w:t xml:space="preserve">. </w:t>
      </w:r>
    </w:p>
    <w:p w14:paraId="066098DB" w14:textId="77777777" w:rsidR="00593AF2" w:rsidRPr="00472DB8" w:rsidRDefault="00593AF2" w:rsidP="00E75380">
      <w:pPr>
        <w:pStyle w:val="ListParagraph"/>
        <w:jc w:val="left"/>
        <w:rPr>
          <w:rFonts w:ascii="Times" w:hAnsi="Times" w:cs="Times"/>
        </w:rPr>
      </w:pPr>
    </w:p>
    <w:p w14:paraId="039BD798" w14:textId="434A5442" w:rsidR="00C11918" w:rsidRPr="00472DB8" w:rsidRDefault="00C1577A" w:rsidP="00E75380">
      <w:pPr>
        <w:pStyle w:val="ParaNum"/>
        <w:widowControl/>
        <w:numPr>
          <w:ilvl w:val="0"/>
          <w:numId w:val="16"/>
        </w:numPr>
        <w:spacing w:after="0"/>
        <w:ind w:left="0"/>
        <w:jc w:val="left"/>
        <w:rPr>
          <w:rFonts w:ascii="Times" w:hAnsi="Times" w:cs="Times"/>
          <w:szCs w:val="22"/>
        </w:rPr>
      </w:pPr>
      <w:r w:rsidRPr="00472DB8">
        <w:rPr>
          <w:rFonts w:ascii="Times" w:hAnsi="Times" w:cs="Times"/>
          <w:szCs w:val="22"/>
        </w:rPr>
        <w:t>First, t</w:t>
      </w:r>
      <w:r w:rsidR="00246D80" w:rsidRPr="00472DB8">
        <w:rPr>
          <w:rFonts w:ascii="Times" w:hAnsi="Times" w:cs="Times"/>
          <w:szCs w:val="22"/>
        </w:rPr>
        <w:t>he record</w:t>
      </w:r>
      <w:r w:rsidR="00A742C7" w:rsidRPr="00472DB8">
        <w:rPr>
          <w:rFonts w:ascii="Times" w:hAnsi="Times" w:cs="Times"/>
          <w:szCs w:val="22"/>
        </w:rPr>
        <w:t xml:space="preserve"> </w:t>
      </w:r>
      <w:r w:rsidR="00246D80" w:rsidRPr="00472DB8">
        <w:rPr>
          <w:rFonts w:ascii="Times" w:hAnsi="Times" w:cs="Times"/>
          <w:szCs w:val="22"/>
        </w:rPr>
        <w:t xml:space="preserve">supports the Commission’s conclusion that the LP10 service would be </w:t>
      </w:r>
      <w:r w:rsidR="00944BCC" w:rsidRPr="00472DB8">
        <w:rPr>
          <w:rFonts w:ascii="Times" w:hAnsi="Times" w:cs="Times"/>
          <w:szCs w:val="22"/>
        </w:rPr>
        <w:t>susceptible to interference</w:t>
      </w:r>
      <w:r w:rsidR="001B3AEF" w:rsidRPr="00472DB8">
        <w:rPr>
          <w:rFonts w:ascii="Times" w:hAnsi="Times" w:cs="Times"/>
          <w:szCs w:val="22"/>
        </w:rPr>
        <w:t>.</w:t>
      </w:r>
      <w:r w:rsidR="00D65635" w:rsidRPr="00472DB8">
        <w:rPr>
          <w:rStyle w:val="FootnoteReference"/>
          <w:rFonts w:ascii="Times" w:hAnsi="Times" w:cs="Times"/>
          <w:szCs w:val="22"/>
        </w:rPr>
        <w:footnoteReference w:id="146"/>
      </w:r>
      <w:r w:rsidR="00D65635" w:rsidRPr="00472DB8">
        <w:rPr>
          <w:rFonts w:ascii="Times" w:hAnsi="Times" w:cs="Times"/>
          <w:szCs w:val="22"/>
        </w:rPr>
        <w:t xml:space="preserve"> </w:t>
      </w:r>
      <w:r w:rsidR="001B3AEF" w:rsidRPr="00472DB8">
        <w:rPr>
          <w:rFonts w:ascii="Times" w:hAnsi="Times" w:cs="Times"/>
          <w:szCs w:val="22"/>
        </w:rPr>
        <w:t xml:space="preserve">  </w:t>
      </w:r>
      <w:r w:rsidR="00770350" w:rsidRPr="00472DB8">
        <w:rPr>
          <w:rFonts w:ascii="Times" w:hAnsi="Times" w:cs="Times"/>
        </w:rPr>
        <w:t>In addition to the crowded nature of the FM band, other external forces can also affect the viability of the LP10 signal</w:t>
      </w:r>
      <w:r w:rsidR="005F4AB3" w:rsidRPr="00472DB8">
        <w:rPr>
          <w:rFonts w:ascii="Times" w:hAnsi="Times" w:cs="Times"/>
        </w:rPr>
        <w:t xml:space="preserve">, </w:t>
      </w:r>
      <w:r w:rsidR="00770350" w:rsidRPr="00472DB8">
        <w:rPr>
          <w:rFonts w:ascii="Times" w:hAnsi="Times" w:cs="Times"/>
        </w:rPr>
        <w:t xml:space="preserve">such as natural and man-made structures that lie between the transmitter and the receiver.  These obstructions can affect a signal in various ways such as by attenuating the signal so that the actual signal received is weaker than that predicted in the absence of any such obstructions or by creating multipath interference, which occurs when a signal bounces off structures and the out-of-phase main and reflected signals arrive at the receiver. All of these challenges are particularly significant for the mobile receivers that account for most radio listening.  </w:t>
      </w:r>
      <w:r w:rsidR="00D65635" w:rsidRPr="00472DB8">
        <w:rPr>
          <w:rFonts w:ascii="Times" w:hAnsi="Times" w:cs="Times"/>
        </w:rPr>
        <w:t xml:space="preserve">Indeed, as </w:t>
      </w:r>
      <w:r w:rsidR="00D65635" w:rsidRPr="00472DB8">
        <w:rPr>
          <w:rFonts w:ascii="Times" w:hAnsi="Times" w:cs="Times"/>
          <w:szCs w:val="22"/>
        </w:rPr>
        <w:t xml:space="preserve">discussed in the </w:t>
      </w:r>
      <w:r w:rsidR="00D65635" w:rsidRPr="00472DB8">
        <w:rPr>
          <w:rFonts w:ascii="Times" w:hAnsi="Times" w:cs="Times"/>
          <w:i/>
          <w:szCs w:val="22"/>
        </w:rPr>
        <w:t>Sixth Report and Order</w:t>
      </w:r>
      <w:r w:rsidR="00D65635" w:rsidRPr="00472DB8">
        <w:rPr>
          <w:rFonts w:ascii="Times" w:hAnsi="Times" w:cs="Times"/>
          <w:szCs w:val="22"/>
        </w:rPr>
        <w:t>, the Commission previously discontinued a class of service because of interference concerns</w:t>
      </w:r>
      <w:r w:rsidR="00512E46" w:rsidRPr="00472DB8">
        <w:rPr>
          <w:rFonts w:ascii="Times" w:hAnsi="Times" w:cs="Times"/>
          <w:szCs w:val="22"/>
        </w:rPr>
        <w:t xml:space="preserve">: </w:t>
      </w:r>
      <w:r w:rsidR="00D65635" w:rsidRPr="00472DB8">
        <w:rPr>
          <w:rFonts w:ascii="Times" w:hAnsi="Times" w:cs="Times"/>
          <w:szCs w:val="22"/>
        </w:rPr>
        <w:t xml:space="preserve"> </w:t>
      </w:r>
      <w:r w:rsidR="00D65635" w:rsidRPr="00472DB8">
        <w:rPr>
          <w:rFonts w:ascii="Times" w:hAnsi="Times" w:cs="Times"/>
        </w:rPr>
        <w:t>a similar concern regarding the crowded nature of the FM band led the Commission to cease accepting applications for Class D FM stations and require Class D FM stations to either upgrade to Class A facilities or migrate from the reserved to the non-reserved portion of the FM band or to Channel 200, where they would be considered secondary operations.</w:t>
      </w:r>
      <w:r w:rsidR="00D65635" w:rsidRPr="00472DB8">
        <w:rPr>
          <w:rStyle w:val="FootnoteReference"/>
          <w:rFonts w:ascii="Times" w:hAnsi="Times" w:cs="Times"/>
        </w:rPr>
        <w:footnoteReference w:id="147"/>
      </w:r>
    </w:p>
    <w:p w14:paraId="05AE1151" w14:textId="77777777" w:rsidR="00C11918" w:rsidRPr="00472DB8" w:rsidRDefault="00C11918" w:rsidP="00E75380">
      <w:pPr>
        <w:pStyle w:val="ParaNum"/>
        <w:widowControl/>
        <w:numPr>
          <w:ilvl w:val="0"/>
          <w:numId w:val="0"/>
        </w:numPr>
        <w:spacing w:after="0"/>
        <w:ind w:left="720"/>
        <w:jc w:val="left"/>
        <w:rPr>
          <w:rFonts w:ascii="Times" w:hAnsi="Times" w:cs="Times"/>
          <w:szCs w:val="22"/>
        </w:rPr>
      </w:pPr>
    </w:p>
    <w:p w14:paraId="08DE226A" w14:textId="3262BCF9" w:rsidR="001B3AEF" w:rsidRPr="00472DB8" w:rsidRDefault="00D65635" w:rsidP="00E75380">
      <w:pPr>
        <w:pStyle w:val="ParaNum"/>
        <w:widowControl/>
        <w:numPr>
          <w:ilvl w:val="0"/>
          <w:numId w:val="16"/>
        </w:numPr>
        <w:spacing w:after="0"/>
        <w:ind w:left="0"/>
        <w:jc w:val="left"/>
        <w:rPr>
          <w:rFonts w:ascii="Times" w:hAnsi="Times" w:cs="Times"/>
          <w:szCs w:val="22"/>
        </w:rPr>
      </w:pPr>
      <w:r w:rsidRPr="00472DB8">
        <w:rPr>
          <w:rFonts w:ascii="Times" w:hAnsi="Times" w:cs="Times"/>
        </w:rPr>
        <w:t>Additionally, f</w:t>
      </w:r>
      <w:r w:rsidR="00770350" w:rsidRPr="00472DB8">
        <w:rPr>
          <w:rFonts w:ascii="Times" w:hAnsi="Times" w:cs="Times"/>
        </w:rPr>
        <w:t>or the reasons</w:t>
      </w:r>
      <w:r w:rsidR="005F4AB3" w:rsidRPr="00472DB8">
        <w:rPr>
          <w:rFonts w:ascii="Times" w:hAnsi="Times" w:cs="Times"/>
        </w:rPr>
        <w:t xml:space="preserve"> stated above</w:t>
      </w:r>
      <w:r w:rsidR="00770350" w:rsidRPr="00472DB8">
        <w:rPr>
          <w:rFonts w:ascii="Times" w:hAnsi="Times" w:cs="Times"/>
        </w:rPr>
        <w:t>,</w:t>
      </w:r>
      <w:r w:rsidR="00770350" w:rsidRPr="00472DB8">
        <w:rPr>
          <w:rStyle w:val="FootnoteReference"/>
          <w:rFonts w:ascii="Times" w:hAnsi="Times" w:cs="Times"/>
        </w:rPr>
        <w:footnoteReference w:id="148"/>
      </w:r>
      <w:r w:rsidR="00770350" w:rsidRPr="00472DB8">
        <w:rPr>
          <w:rFonts w:ascii="Times" w:hAnsi="Times" w:cs="Times"/>
        </w:rPr>
        <w:t xml:space="preserve"> we reject LTCI’s claim </w:t>
      </w:r>
      <w:r w:rsidR="005F4AB3" w:rsidRPr="00472DB8">
        <w:rPr>
          <w:rFonts w:ascii="Times" w:hAnsi="Times" w:cs="Times"/>
        </w:rPr>
        <w:t xml:space="preserve">that the use of </w:t>
      </w:r>
      <w:r w:rsidR="00770350" w:rsidRPr="00472DB8">
        <w:rPr>
          <w:rFonts w:ascii="Times" w:hAnsi="Times" w:cs="Times"/>
        </w:rPr>
        <w:t>directional antennas</w:t>
      </w:r>
      <w:r w:rsidR="005F4AB3" w:rsidRPr="00472DB8">
        <w:rPr>
          <w:rFonts w:ascii="Times" w:hAnsi="Times" w:cs="Times"/>
        </w:rPr>
        <w:t xml:space="preserve"> will increase the efficiency of the LP10 service</w:t>
      </w:r>
      <w:r w:rsidR="00770350" w:rsidRPr="00472DB8">
        <w:rPr>
          <w:rFonts w:ascii="Times" w:hAnsi="Times" w:cs="Times"/>
        </w:rPr>
        <w:t>.  Moreover, LTCI’s argument about “dense packed” co-channel LPFMs in a neighborhood</w:t>
      </w:r>
      <w:r w:rsidR="00FE79F6" w:rsidRPr="00472DB8">
        <w:rPr>
          <w:rFonts w:ascii="Times" w:hAnsi="Times" w:cs="Times"/>
        </w:rPr>
        <w:t>, where “[e]ach receiver’s ‘capture effect’ selects the strongest station for each listener,”</w:t>
      </w:r>
      <w:r w:rsidR="00FE79F6" w:rsidRPr="00472DB8">
        <w:rPr>
          <w:rStyle w:val="FootnoteReference"/>
          <w:rFonts w:ascii="Times" w:hAnsi="Times" w:cs="Times"/>
        </w:rPr>
        <w:footnoteReference w:id="149"/>
      </w:r>
      <w:r w:rsidR="00FE79F6" w:rsidRPr="00472DB8">
        <w:rPr>
          <w:rStyle w:val="CommentReference"/>
          <w:rFonts w:ascii="Times" w:eastAsiaTheme="minorHAnsi" w:hAnsi="Times" w:cs="Times"/>
          <w:snapToGrid/>
          <w:kern w:val="0"/>
        </w:rPr>
        <w:t xml:space="preserve"> </w:t>
      </w:r>
      <w:r w:rsidR="00770350" w:rsidRPr="00472DB8">
        <w:rPr>
          <w:rFonts w:ascii="Times" w:hAnsi="Times" w:cs="Times"/>
        </w:rPr>
        <w:t xml:space="preserve"> appears to involve a new model of licensing that would require rule changes that are beyond the scope of this proceeding.</w:t>
      </w:r>
      <w:r w:rsidR="00770350" w:rsidRPr="00472DB8">
        <w:rPr>
          <w:rStyle w:val="FootnoteReference"/>
          <w:rFonts w:ascii="Times" w:hAnsi="Times" w:cs="Times"/>
        </w:rPr>
        <w:footnoteReference w:id="150"/>
      </w:r>
      <w:r w:rsidR="005F4AB3" w:rsidRPr="00472DB8">
        <w:rPr>
          <w:rFonts w:ascii="Times" w:hAnsi="Times" w:cs="Times"/>
        </w:rPr>
        <w:t xml:space="preserve">  </w:t>
      </w:r>
    </w:p>
    <w:p w14:paraId="6B4ED68A" w14:textId="77777777" w:rsidR="00234760" w:rsidRPr="00472DB8" w:rsidRDefault="00234760" w:rsidP="00E75380">
      <w:pPr>
        <w:ind w:firstLine="0"/>
        <w:jc w:val="left"/>
        <w:rPr>
          <w:rFonts w:ascii="Times" w:hAnsi="Times" w:cs="Times"/>
        </w:rPr>
      </w:pPr>
    </w:p>
    <w:p w14:paraId="4CDAEA70" w14:textId="1BDA2C2E" w:rsidR="003530B5" w:rsidRPr="00472DB8" w:rsidRDefault="00944BCC" w:rsidP="00E75380">
      <w:pPr>
        <w:pStyle w:val="ParaNum"/>
        <w:widowControl/>
        <w:numPr>
          <w:ilvl w:val="0"/>
          <w:numId w:val="16"/>
        </w:numPr>
        <w:spacing w:after="0"/>
        <w:ind w:left="0"/>
        <w:jc w:val="left"/>
        <w:rPr>
          <w:rFonts w:ascii="Times" w:hAnsi="Times" w:cs="Times"/>
          <w:szCs w:val="22"/>
        </w:rPr>
      </w:pPr>
      <w:r w:rsidRPr="00472DB8">
        <w:rPr>
          <w:rFonts w:ascii="Times" w:hAnsi="Times" w:cs="Times"/>
          <w:szCs w:val="22"/>
        </w:rPr>
        <w:t xml:space="preserve"> </w:t>
      </w:r>
      <w:r w:rsidR="00D65635" w:rsidRPr="00472DB8">
        <w:rPr>
          <w:rFonts w:ascii="Times" w:hAnsi="Times" w:cs="Times"/>
          <w:szCs w:val="22"/>
        </w:rPr>
        <w:t>W</w:t>
      </w:r>
      <w:r w:rsidR="00C1577A" w:rsidRPr="00472DB8">
        <w:rPr>
          <w:rFonts w:ascii="Times" w:hAnsi="Times" w:cs="Times"/>
          <w:szCs w:val="22"/>
        </w:rPr>
        <w:t>e</w:t>
      </w:r>
      <w:r w:rsidR="003530B5" w:rsidRPr="00472DB8">
        <w:rPr>
          <w:rFonts w:ascii="Times" w:hAnsi="Times" w:cs="Times"/>
          <w:szCs w:val="22"/>
        </w:rPr>
        <w:t xml:space="preserve"> </w:t>
      </w:r>
      <w:r w:rsidR="00D65635" w:rsidRPr="00472DB8">
        <w:rPr>
          <w:rFonts w:ascii="Times" w:hAnsi="Times" w:cs="Times"/>
          <w:szCs w:val="22"/>
        </w:rPr>
        <w:t xml:space="preserve">also </w:t>
      </w:r>
      <w:r w:rsidR="003530B5" w:rsidRPr="00472DB8">
        <w:rPr>
          <w:rFonts w:ascii="Times" w:hAnsi="Times" w:cs="Times"/>
          <w:szCs w:val="22"/>
        </w:rPr>
        <w:t xml:space="preserve">find unpersuasive LTCI’s </w:t>
      </w:r>
      <w:r w:rsidR="009E3D34" w:rsidRPr="00472DB8">
        <w:rPr>
          <w:rFonts w:ascii="Times" w:hAnsi="Times" w:cs="Times"/>
          <w:szCs w:val="22"/>
        </w:rPr>
        <w:t>argument that LP10 service should be allowed based on its alleged similarities to 10 Watt translator service.</w:t>
      </w:r>
      <w:r w:rsidR="00D85FDE" w:rsidRPr="00472DB8">
        <w:rPr>
          <w:rStyle w:val="FootnoteReference"/>
          <w:rFonts w:ascii="Times" w:hAnsi="Times" w:cs="Times"/>
          <w:szCs w:val="22"/>
        </w:rPr>
        <w:footnoteReference w:id="151"/>
      </w:r>
      <w:r w:rsidR="003530B5" w:rsidRPr="00472DB8">
        <w:rPr>
          <w:rFonts w:ascii="Times" w:hAnsi="Times" w:cs="Times"/>
          <w:szCs w:val="22"/>
        </w:rPr>
        <w:t xml:space="preserve">  Translator stations </w:t>
      </w:r>
      <w:r w:rsidR="0088705C" w:rsidRPr="00472DB8">
        <w:rPr>
          <w:rFonts w:ascii="Times" w:hAnsi="Times" w:cs="Times"/>
          <w:szCs w:val="22"/>
        </w:rPr>
        <w:t>generally</w:t>
      </w:r>
      <w:r w:rsidR="009E3D34" w:rsidRPr="00472DB8">
        <w:rPr>
          <w:rFonts w:ascii="Times" w:hAnsi="Times" w:cs="Times"/>
          <w:szCs w:val="22"/>
        </w:rPr>
        <w:t xml:space="preserve"> </w:t>
      </w:r>
      <w:r w:rsidR="003530B5" w:rsidRPr="00472DB8">
        <w:rPr>
          <w:rFonts w:ascii="Times" w:hAnsi="Times" w:cs="Times"/>
          <w:szCs w:val="22"/>
        </w:rPr>
        <w:t xml:space="preserve">do not originate programming and do not require </w:t>
      </w:r>
      <w:r w:rsidR="009861B6" w:rsidRPr="00472DB8">
        <w:rPr>
          <w:rFonts w:ascii="Times" w:hAnsi="Times" w:cs="Times"/>
          <w:szCs w:val="22"/>
        </w:rPr>
        <w:t xml:space="preserve">a </w:t>
      </w:r>
      <w:r w:rsidR="003530B5" w:rsidRPr="00472DB8">
        <w:rPr>
          <w:rFonts w:ascii="Times" w:hAnsi="Times" w:cs="Times"/>
          <w:szCs w:val="22"/>
        </w:rPr>
        <w:t>staff to operate</w:t>
      </w:r>
      <w:r w:rsidR="00C53DB5" w:rsidRPr="00472DB8">
        <w:rPr>
          <w:rFonts w:ascii="Times" w:hAnsi="Times" w:cs="Times"/>
          <w:szCs w:val="22"/>
        </w:rPr>
        <w:t>.</w:t>
      </w:r>
      <w:r w:rsidR="009E3D34" w:rsidRPr="00472DB8">
        <w:rPr>
          <w:rStyle w:val="FootnoteReference"/>
          <w:rFonts w:ascii="Times" w:hAnsi="Times" w:cs="Times"/>
          <w:szCs w:val="22"/>
        </w:rPr>
        <w:footnoteReference w:id="152"/>
      </w:r>
      <w:r w:rsidR="009E3D34" w:rsidRPr="00472DB8">
        <w:rPr>
          <w:rFonts w:ascii="Times" w:hAnsi="Times" w:cs="Times"/>
          <w:szCs w:val="22"/>
        </w:rPr>
        <w:t xml:space="preserve"> </w:t>
      </w:r>
      <w:r w:rsidR="00C53DB5" w:rsidRPr="00472DB8">
        <w:rPr>
          <w:rFonts w:ascii="Times" w:hAnsi="Times" w:cs="Times"/>
          <w:szCs w:val="22"/>
        </w:rPr>
        <w:t xml:space="preserve">  In contrast, </w:t>
      </w:r>
      <w:r w:rsidR="003530B5" w:rsidRPr="00472DB8">
        <w:rPr>
          <w:rFonts w:ascii="Times" w:hAnsi="Times" w:cs="Times"/>
          <w:szCs w:val="22"/>
        </w:rPr>
        <w:t xml:space="preserve">LPFM stations </w:t>
      </w:r>
      <w:r w:rsidR="00B646D2" w:rsidRPr="00472DB8">
        <w:rPr>
          <w:rFonts w:ascii="Times" w:hAnsi="Times" w:cs="Times"/>
          <w:szCs w:val="22"/>
        </w:rPr>
        <w:t xml:space="preserve">are authorized to originate </w:t>
      </w:r>
      <w:r w:rsidR="003530B5" w:rsidRPr="00472DB8">
        <w:rPr>
          <w:rFonts w:ascii="Times" w:hAnsi="Times" w:cs="Times"/>
          <w:szCs w:val="22"/>
        </w:rPr>
        <w:t xml:space="preserve">programming and require staff to operate and maintain.  </w:t>
      </w:r>
      <w:r w:rsidR="00E36C3D" w:rsidRPr="00472DB8">
        <w:rPr>
          <w:rFonts w:ascii="Times" w:hAnsi="Times" w:cs="Times"/>
          <w:szCs w:val="22"/>
        </w:rPr>
        <w:t xml:space="preserve">Moreover, </w:t>
      </w:r>
      <w:r w:rsidR="00B646D2" w:rsidRPr="00472DB8">
        <w:rPr>
          <w:rFonts w:ascii="Times" w:hAnsi="Times" w:cs="Times"/>
          <w:szCs w:val="22"/>
        </w:rPr>
        <w:t xml:space="preserve">a </w:t>
      </w:r>
      <w:r w:rsidR="00E36C3D" w:rsidRPr="00472DB8">
        <w:rPr>
          <w:rFonts w:ascii="Times" w:hAnsi="Times" w:cs="Times"/>
          <w:szCs w:val="22"/>
        </w:rPr>
        <w:t xml:space="preserve">10 </w:t>
      </w:r>
      <w:r w:rsidR="00234760" w:rsidRPr="00472DB8">
        <w:rPr>
          <w:rFonts w:ascii="Times" w:hAnsi="Times" w:cs="Times"/>
          <w:szCs w:val="22"/>
        </w:rPr>
        <w:t>W</w:t>
      </w:r>
      <w:r w:rsidR="00E36C3D" w:rsidRPr="00472DB8">
        <w:rPr>
          <w:rFonts w:ascii="Times" w:hAnsi="Times" w:cs="Times"/>
          <w:szCs w:val="22"/>
        </w:rPr>
        <w:t>att translator</w:t>
      </w:r>
      <w:r w:rsidR="00B646D2" w:rsidRPr="00472DB8">
        <w:rPr>
          <w:rFonts w:ascii="Times" w:hAnsi="Times" w:cs="Times"/>
          <w:szCs w:val="22"/>
        </w:rPr>
        <w:t xml:space="preserve"> can place a 60 dBu strength signal </w:t>
      </w:r>
      <w:r w:rsidR="00E36C3D" w:rsidRPr="00472DB8">
        <w:rPr>
          <w:rFonts w:ascii="Times" w:hAnsi="Times" w:cs="Times"/>
          <w:szCs w:val="22"/>
        </w:rPr>
        <w:t>12 to 15 kilometers</w:t>
      </w:r>
      <w:r w:rsidR="00B646D2" w:rsidRPr="00472DB8">
        <w:rPr>
          <w:rFonts w:ascii="Times" w:hAnsi="Times" w:cs="Times"/>
          <w:szCs w:val="22"/>
        </w:rPr>
        <w:t xml:space="preserve"> from its transmitter site</w:t>
      </w:r>
      <w:r w:rsidR="00E36C3D" w:rsidRPr="00472DB8">
        <w:rPr>
          <w:rFonts w:ascii="Times" w:hAnsi="Times" w:cs="Times"/>
          <w:szCs w:val="22"/>
        </w:rPr>
        <w:t>,</w:t>
      </w:r>
      <w:r w:rsidR="005774EC" w:rsidRPr="00472DB8">
        <w:rPr>
          <w:rStyle w:val="FootnoteReference"/>
          <w:rFonts w:ascii="Times" w:hAnsi="Times" w:cs="Times"/>
          <w:szCs w:val="22"/>
        </w:rPr>
        <w:footnoteReference w:id="153"/>
      </w:r>
      <w:r w:rsidR="00E36C3D" w:rsidRPr="00472DB8">
        <w:rPr>
          <w:rFonts w:ascii="Times" w:hAnsi="Times" w:cs="Times"/>
          <w:szCs w:val="22"/>
        </w:rPr>
        <w:t xml:space="preserve"> while </w:t>
      </w:r>
      <w:r w:rsidR="00B646D2" w:rsidRPr="00472DB8">
        <w:rPr>
          <w:rFonts w:ascii="Times" w:hAnsi="Times" w:cs="Times"/>
          <w:szCs w:val="22"/>
        </w:rPr>
        <w:t xml:space="preserve">the same signal might extend only 3 kilometers from an </w:t>
      </w:r>
      <w:r w:rsidR="009861B6" w:rsidRPr="00472DB8">
        <w:rPr>
          <w:rFonts w:ascii="Times" w:hAnsi="Times" w:cs="Times"/>
          <w:szCs w:val="22"/>
        </w:rPr>
        <w:t xml:space="preserve">LP10 </w:t>
      </w:r>
      <w:r w:rsidR="00B646D2" w:rsidRPr="00472DB8">
        <w:rPr>
          <w:rFonts w:ascii="Times" w:hAnsi="Times" w:cs="Times"/>
          <w:szCs w:val="22"/>
        </w:rPr>
        <w:t>station’s transmitter site</w:t>
      </w:r>
      <w:r w:rsidR="00234760" w:rsidRPr="00472DB8">
        <w:rPr>
          <w:rStyle w:val="FootnoteReference"/>
          <w:rFonts w:ascii="Times" w:hAnsi="Times" w:cs="Times"/>
          <w:szCs w:val="22"/>
        </w:rPr>
        <w:footnoteReference w:id="154"/>
      </w:r>
      <w:r w:rsidR="00B646D2" w:rsidRPr="00472DB8">
        <w:rPr>
          <w:rFonts w:ascii="Times" w:hAnsi="Times" w:cs="Times"/>
          <w:szCs w:val="22"/>
        </w:rPr>
        <w:t xml:space="preserve"> </w:t>
      </w:r>
      <w:r w:rsidR="00512E46" w:rsidRPr="00472DB8">
        <w:rPr>
          <w:rFonts w:ascii="Times" w:hAnsi="Times" w:cs="Times"/>
        </w:rPr>
        <w:t>because m</w:t>
      </w:r>
      <w:r w:rsidR="000277DA" w:rsidRPr="00472DB8">
        <w:rPr>
          <w:rFonts w:ascii="Times" w:hAnsi="Times" w:cs="Times"/>
        </w:rPr>
        <w:t xml:space="preserve">aximum power and height restrictions in the LP10 service (10 </w:t>
      </w:r>
      <w:r w:rsidR="00FF11FF" w:rsidRPr="00472DB8">
        <w:rPr>
          <w:rFonts w:ascii="Times" w:hAnsi="Times" w:cs="Times"/>
        </w:rPr>
        <w:t>W</w:t>
      </w:r>
      <w:r w:rsidR="000277DA" w:rsidRPr="00472DB8">
        <w:rPr>
          <w:rFonts w:ascii="Times" w:hAnsi="Times" w:cs="Times"/>
        </w:rPr>
        <w:t xml:space="preserve">atts at 30 meters HAAT) substantially restrict an LP10 station’s coverage area.  </w:t>
      </w:r>
      <w:r w:rsidR="00FF11FF" w:rsidRPr="00472DB8">
        <w:rPr>
          <w:rFonts w:ascii="Times" w:hAnsi="Times" w:cs="Times"/>
        </w:rPr>
        <w:t>In contrast, certain 10 Watt FM translators can operate with no antenna height restrictions.</w:t>
      </w:r>
      <w:r w:rsidR="00E36C3D" w:rsidRPr="00472DB8">
        <w:rPr>
          <w:rFonts w:ascii="Times" w:hAnsi="Times" w:cs="Times"/>
          <w:szCs w:val="22"/>
        </w:rPr>
        <w:t xml:space="preserve">  We continue to </w:t>
      </w:r>
      <w:r w:rsidR="00D503BC" w:rsidRPr="00472DB8">
        <w:rPr>
          <w:rFonts w:ascii="Times" w:hAnsi="Times" w:cs="Times"/>
          <w:szCs w:val="22"/>
        </w:rPr>
        <w:t xml:space="preserve">maintain </w:t>
      </w:r>
      <w:r w:rsidR="00D10F9F" w:rsidRPr="00472DB8">
        <w:rPr>
          <w:rFonts w:ascii="Times" w:hAnsi="Times" w:cs="Times"/>
          <w:szCs w:val="22"/>
        </w:rPr>
        <w:t>that</w:t>
      </w:r>
      <w:r w:rsidR="00E36C3D" w:rsidRPr="00472DB8">
        <w:rPr>
          <w:rFonts w:ascii="Times" w:hAnsi="Times" w:cs="Times"/>
          <w:szCs w:val="22"/>
        </w:rPr>
        <w:t xml:space="preserve"> these differences - the limited coverage area</w:t>
      </w:r>
      <w:r w:rsidR="00B646D2" w:rsidRPr="00472DB8">
        <w:rPr>
          <w:rFonts w:ascii="Times" w:hAnsi="Times" w:cs="Times"/>
          <w:szCs w:val="22"/>
        </w:rPr>
        <w:t>, the technical and environmental challenges,</w:t>
      </w:r>
      <w:r w:rsidR="00E36C3D" w:rsidRPr="00472DB8">
        <w:rPr>
          <w:rFonts w:ascii="Times" w:hAnsi="Times" w:cs="Times"/>
          <w:szCs w:val="22"/>
        </w:rPr>
        <w:t xml:space="preserve"> and the resources required to maintain an LPFM station – render an LP10 service difficult to sustain economically.</w:t>
      </w:r>
      <w:r w:rsidR="00DB01C4" w:rsidRPr="00472DB8">
        <w:rPr>
          <w:rFonts w:ascii="Times" w:hAnsi="Times" w:cs="Times"/>
          <w:szCs w:val="22"/>
        </w:rPr>
        <w:t xml:space="preserve"> </w:t>
      </w:r>
    </w:p>
    <w:p w14:paraId="0560B1CB" w14:textId="77777777" w:rsidR="003530B5" w:rsidRPr="00472DB8" w:rsidRDefault="003530B5" w:rsidP="00E75380">
      <w:pPr>
        <w:pStyle w:val="ListParagraph"/>
        <w:jc w:val="left"/>
        <w:rPr>
          <w:rFonts w:ascii="Times" w:hAnsi="Times" w:cs="Times"/>
        </w:rPr>
      </w:pPr>
    </w:p>
    <w:p w14:paraId="28A25E21" w14:textId="1BDDB2FC" w:rsidR="00246D80" w:rsidRDefault="009E3D34" w:rsidP="00E75380">
      <w:pPr>
        <w:pStyle w:val="ParaNum"/>
        <w:widowControl/>
        <w:numPr>
          <w:ilvl w:val="0"/>
          <w:numId w:val="16"/>
        </w:numPr>
        <w:spacing w:after="0"/>
        <w:ind w:left="0"/>
        <w:jc w:val="left"/>
        <w:rPr>
          <w:rFonts w:ascii="Times" w:hAnsi="Times" w:cs="Times"/>
          <w:szCs w:val="22"/>
        </w:rPr>
      </w:pPr>
      <w:r w:rsidRPr="00472DB8">
        <w:rPr>
          <w:rFonts w:ascii="Times" w:hAnsi="Times" w:cs="Times"/>
          <w:szCs w:val="22"/>
        </w:rPr>
        <w:t>T</w:t>
      </w:r>
      <w:r w:rsidR="00E36C3D" w:rsidRPr="00472DB8">
        <w:rPr>
          <w:rFonts w:ascii="Times" w:hAnsi="Times" w:cs="Times"/>
          <w:szCs w:val="22"/>
        </w:rPr>
        <w:t xml:space="preserve">he record </w:t>
      </w:r>
      <w:r w:rsidRPr="00472DB8">
        <w:rPr>
          <w:rFonts w:ascii="Times" w:hAnsi="Times" w:cs="Times"/>
          <w:szCs w:val="22"/>
        </w:rPr>
        <w:t xml:space="preserve">also </w:t>
      </w:r>
      <w:r w:rsidR="00E36C3D" w:rsidRPr="00472DB8">
        <w:rPr>
          <w:rFonts w:ascii="Times" w:hAnsi="Times" w:cs="Times"/>
          <w:szCs w:val="22"/>
        </w:rPr>
        <w:t xml:space="preserve">supports our conclusion that an LP10 service would be </w:t>
      </w:r>
      <w:r w:rsidR="00944BCC" w:rsidRPr="00472DB8">
        <w:rPr>
          <w:rFonts w:ascii="Times" w:hAnsi="Times" w:cs="Times"/>
          <w:szCs w:val="22"/>
        </w:rPr>
        <w:t>difficult to sustain economically</w:t>
      </w:r>
      <w:r w:rsidR="00033681" w:rsidRPr="00472DB8">
        <w:rPr>
          <w:rFonts w:ascii="Times" w:hAnsi="Times" w:cs="Times"/>
          <w:szCs w:val="22"/>
        </w:rPr>
        <w:t>.</w:t>
      </w:r>
      <w:r w:rsidR="00033681" w:rsidRPr="00472DB8">
        <w:rPr>
          <w:rStyle w:val="FootnoteReference"/>
          <w:rFonts w:ascii="Times" w:hAnsi="Times" w:cs="Times"/>
          <w:szCs w:val="22"/>
        </w:rPr>
        <w:footnoteReference w:id="155"/>
      </w:r>
      <w:r w:rsidR="00E36C3D" w:rsidRPr="00472DB8">
        <w:rPr>
          <w:rFonts w:ascii="Times" w:hAnsi="Times" w:cs="Times"/>
          <w:szCs w:val="22"/>
        </w:rPr>
        <w:t xml:space="preserve">  </w:t>
      </w:r>
      <w:r w:rsidR="00E36C3D" w:rsidRPr="00472DB8">
        <w:rPr>
          <w:rFonts w:ascii="Times" w:hAnsi="Times" w:cs="Times"/>
        </w:rPr>
        <w:t xml:space="preserve">The Commission noted that a recent study found </w:t>
      </w:r>
      <w:r w:rsidR="00E36C3D" w:rsidRPr="00472DB8">
        <w:rPr>
          <w:rFonts w:ascii="Times" w:hAnsi="Times" w:cs="Times"/>
          <w:szCs w:val="22"/>
        </w:rPr>
        <w:t>even higher-powered LP100 stations have small service areas and are constrained in “their ability to gain listeners” and “appeal to potential underwriters.”</w:t>
      </w:r>
      <w:r w:rsidR="00E36C3D" w:rsidRPr="00472DB8">
        <w:rPr>
          <w:rStyle w:val="FootnoteReference"/>
          <w:rFonts w:ascii="Times" w:hAnsi="Times" w:cs="Times"/>
          <w:szCs w:val="22"/>
        </w:rPr>
        <w:footnoteReference w:id="156"/>
      </w:r>
      <w:r w:rsidR="00E36C3D" w:rsidRPr="00472DB8">
        <w:rPr>
          <w:rFonts w:ascii="Times" w:hAnsi="Times" w:cs="Times"/>
          <w:szCs w:val="22"/>
        </w:rPr>
        <w:t xml:space="preserve">  </w:t>
      </w:r>
      <w:r w:rsidR="00E36C3D" w:rsidRPr="00472DB8">
        <w:rPr>
          <w:rFonts w:ascii="Times" w:hAnsi="Times" w:cs="Times"/>
        </w:rPr>
        <w:t xml:space="preserve">LTCI’s vague anecdotal claims about LP10 viability fail to undercut this </w:t>
      </w:r>
      <w:r w:rsidR="008136D5" w:rsidRPr="00472DB8">
        <w:rPr>
          <w:rFonts w:ascii="Times" w:hAnsi="Times" w:cs="Times"/>
        </w:rPr>
        <w:t>study</w:t>
      </w:r>
      <w:r w:rsidR="00E36C3D" w:rsidRPr="00472DB8">
        <w:rPr>
          <w:rFonts w:ascii="Times" w:hAnsi="Times" w:cs="Times"/>
        </w:rPr>
        <w:t>, which was mandated by Congress and represents the most comprehensive economic analysis of LPFM operations that exists.</w:t>
      </w:r>
      <w:r w:rsidR="00033681" w:rsidRPr="00472DB8">
        <w:rPr>
          <w:rFonts w:ascii="Times" w:hAnsi="Times" w:cs="Times"/>
          <w:szCs w:val="22"/>
        </w:rPr>
        <w:t xml:space="preserve">  </w:t>
      </w:r>
    </w:p>
    <w:p w14:paraId="7DE069DB" w14:textId="77777777" w:rsidR="00B2033E" w:rsidRPr="00472DB8" w:rsidRDefault="00B2033E" w:rsidP="00E75380">
      <w:pPr>
        <w:pStyle w:val="ParaNum"/>
        <w:widowControl/>
        <w:numPr>
          <w:ilvl w:val="0"/>
          <w:numId w:val="0"/>
        </w:numPr>
        <w:spacing w:after="0"/>
        <w:jc w:val="left"/>
        <w:rPr>
          <w:rFonts w:ascii="Times" w:hAnsi="Times" w:cs="Times"/>
          <w:szCs w:val="22"/>
        </w:rPr>
      </w:pPr>
    </w:p>
    <w:p w14:paraId="7A1DAC6C" w14:textId="2C5B63E0" w:rsidR="00A61FE9" w:rsidRPr="00472DB8" w:rsidRDefault="00D506CF" w:rsidP="00E75380">
      <w:pPr>
        <w:pStyle w:val="ParaNum"/>
        <w:widowControl/>
        <w:numPr>
          <w:ilvl w:val="0"/>
          <w:numId w:val="16"/>
        </w:numPr>
        <w:spacing w:after="0"/>
        <w:ind w:left="0"/>
        <w:jc w:val="left"/>
        <w:rPr>
          <w:rFonts w:ascii="Times" w:hAnsi="Times" w:cs="Times"/>
          <w:szCs w:val="22"/>
        </w:rPr>
      </w:pPr>
      <w:bookmarkStart w:id="4" w:name="SR;25788"/>
      <w:bookmarkStart w:id="5" w:name="SR;25789"/>
      <w:bookmarkEnd w:id="4"/>
      <w:bookmarkEnd w:id="5"/>
      <w:r w:rsidRPr="00472DB8">
        <w:rPr>
          <w:rFonts w:ascii="Times" w:hAnsi="Times" w:cs="Times"/>
        </w:rPr>
        <w:t xml:space="preserve">Accordingly, </w:t>
      </w:r>
      <w:r w:rsidR="009B06E2" w:rsidRPr="00472DB8">
        <w:rPr>
          <w:rFonts w:ascii="Times" w:hAnsi="Times" w:cs="Times"/>
        </w:rPr>
        <w:t xml:space="preserve">in light of the </w:t>
      </w:r>
      <w:r w:rsidR="00925BCA" w:rsidRPr="00472DB8">
        <w:rPr>
          <w:rFonts w:ascii="Times" w:hAnsi="Times" w:cs="Times"/>
        </w:rPr>
        <w:t xml:space="preserve">significant </w:t>
      </w:r>
      <w:r w:rsidR="009B06E2" w:rsidRPr="00472DB8">
        <w:rPr>
          <w:rFonts w:ascii="Times" w:hAnsi="Times" w:cs="Times"/>
        </w:rPr>
        <w:t>record and the Commission’s experience on the issue</w:t>
      </w:r>
      <w:r w:rsidR="009E3D34" w:rsidRPr="00472DB8">
        <w:rPr>
          <w:rFonts w:ascii="Times" w:hAnsi="Times" w:cs="Times"/>
        </w:rPr>
        <w:t>,</w:t>
      </w:r>
      <w:r w:rsidR="009E3D34" w:rsidRPr="00472DB8">
        <w:rPr>
          <w:rStyle w:val="FootnoteReference"/>
          <w:rFonts w:ascii="Times" w:hAnsi="Times" w:cs="Times"/>
        </w:rPr>
        <w:footnoteReference w:id="157"/>
      </w:r>
      <w:r w:rsidR="009E3D34" w:rsidRPr="00472DB8">
        <w:rPr>
          <w:rFonts w:ascii="Times" w:hAnsi="Times" w:cs="Times"/>
        </w:rPr>
        <w:t xml:space="preserve"> as well as </w:t>
      </w:r>
      <w:r w:rsidR="00925BCA" w:rsidRPr="00472DB8">
        <w:rPr>
          <w:rFonts w:ascii="Times" w:hAnsi="Times" w:cs="Times"/>
        </w:rPr>
        <w:t xml:space="preserve">LTCI’s failure to rebut the </w:t>
      </w:r>
      <w:r w:rsidR="007B1488" w:rsidRPr="00472DB8">
        <w:rPr>
          <w:rFonts w:ascii="Times" w:hAnsi="Times" w:cs="Times"/>
        </w:rPr>
        <w:t xml:space="preserve">record </w:t>
      </w:r>
      <w:r w:rsidR="005B4C01" w:rsidRPr="00472DB8">
        <w:rPr>
          <w:rFonts w:ascii="Times" w:hAnsi="Times" w:cs="Times"/>
        </w:rPr>
        <w:t xml:space="preserve">submissions </w:t>
      </w:r>
      <w:r w:rsidR="00925BCA" w:rsidRPr="00472DB8">
        <w:rPr>
          <w:rFonts w:ascii="Times" w:hAnsi="Times" w:cs="Times"/>
        </w:rPr>
        <w:t>relied upon by the Commission</w:t>
      </w:r>
      <w:r w:rsidR="009B06E2" w:rsidRPr="00472DB8">
        <w:rPr>
          <w:rFonts w:ascii="Times" w:hAnsi="Times" w:cs="Times"/>
        </w:rPr>
        <w:t>,</w:t>
      </w:r>
      <w:r w:rsidR="001348CB" w:rsidRPr="00472DB8">
        <w:rPr>
          <w:rStyle w:val="FootnoteReference"/>
          <w:rFonts w:ascii="Times" w:hAnsi="Times" w:cs="Times"/>
        </w:rPr>
        <w:footnoteReference w:id="158"/>
      </w:r>
      <w:r w:rsidR="009B06E2" w:rsidRPr="00472DB8">
        <w:rPr>
          <w:rFonts w:ascii="Times" w:hAnsi="Times" w:cs="Times"/>
        </w:rPr>
        <w:t xml:space="preserve"> </w:t>
      </w:r>
      <w:r w:rsidRPr="00472DB8">
        <w:rPr>
          <w:rFonts w:ascii="Times" w:hAnsi="Times" w:cs="Times"/>
        </w:rPr>
        <w:t xml:space="preserve">we find no merit to </w:t>
      </w:r>
      <w:r w:rsidR="0002703D" w:rsidRPr="00472DB8">
        <w:rPr>
          <w:rFonts w:ascii="Times" w:hAnsi="Times" w:cs="Times"/>
        </w:rPr>
        <w:t xml:space="preserve">LTCI’s claims that the Commission’s concerns regarding efficiency and financial stability </w:t>
      </w:r>
      <w:r w:rsidR="00512E46" w:rsidRPr="00472DB8">
        <w:rPr>
          <w:rFonts w:ascii="Times" w:hAnsi="Times" w:cs="Times"/>
        </w:rPr>
        <w:t>are insufficient to</w:t>
      </w:r>
      <w:r w:rsidR="0002703D" w:rsidRPr="00472DB8">
        <w:rPr>
          <w:rFonts w:ascii="Times" w:hAnsi="Times" w:cs="Times"/>
        </w:rPr>
        <w:t xml:space="preserve"> justify the elimination of the LP10 service</w:t>
      </w:r>
      <w:r w:rsidRPr="00472DB8">
        <w:rPr>
          <w:rFonts w:ascii="Times" w:hAnsi="Times" w:cs="Times"/>
        </w:rPr>
        <w:t>.</w:t>
      </w:r>
      <w:r w:rsidR="009B06E2" w:rsidRPr="00472DB8">
        <w:rPr>
          <w:rStyle w:val="FootnoteReference"/>
          <w:rFonts w:ascii="Times" w:hAnsi="Times" w:cs="Times"/>
        </w:rPr>
        <w:footnoteReference w:id="159"/>
      </w:r>
    </w:p>
    <w:p w14:paraId="5F6CA4D7" w14:textId="77777777" w:rsidR="001A302C" w:rsidRPr="00472DB8" w:rsidRDefault="001A302C" w:rsidP="00E75380">
      <w:pPr>
        <w:pStyle w:val="ParaNum"/>
        <w:widowControl/>
        <w:numPr>
          <w:ilvl w:val="0"/>
          <w:numId w:val="0"/>
        </w:numPr>
        <w:spacing w:after="0"/>
        <w:jc w:val="left"/>
        <w:rPr>
          <w:rFonts w:ascii="Times" w:hAnsi="Times" w:cs="Times"/>
          <w:szCs w:val="22"/>
        </w:rPr>
      </w:pPr>
    </w:p>
    <w:p w14:paraId="65FCC4D0" w14:textId="2641CAD0" w:rsidR="00232DBC" w:rsidRPr="00472DB8" w:rsidRDefault="00A70A0F" w:rsidP="00E75380">
      <w:pPr>
        <w:pStyle w:val="ParaNum"/>
        <w:widowControl/>
        <w:numPr>
          <w:ilvl w:val="0"/>
          <w:numId w:val="16"/>
        </w:numPr>
        <w:spacing w:after="0"/>
        <w:ind w:left="0"/>
        <w:jc w:val="left"/>
        <w:rPr>
          <w:rFonts w:ascii="Times" w:hAnsi="Times" w:cs="Times"/>
          <w:szCs w:val="22"/>
        </w:rPr>
      </w:pPr>
      <w:r w:rsidRPr="00472DB8">
        <w:rPr>
          <w:rFonts w:ascii="Times" w:hAnsi="Times" w:cs="Times"/>
        </w:rPr>
        <w:t xml:space="preserve">LTCI also </w:t>
      </w:r>
      <w:r w:rsidR="008D24E0" w:rsidRPr="00472DB8">
        <w:rPr>
          <w:rFonts w:ascii="Times" w:hAnsi="Times" w:cs="Times"/>
        </w:rPr>
        <w:t>disagrees with</w:t>
      </w:r>
      <w:r w:rsidRPr="00472DB8">
        <w:rPr>
          <w:rFonts w:ascii="Times" w:hAnsi="Times" w:cs="Times"/>
        </w:rPr>
        <w:t xml:space="preserve"> </w:t>
      </w:r>
      <w:r w:rsidR="00C0695F" w:rsidRPr="00472DB8">
        <w:rPr>
          <w:rFonts w:ascii="Times" w:hAnsi="Times" w:cs="Times"/>
        </w:rPr>
        <w:t>the Commission’s</w:t>
      </w:r>
      <w:r w:rsidRPr="00472DB8">
        <w:rPr>
          <w:rFonts w:ascii="Times" w:hAnsi="Times" w:cs="Times"/>
        </w:rPr>
        <w:t xml:space="preserve"> decision not to create an LP50 service.  </w:t>
      </w:r>
      <w:r w:rsidR="00C0695F" w:rsidRPr="00472DB8">
        <w:rPr>
          <w:rFonts w:ascii="Times" w:hAnsi="Times" w:cs="Times"/>
        </w:rPr>
        <w:t>Th</w:t>
      </w:r>
      <w:r w:rsidR="001A302C" w:rsidRPr="00472DB8">
        <w:rPr>
          <w:rFonts w:ascii="Times" w:hAnsi="Times" w:cs="Times"/>
        </w:rPr>
        <w:t xml:space="preserve">e </w:t>
      </w:r>
      <w:r w:rsidR="00C0695F" w:rsidRPr="00472DB8">
        <w:rPr>
          <w:rFonts w:ascii="Times" w:hAnsi="Times" w:cs="Times"/>
        </w:rPr>
        <w:t xml:space="preserve">Commission </w:t>
      </w:r>
      <w:r w:rsidR="001A302C" w:rsidRPr="00472DB8">
        <w:rPr>
          <w:rFonts w:ascii="Times" w:hAnsi="Times" w:cs="Times"/>
        </w:rPr>
        <w:t>concluded that introducing a new LP50 class was not a logical outgrowth of th</w:t>
      </w:r>
      <w:r w:rsidR="000E6CA2" w:rsidRPr="00472DB8">
        <w:rPr>
          <w:rFonts w:ascii="Times" w:hAnsi="Times" w:cs="Times"/>
        </w:rPr>
        <w:t>is</w:t>
      </w:r>
      <w:r w:rsidR="001A302C" w:rsidRPr="00472DB8">
        <w:rPr>
          <w:rFonts w:ascii="Times" w:hAnsi="Times" w:cs="Times"/>
        </w:rPr>
        <w:t xml:space="preserve"> proceeding because it could not have been reasonably anticipated by interested parties.</w:t>
      </w:r>
      <w:r w:rsidR="001A302C" w:rsidRPr="00472DB8">
        <w:rPr>
          <w:rStyle w:val="FootnoteReference"/>
          <w:rFonts w:ascii="Times" w:hAnsi="Times" w:cs="Times"/>
          <w:szCs w:val="22"/>
        </w:rPr>
        <w:footnoteReference w:id="160"/>
      </w:r>
      <w:r w:rsidR="001A302C" w:rsidRPr="00472DB8">
        <w:rPr>
          <w:rFonts w:ascii="Times" w:hAnsi="Times" w:cs="Times"/>
        </w:rPr>
        <w:t xml:space="preserve">    LTCI fails to address this notice issue</w:t>
      </w:r>
      <w:r w:rsidR="000E6CA2" w:rsidRPr="00472DB8">
        <w:rPr>
          <w:rFonts w:ascii="Times" w:hAnsi="Times" w:cs="Times"/>
        </w:rPr>
        <w:t>,</w:t>
      </w:r>
      <w:r w:rsidR="001A302C" w:rsidRPr="00472DB8">
        <w:rPr>
          <w:rFonts w:ascii="Times" w:hAnsi="Times" w:cs="Times"/>
        </w:rPr>
        <w:t xml:space="preserve"> which we find bars substantive consideration of the </w:t>
      </w:r>
      <w:r w:rsidR="007B1488" w:rsidRPr="00472DB8">
        <w:rPr>
          <w:rFonts w:ascii="Times" w:hAnsi="Times" w:cs="Times"/>
        </w:rPr>
        <w:t xml:space="preserve">possible </w:t>
      </w:r>
      <w:r w:rsidR="001A302C" w:rsidRPr="00472DB8">
        <w:rPr>
          <w:rFonts w:ascii="Times" w:hAnsi="Times" w:cs="Times"/>
        </w:rPr>
        <w:t>LP50 class of service at this time.</w:t>
      </w:r>
      <w:r w:rsidR="007E4D52" w:rsidRPr="00472DB8">
        <w:rPr>
          <w:rStyle w:val="FootnoteReference"/>
          <w:rFonts w:ascii="Times" w:hAnsi="Times" w:cs="Times"/>
        </w:rPr>
        <w:footnoteReference w:id="161"/>
      </w:r>
    </w:p>
    <w:p w14:paraId="7296ECD5" w14:textId="49135E8B" w:rsidR="00033BD0" w:rsidRPr="00472DB8" w:rsidRDefault="001076D5" w:rsidP="00E75380">
      <w:pPr>
        <w:pStyle w:val="ParaNum"/>
        <w:widowControl/>
        <w:numPr>
          <w:ilvl w:val="0"/>
          <w:numId w:val="16"/>
        </w:numPr>
        <w:spacing w:after="0"/>
        <w:ind w:left="0"/>
        <w:jc w:val="left"/>
        <w:rPr>
          <w:rFonts w:ascii="Times" w:hAnsi="Times" w:cs="Times"/>
          <w:szCs w:val="22"/>
        </w:rPr>
      </w:pPr>
      <w:r w:rsidRPr="00472DB8">
        <w:rPr>
          <w:rFonts w:ascii="Times" w:hAnsi="Times" w:cs="Times"/>
        </w:rPr>
        <w:t xml:space="preserve">LTCI also argues that allowing </w:t>
      </w:r>
      <w:r w:rsidR="00C55B69" w:rsidRPr="00472DB8">
        <w:rPr>
          <w:rFonts w:ascii="Times" w:hAnsi="Times" w:cs="Times"/>
        </w:rPr>
        <w:t xml:space="preserve">only </w:t>
      </w:r>
      <w:r w:rsidRPr="00472DB8">
        <w:rPr>
          <w:rFonts w:ascii="Times" w:hAnsi="Times" w:cs="Times"/>
        </w:rPr>
        <w:t>a</w:t>
      </w:r>
      <w:r w:rsidR="00ED567D" w:rsidRPr="00472DB8">
        <w:rPr>
          <w:rFonts w:ascii="Times" w:hAnsi="Times" w:cs="Times"/>
        </w:rPr>
        <w:t>n</w:t>
      </w:r>
      <w:r w:rsidRPr="00472DB8">
        <w:rPr>
          <w:rFonts w:ascii="Times" w:hAnsi="Times" w:cs="Times"/>
        </w:rPr>
        <w:t xml:space="preserve"> LP100 class of service violates</w:t>
      </w:r>
      <w:r w:rsidR="00763B7D" w:rsidRPr="00472DB8">
        <w:rPr>
          <w:rFonts w:ascii="Times" w:hAnsi="Times" w:cs="Times"/>
        </w:rPr>
        <w:t xml:space="preserve"> Section 5 of</w:t>
      </w:r>
      <w:r w:rsidRPr="00472DB8">
        <w:rPr>
          <w:rFonts w:ascii="Times" w:hAnsi="Times" w:cs="Times"/>
        </w:rPr>
        <w:t xml:space="preserve"> the LCRA</w:t>
      </w:r>
      <w:r w:rsidR="00CC4001" w:rsidRPr="00472DB8">
        <w:rPr>
          <w:rFonts w:ascii="Times" w:hAnsi="Times" w:cs="Times"/>
        </w:rPr>
        <w:t xml:space="preserve">’s mandate </w:t>
      </w:r>
      <w:r w:rsidR="00762FDC" w:rsidRPr="00472DB8">
        <w:rPr>
          <w:rFonts w:ascii="Times" w:hAnsi="Times" w:cs="Times"/>
          <w:szCs w:val="22"/>
        </w:rPr>
        <w:t>that the Commission</w:t>
      </w:r>
      <w:r w:rsidR="00CC4001" w:rsidRPr="00472DB8">
        <w:rPr>
          <w:rFonts w:ascii="Times" w:hAnsi="Times" w:cs="Times"/>
        </w:rPr>
        <w:t xml:space="preserve"> make available both LPFM stations and translators based on the needs of the community</w:t>
      </w:r>
      <w:r w:rsidR="009E3D34" w:rsidRPr="00472DB8">
        <w:rPr>
          <w:rFonts w:ascii="Times" w:hAnsi="Times" w:cs="Times"/>
        </w:rPr>
        <w:t>,</w:t>
      </w:r>
      <w:r w:rsidR="00FA3FF3" w:rsidRPr="00472DB8">
        <w:rPr>
          <w:rFonts w:ascii="Times" w:hAnsi="Times" w:cs="Times"/>
        </w:rPr>
        <w:t xml:space="preserve"> because the decision not to license stations at LP50 or below will leave urban areas unserved or underserved</w:t>
      </w:r>
      <w:r w:rsidR="003632BB" w:rsidRPr="00472DB8">
        <w:rPr>
          <w:rFonts w:ascii="Times" w:hAnsi="Times" w:cs="Times"/>
        </w:rPr>
        <w:t>.</w:t>
      </w:r>
      <w:r w:rsidR="00F93094" w:rsidRPr="00472DB8">
        <w:rPr>
          <w:rStyle w:val="FootnoteReference"/>
          <w:rFonts w:ascii="Times" w:hAnsi="Times" w:cs="Times"/>
        </w:rPr>
        <w:footnoteReference w:id="162"/>
      </w:r>
      <w:r w:rsidR="003632BB" w:rsidRPr="00472DB8">
        <w:rPr>
          <w:rFonts w:ascii="Times" w:hAnsi="Times" w:cs="Times"/>
        </w:rPr>
        <w:t xml:space="preserve">  In the </w:t>
      </w:r>
      <w:r w:rsidR="003632BB" w:rsidRPr="00472DB8">
        <w:rPr>
          <w:rFonts w:ascii="Times" w:hAnsi="Times" w:cs="Times"/>
          <w:i/>
        </w:rPr>
        <w:t>Fourth Report and Order</w:t>
      </w:r>
      <w:r w:rsidR="003632BB" w:rsidRPr="00472DB8">
        <w:rPr>
          <w:rFonts w:ascii="Times" w:hAnsi="Times" w:cs="Times"/>
        </w:rPr>
        <w:t xml:space="preserve">, the Commission determined that Sections 5(1) and (2) </w:t>
      </w:r>
      <w:r w:rsidR="00050967" w:rsidRPr="00472DB8">
        <w:rPr>
          <w:rFonts w:ascii="Times" w:hAnsi="Times" w:cs="Times"/>
        </w:rPr>
        <w:t>of the LCRA</w:t>
      </w:r>
      <w:r w:rsidR="003632BB" w:rsidRPr="00472DB8">
        <w:rPr>
          <w:rFonts w:ascii="Times" w:hAnsi="Times" w:cs="Times"/>
        </w:rPr>
        <w:t xml:space="preserve"> required both LPFM and translator li</w:t>
      </w:r>
      <w:r w:rsidR="001C5F4E" w:rsidRPr="00472DB8">
        <w:rPr>
          <w:rFonts w:ascii="Times" w:hAnsi="Times" w:cs="Times"/>
        </w:rPr>
        <w:t>censes be available in as many local communities</w:t>
      </w:r>
      <w:r w:rsidR="003632BB" w:rsidRPr="00472DB8">
        <w:rPr>
          <w:rFonts w:ascii="Times" w:hAnsi="Times" w:cs="Times"/>
        </w:rPr>
        <w:t xml:space="preserve"> as possible, according to their needs.</w:t>
      </w:r>
      <w:r w:rsidR="003632BB" w:rsidRPr="00472DB8">
        <w:rPr>
          <w:rStyle w:val="FootnoteReference"/>
          <w:rFonts w:ascii="Times" w:hAnsi="Times" w:cs="Times"/>
        </w:rPr>
        <w:footnoteReference w:id="163"/>
      </w:r>
      <w:r w:rsidR="003632BB" w:rsidRPr="00472DB8">
        <w:rPr>
          <w:rFonts w:ascii="Times" w:hAnsi="Times" w:cs="Times"/>
        </w:rPr>
        <w:t xml:space="preserve">  </w:t>
      </w:r>
      <w:r w:rsidR="00C0695F" w:rsidRPr="00472DB8">
        <w:rPr>
          <w:rFonts w:ascii="Times" w:hAnsi="Times" w:cs="Times"/>
        </w:rPr>
        <w:t>The Commission</w:t>
      </w:r>
      <w:r w:rsidR="001C5F4E" w:rsidRPr="00472DB8">
        <w:rPr>
          <w:rFonts w:ascii="Times" w:hAnsi="Times" w:cs="Times"/>
        </w:rPr>
        <w:t xml:space="preserve"> </w:t>
      </w:r>
      <w:r w:rsidR="003632BB" w:rsidRPr="00472DB8">
        <w:rPr>
          <w:rFonts w:ascii="Times" w:hAnsi="Times" w:cs="Times"/>
        </w:rPr>
        <w:t xml:space="preserve">concluded </w:t>
      </w:r>
      <w:r w:rsidR="00C0695F" w:rsidRPr="00472DB8">
        <w:rPr>
          <w:rFonts w:ascii="Times" w:hAnsi="Times" w:cs="Times"/>
        </w:rPr>
        <w:t xml:space="preserve">the </w:t>
      </w:r>
      <w:r w:rsidR="003632BB" w:rsidRPr="00472DB8">
        <w:rPr>
          <w:rFonts w:ascii="Times" w:hAnsi="Times" w:cs="Times"/>
        </w:rPr>
        <w:t>primary focus under Section 5 was to ensure that translator</w:t>
      </w:r>
      <w:r w:rsidR="003632BB" w:rsidRPr="00472DB8">
        <w:rPr>
          <w:rFonts w:ascii="Times" w:hAnsi="Times" w:cs="Times"/>
          <w:szCs w:val="22"/>
        </w:rPr>
        <w:t xml:space="preserve"> licensing procedures did not foreclose or unduly limit future LPFM licensing.</w:t>
      </w:r>
      <w:r w:rsidR="003632BB" w:rsidRPr="00472DB8">
        <w:rPr>
          <w:rStyle w:val="FootnoteReference"/>
          <w:rFonts w:ascii="Times" w:hAnsi="Times" w:cs="Times"/>
          <w:szCs w:val="22"/>
        </w:rPr>
        <w:footnoteReference w:id="164"/>
      </w:r>
      <w:r w:rsidR="003632BB" w:rsidRPr="00472DB8">
        <w:rPr>
          <w:rFonts w:ascii="Times" w:hAnsi="Times" w:cs="Times"/>
          <w:szCs w:val="22"/>
        </w:rPr>
        <w:t xml:space="preserve">  T</w:t>
      </w:r>
      <w:r w:rsidR="00C925C3" w:rsidRPr="00472DB8">
        <w:rPr>
          <w:rFonts w:ascii="Times" w:hAnsi="Times" w:cs="Times"/>
          <w:szCs w:val="22"/>
        </w:rPr>
        <w:t xml:space="preserve">he </w:t>
      </w:r>
      <w:r w:rsidR="001A302C" w:rsidRPr="00472DB8">
        <w:rPr>
          <w:rFonts w:ascii="Times" w:hAnsi="Times" w:cs="Times"/>
          <w:szCs w:val="22"/>
        </w:rPr>
        <w:t>Commission</w:t>
      </w:r>
      <w:r w:rsidR="00C925C3" w:rsidRPr="00472DB8">
        <w:rPr>
          <w:rFonts w:ascii="Times" w:hAnsi="Times" w:cs="Times"/>
          <w:szCs w:val="22"/>
        </w:rPr>
        <w:t xml:space="preserve"> undertook exhaustive technical analyses to determine the availability of LPFM licensing opportunities in over 150 </w:t>
      </w:r>
      <w:r w:rsidR="0045563E" w:rsidRPr="00472DB8">
        <w:rPr>
          <w:rFonts w:ascii="Times" w:hAnsi="Times" w:cs="Times"/>
          <w:szCs w:val="22"/>
        </w:rPr>
        <w:t>markets</w:t>
      </w:r>
      <w:r w:rsidR="00C925C3" w:rsidRPr="00472DB8">
        <w:rPr>
          <w:rFonts w:ascii="Times" w:hAnsi="Times" w:cs="Times"/>
          <w:szCs w:val="22"/>
        </w:rPr>
        <w:t xml:space="preserve"> and adopted</w:t>
      </w:r>
      <w:r w:rsidR="003632BB" w:rsidRPr="00472DB8">
        <w:rPr>
          <w:rFonts w:ascii="Times" w:hAnsi="Times" w:cs="Times"/>
          <w:szCs w:val="22"/>
        </w:rPr>
        <w:t xml:space="preserve"> </w:t>
      </w:r>
      <w:r w:rsidR="003F2D01" w:rsidRPr="00472DB8">
        <w:rPr>
          <w:rFonts w:ascii="Times" w:hAnsi="Times" w:cs="Times"/>
          <w:szCs w:val="22"/>
        </w:rPr>
        <w:t xml:space="preserve">strict </w:t>
      </w:r>
      <w:r w:rsidR="003632BB" w:rsidRPr="00472DB8">
        <w:rPr>
          <w:rFonts w:ascii="Times" w:hAnsi="Times" w:cs="Times"/>
          <w:szCs w:val="22"/>
        </w:rPr>
        <w:t xml:space="preserve">translator processing and dismissal </w:t>
      </w:r>
      <w:r w:rsidR="003F2D01" w:rsidRPr="00472DB8">
        <w:rPr>
          <w:rFonts w:ascii="Times" w:hAnsi="Times" w:cs="Times"/>
          <w:szCs w:val="22"/>
        </w:rPr>
        <w:t xml:space="preserve">standards </w:t>
      </w:r>
      <w:r w:rsidR="00C925C3" w:rsidRPr="00472DB8">
        <w:rPr>
          <w:rFonts w:ascii="Times" w:hAnsi="Times" w:cs="Times"/>
          <w:szCs w:val="22"/>
        </w:rPr>
        <w:t xml:space="preserve">to </w:t>
      </w:r>
      <w:r w:rsidR="003632BB" w:rsidRPr="00472DB8">
        <w:rPr>
          <w:rFonts w:ascii="Times" w:hAnsi="Times" w:cs="Times"/>
          <w:szCs w:val="22"/>
        </w:rPr>
        <w:t xml:space="preserve">preserve </w:t>
      </w:r>
      <w:r w:rsidR="00C925C3" w:rsidRPr="00472DB8">
        <w:rPr>
          <w:rFonts w:ascii="Times" w:hAnsi="Times" w:cs="Times"/>
          <w:szCs w:val="22"/>
        </w:rPr>
        <w:t>identified</w:t>
      </w:r>
      <w:r w:rsidR="003632BB" w:rsidRPr="00472DB8">
        <w:rPr>
          <w:rFonts w:ascii="Times" w:hAnsi="Times" w:cs="Times"/>
          <w:szCs w:val="22"/>
        </w:rPr>
        <w:t xml:space="preserve"> LPFM licensing opportunities</w:t>
      </w:r>
      <w:r w:rsidR="00C925C3" w:rsidRPr="00472DB8">
        <w:rPr>
          <w:rFonts w:ascii="Times" w:hAnsi="Times" w:cs="Times"/>
          <w:szCs w:val="22"/>
        </w:rPr>
        <w:t xml:space="preserve"> in these markets</w:t>
      </w:r>
      <w:r w:rsidR="001600A7" w:rsidRPr="00472DB8">
        <w:rPr>
          <w:rFonts w:ascii="Times" w:hAnsi="Times" w:cs="Times"/>
          <w:szCs w:val="22"/>
        </w:rPr>
        <w:t>, including “urban core” areas</w:t>
      </w:r>
      <w:r w:rsidR="003632BB" w:rsidRPr="00472DB8">
        <w:rPr>
          <w:rFonts w:ascii="Times" w:hAnsi="Times" w:cs="Times"/>
          <w:szCs w:val="22"/>
        </w:rPr>
        <w:t>.</w:t>
      </w:r>
      <w:r w:rsidR="00A57933" w:rsidRPr="00472DB8">
        <w:rPr>
          <w:rStyle w:val="FootnoteReference"/>
          <w:rFonts w:ascii="Times" w:hAnsi="Times" w:cs="Times"/>
          <w:szCs w:val="22"/>
        </w:rPr>
        <w:footnoteReference w:id="165"/>
      </w:r>
      <w:r w:rsidR="00C0695F" w:rsidRPr="00472DB8">
        <w:rPr>
          <w:rFonts w:ascii="Times" w:hAnsi="Times" w:cs="Times"/>
          <w:szCs w:val="22"/>
        </w:rPr>
        <w:t xml:space="preserve">  </w:t>
      </w:r>
      <w:r w:rsidR="00E026A6" w:rsidRPr="00472DB8">
        <w:rPr>
          <w:rFonts w:ascii="Times" w:hAnsi="Times" w:cs="Times"/>
          <w:szCs w:val="22"/>
        </w:rPr>
        <w:t xml:space="preserve">In doing so, as discussed above, after careful consideration of the record and based </w:t>
      </w:r>
      <w:r w:rsidR="00DF0349" w:rsidRPr="00472DB8">
        <w:rPr>
          <w:rFonts w:ascii="Times" w:hAnsi="Times" w:cs="Times"/>
          <w:szCs w:val="22"/>
        </w:rPr>
        <w:t xml:space="preserve">on </w:t>
      </w:r>
      <w:r w:rsidR="009E3D34" w:rsidRPr="00472DB8">
        <w:rPr>
          <w:rFonts w:ascii="Times" w:hAnsi="Times" w:cs="Times"/>
          <w:szCs w:val="22"/>
        </w:rPr>
        <w:t xml:space="preserve">its </w:t>
      </w:r>
      <w:r w:rsidR="00E026A6" w:rsidRPr="00472DB8">
        <w:rPr>
          <w:rFonts w:ascii="Times" w:hAnsi="Times" w:cs="Times"/>
          <w:szCs w:val="22"/>
        </w:rPr>
        <w:t xml:space="preserve">experience, </w:t>
      </w:r>
      <w:r w:rsidR="002B3E12" w:rsidRPr="00472DB8">
        <w:rPr>
          <w:rFonts w:ascii="Times" w:hAnsi="Times" w:cs="Times"/>
          <w:szCs w:val="22"/>
        </w:rPr>
        <w:t>the Commission</w:t>
      </w:r>
      <w:r w:rsidR="00E026A6" w:rsidRPr="00472DB8">
        <w:rPr>
          <w:rFonts w:ascii="Times" w:hAnsi="Times" w:cs="Times"/>
          <w:szCs w:val="22"/>
        </w:rPr>
        <w:t xml:space="preserve"> determined that an LP10 or LP50 class of service is neither a practical or efficient use of the spectrum nor economically sustainable.</w:t>
      </w:r>
      <w:r w:rsidR="002B3E12" w:rsidRPr="00472DB8">
        <w:rPr>
          <w:rStyle w:val="FootnoteReference"/>
          <w:rFonts w:ascii="Times" w:hAnsi="Times" w:cs="Times"/>
          <w:szCs w:val="22"/>
        </w:rPr>
        <w:footnoteReference w:id="166"/>
      </w:r>
    </w:p>
    <w:p w14:paraId="627D9C4D" w14:textId="77777777" w:rsidR="00D85FDE" w:rsidRPr="00472DB8" w:rsidRDefault="00D85FDE" w:rsidP="00E75380">
      <w:pPr>
        <w:pStyle w:val="ParaNum"/>
        <w:widowControl/>
        <w:numPr>
          <w:ilvl w:val="0"/>
          <w:numId w:val="0"/>
        </w:numPr>
        <w:spacing w:after="0"/>
        <w:ind w:left="720"/>
        <w:jc w:val="left"/>
        <w:rPr>
          <w:rFonts w:ascii="Times" w:hAnsi="Times" w:cs="Times"/>
          <w:szCs w:val="22"/>
        </w:rPr>
      </w:pPr>
    </w:p>
    <w:p w14:paraId="132EFB80" w14:textId="545D80C4" w:rsidR="00476049" w:rsidRPr="00472DB8" w:rsidRDefault="00C55B69" w:rsidP="00E75380">
      <w:pPr>
        <w:pStyle w:val="ParaNum"/>
        <w:widowControl/>
        <w:numPr>
          <w:ilvl w:val="0"/>
          <w:numId w:val="16"/>
        </w:numPr>
        <w:spacing w:after="0"/>
        <w:ind w:left="0"/>
        <w:jc w:val="left"/>
        <w:rPr>
          <w:rFonts w:ascii="Times" w:hAnsi="Times" w:cs="Times"/>
        </w:rPr>
      </w:pPr>
      <w:r w:rsidRPr="00472DB8">
        <w:rPr>
          <w:rFonts w:ascii="Times" w:hAnsi="Times" w:cs="Times"/>
        </w:rPr>
        <w:t>Finally, LTCI</w:t>
      </w:r>
      <w:r w:rsidR="00386CD9" w:rsidRPr="00472DB8">
        <w:rPr>
          <w:rFonts w:ascii="Times" w:hAnsi="Times" w:cs="Times"/>
        </w:rPr>
        <w:t xml:space="preserve"> argues the </w:t>
      </w:r>
      <w:r w:rsidRPr="00472DB8">
        <w:rPr>
          <w:rFonts w:ascii="Times" w:hAnsi="Times" w:cs="Times"/>
        </w:rPr>
        <w:t xml:space="preserve">Commission’s decision </w:t>
      </w:r>
      <w:r w:rsidR="001076D5" w:rsidRPr="00472DB8">
        <w:rPr>
          <w:rFonts w:ascii="Times" w:hAnsi="Times" w:cs="Times"/>
        </w:rPr>
        <w:t xml:space="preserve">violates the Equal Protection </w:t>
      </w:r>
      <w:r w:rsidR="00B25418" w:rsidRPr="00472DB8">
        <w:rPr>
          <w:rFonts w:ascii="Times" w:hAnsi="Times" w:cs="Times"/>
        </w:rPr>
        <w:t>component</w:t>
      </w:r>
      <w:r w:rsidR="001076D5" w:rsidRPr="00472DB8">
        <w:rPr>
          <w:rFonts w:ascii="Times" w:hAnsi="Times" w:cs="Times"/>
        </w:rPr>
        <w:t xml:space="preserve"> </w:t>
      </w:r>
      <w:r w:rsidR="00AC1950" w:rsidRPr="00472DB8">
        <w:rPr>
          <w:rStyle w:val="searchterm"/>
          <w:rFonts w:ascii="Times" w:hAnsi="Times" w:cs="Times"/>
        </w:rPr>
        <w:t>of the</w:t>
      </w:r>
      <w:r w:rsidR="00B25418" w:rsidRPr="00472DB8">
        <w:rPr>
          <w:rStyle w:val="searchterm"/>
          <w:rFonts w:ascii="Times" w:hAnsi="Times" w:cs="Times"/>
        </w:rPr>
        <w:t xml:space="preserve"> Fifth Amendment to the</w:t>
      </w:r>
      <w:r w:rsidR="00AC1950" w:rsidRPr="00472DB8">
        <w:rPr>
          <w:rStyle w:val="searchterm"/>
          <w:rFonts w:ascii="Times" w:hAnsi="Times" w:cs="Times"/>
        </w:rPr>
        <w:t xml:space="preserve"> </w:t>
      </w:r>
      <w:r w:rsidR="00AC1950" w:rsidRPr="00472DB8">
        <w:rPr>
          <w:rFonts w:ascii="Times" w:hAnsi="Times" w:cs="Times"/>
        </w:rPr>
        <w:t xml:space="preserve">United States Constitution </w:t>
      </w:r>
      <w:r w:rsidR="001076D5" w:rsidRPr="00472DB8">
        <w:rPr>
          <w:rFonts w:ascii="Times" w:hAnsi="Times" w:cs="Times"/>
        </w:rPr>
        <w:t>because the failure to allow a</w:t>
      </w:r>
      <w:r w:rsidR="00024CDB" w:rsidRPr="00472DB8">
        <w:rPr>
          <w:rFonts w:ascii="Times" w:hAnsi="Times" w:cs="Times"/>
        </w:rPr>
        <w:t>n</w:t>
      </w:r>
      <w:r w:rsidR="001076D5" w:rsidRPr="00472DB8">
        <w:rPr>
          <w:rFonts w:ascii="Times" w:hAnsi="Times" w:cs="Times"/>
        </w:rPr>
        <w:t xml:space="preserve"> LP10 or LP50 </w:t>
      </w:r>
      <w:r w:rsidR="00F07E8C" w:rsidRPr="00472DB8">
        <w:rPr>
          <w:rFonts w:ascii="Times" w:hAnsi="Times" w:cs="Times"/>
        </w:rPr>
        <w:t xml:space="preserve">class of </w:t>
      </w:r>
      <w:r w:rsidR="001076D5" w:rsidRPr="00472DB8">
        <w:rPr>
          <w:rFonts w:ascii="Times" w:hAnsi="Times" w:cs="Times"/>
        </w:rPr>
        <w:t>service disproportionally impacts racial and ethnic minorities.</w:t>
      </w:r>
      <w:r w:rsidR="00100169" w:rsidRPr="00472DB8">
        <w:rPr>
          <w:rStyle w:val="FootnoteReference"/>
          <w:rFonts w:ascii="Times" w:hAnsi="Times" w:cs="Times"/>
        </w:rPr>
        <w:footnoteReference w:id="167"/>
      </w:r>
      <w:r w:rsidR="00AC1950" w:rsidRPr="00472DB8">
        <w:rPr>
          <w:rFonts w:ascii="Times" w:hAnsi="Times" w:cs="Times"/>
        </w:rPr>
        <w:t xml:space="preserve"> </w:t>
      </w:r>
      <w:r w:rsidR="00B9654A" w:rsidRPr="00472DB8">
        <w:rPr>
          <w:rFonts w:ascii="Times" w:hAnsi="Times" w:cs="Times"/>
        </w:rPr>
        <w:t xml:space="preserve"> </w:t>
      </w:r>
      <w:r w:rsidR="00024CDB" w:rsidRPr="00472DB8">
        <w:rPr>
          <w:rFonts w:ascii="Times" w:hAnsi="Times" w:cs="Times"/>
        </w:rPr>
        <w:t>LTCI</w:t>
      </w:r>
      <w:r w:rsidR="00B25418" w:rsidRPr="00472DB8">
        <w:rPr>
          <w:rFonts w:ascii="Times" w:hAnsi="Times" w:cs="Times"/>
        </w:rPr>
        <w:t>’s</w:t>
      </w:r>
      <w:r w:rsidR="003D1E84" w:rsidRPr="00472DB8">
        <w:rPr>
          <w:rFonts w:ascii="Times" w:hAnsi="Times" w:cs="Times"/>
        </w:rPr>
        <w:t xml:space="preserve"> general</w:t>
      </w:r>
      <w:r w:rsidR="00BE6BB8" w:rsidRPr="00472DB8">
        <w:rPr>
          <w:rFonts w:ascii="Times" w:hAnsi="Times" w:cs="Times"/>
        </w:rPr>
        <w:t>, unsupported</w:t>
      </w:r>
      <w:r w:rsidR="003D1E84" w:rsidRPr="00472DB8">
        <w:rPr>
          <w:rFonts w:ascii="Times" w:hAnsi="Times" w:cs="Times"/>
        </w:rPr>
        <w:t xml:space="preserve"> allegations</w:t>
      </w:r>
      <w:r w:rsidR="00B25418" w:rsidRPr="00472DB8">
        <w:rPr>
          <w:rFonts w:ascii="Times" w:hAnsi="Times" w:cs="Times"/>
        </w:rPr>
        <w:t xml:space="preserve"> are not sufficient to establish an</w:t>
      </w:r>
      <w:r w:rsidR="00BA371C" w:rsidRPr="00472DB8">
        <w:rPr>
          <w:rFonts w:ascii="Times" w:hAnsi="Times" w:cs="Times"/>
        </w:rPr>
        <w:t xml:space="preserve"> equal protection </w:t>
      </w:r>
      <w:r w:rsidR="00B25418" w:rsidRPr="00472DB8">
        <w:rPr>
          <w:rFonts w:ascii="Times" w:hAnsi="Times" w:cs="Times"/>
        </w:rPr>
        <w:t>violation</w:t>
      </w:r>
      <w:r w:rsidR="00BA371C" w:rsidRPr="00472DB8">
        <w:rPr>
          <w:rFonts w:ascii="Times" w:hAnsi="Times" w:cs="Times"/>
        </w:rPr>
        <w:t>.</w:t>
      </w:r>
      <w:bookmarkStart w:id="9" w:name="_ftnref"/>
      <w:r w:rsidR="00115B39" w:rsidRPr="00472DB8">
        <w:rPr>
          <w:rStyle w:val="FootnoteReference"/>
          <w:rFonts w:ascii="Times" w:hAnsi="Times" w:cs="Times"/>
        </w:rPr>
        <w:footnoteReference w:id="168"/>
      </w:r>
      <w:bookmarkStart w:id="10" w:name="_ftn1"/>
      <w:bookmarkStart w:id="11" w:name="_ftn2"/>
      <w:bookmarkEnd w:id="9"/>
      <w:bookmarkEnd w:id="10"/>
      <w:bookmarkEnd w:id="11"/>
      <w:r w:rsidR="00AC1950" w:rsidRPr="00472DB8">
        <w:rPr>
          <w:rFonts w:ascii="Times" w:hAnsi="Times" w:cs="Times"/>
        </w:rPr>
        <w:t xml:space="preserve">  </w:t>
      </w:r>
    </w:p>
    <w:p w14:paraId="0C731C85" w14:textId="77777777" w:rsidR="00476049" w:rsidRPr="00472DB8" w:rsidRDefault="00476049" w:rsidP="00E75380">
      <w:pPr>
        <w:pStyle w:val="ListParagraph"/>
        <w:jc w:val="left"/>
        <w:rPr>
          <w:rFonts w:ascii="Times" w:hAnsi="Times" w:cs="Times"/>
        </w:rPr>
      </w:pPr>
    </w:p>
    <w:p w14:paraId="3719C494" w14:textId="2221B0F4" w:rsidR="00476049" w:rsidRPr="00472DB8" w:rsidRDefault="00D41FFE" w:rsidP="00E75380">
      <w:pPr>
        <w:pStyle w:val="ParaNum"/>
        <w:widowControl/>
        <w:numPr>
          <w:ilvl w:val="0"/>
          <w:numId w:val="16"/>
        </w:numPr>
        <w:spacing w:after="0"/>
        <w:ind w:left="0"/>
        <w:jc w:val="left"/>
        <w:rPr>
          <w:rFonts w:ascii="Times" w:hAnsi="Times" w:cs="Times"/>
        </w:rPr>
      </w:pPr>
      <w:r w:rsidRPr="00472DB8">
        <w:rPr>
          <w:rFonts w:ascii="Times" w:hAnsi="Times" w:cs="Times"/>
        </w:rPr>
        <w:t>We also note</w:t>
      </w:r>
      <w:r w:rsidR="00476049" w:rsidRPr="00472DB8">
        <w:rPr>
          <w:rFonts w:ascii="Times" w:hAnsi="Times" w:cs="Times"/>
        </w:rPr>
        <w:t xml:space="preserve"> </w:t>
      </w:r>
      <w:r w:rsidR="00D50D2A" w:rsidRPr="00472DB8">
        <w:rPr>
          <w:rFonts w:ascii="Times" w:hAnsi="Times" w:cs="Times"/>
        </w:rPr>
        <w:t>the LPFM service grew out of the Commission’s commitment to promote diversity</w:t>
      </w:r>
      <w:r w:rsidRPr="00472DB8">
        <w:rPr>
          <w:rFonts w:ascii="Times" w:hAnsi="Times" w:cs="Times"/>
        </w:rPr>
        <w:t xml:space="preserve"> on the radio airwaves</w:t>
      </w:r>
      <w:r w:rsidR="00D50D2A" w:rsidRPr="00472DB8">
        <w:rPr>
          <w:rFonts w:ascii="Times" w:hAnsi="Times" w:cs="Times"/>
        </w:rPr>
        <w:t>.  The Commission stated its “goal in creating a new LPFM service [was] to create a class of radio stations designed to serve very localized communities or underrepresented groups within communities.”</w:t>
      </w:r>
      <w:r w:rsidR="00D50D2A" w:rsidRPr="00472DB8">
        <w:rPr>
          <w:rStyle w:val="FootnoteReference"/>
          <w:rFonts w:ascii="Times" w:hAnsi="Times" w:cs="Times"/>
        </w:rPr>
        <w:footnoteReference w:id="169"/>
      </w:r>
      <w:r w:rsidR="00D50D2A" w:rsidRPr="00472DB8">
        <w:rPr>
          <w:rFonts w:ascii="Times" w:hAnsi="Times" w:cs="Times"/>
        </w:rPr>
        <w:t xml:space="preserve">  </w:t>
      </w:r>
      <w:r w:rsidR="00DE4C8B" w:rsidRPr="00472DB8">
        <w:rPr>
          <w:rFonts w:ascii="Times" w:hAnsi="Times" w:cs="Times"/>
        </w:rPr>
        <w:t>The Commission also “made clear that we will not compromise the integrity of the FM spectrum.”</w:t>
      </w:r>
      <w:r w:rsidR="00DE4C8B" w:rsidRPr="00472DB8">
        <w:rPr>
          <w:rStyle w:val="FootnoteReference"/>
          <w:rFonts w:ascii="Times" w:hAnsi="Times" w:cs="Times"/>
        </w:rPr>
        <w:footnoteReference w:id="170"/>
      </w:r>
      <w:r w:rsidR="00DE4C8B" w:rsidRPr="00472DB8">
        <w:rPr>
          <w:rFonts w:ascii="Times" w:hAnsi="Times" w:cs="Times"/>
        </w:rPr>
        <w:t xml:space="preserve">  </w:t>
      </w:r>
      <w:r w:rsidR="00954295" w:rsidRPr="00472DB8">
        <w:rPr>
          <w:rFonts w:ascii="Times" w:hAnsi="Times" w:cs="Times"/>
        </w:rPr>
        <w:t xml:space="preserve">As discussed above, we believe an LP10 service would </w:t>
      </w:r>
      <w:r w:rsidR="00D10F9F" w:rsidRPr="00472DB8">
        <w:rPr>
          <w:rFonts w:ascii="Times" w:hAnsi="Times" w:cs="Times"/>
        </w:rPr>
        <w:t xml:space="preserve">not only </w:t>
      </w:r>
      <w:r w:rsidR="00954295" w:rsidRPr="00472DB8">
        <w:rPr>
          <w:rFonts w:ascii="Times" w:hAnsi="Times" w:cs="Times"/>
        </w:rPr>
        <w:t xml:space="preserve">be an inefficient use of the spectrum, but would </w:t>
      </w:r>
      <w:r w:rsidR="00573F97" w:rsidRPr="00472DB8">
        <w:rPr>
          <w:rFonts w:ascii="Times" w:hAnsi="Times" w:cs="Times"/>
        </w:rPr>
        <w:t xml:space="preserve">also </w:t>
      </w:r>
      <w:r w:rsidR="00954295" w:rsidRPr="00472DB8">
        <w:rPr>
          <w:rFonts w:ascii="Times" w:hAnsi="Times" w:cs="Times"/>
        </w:rPr>
        <w:t>not be financially viable.  We do not believe that such a precarious class of radio service would fulfill our commitment to add diversity to the airwaves.</w:t>
      </w:r>
    </w:p>
    <w:p w14:paraId="72972652" w14:textId="77777777" w:rsidR="00476049" w:rsidRPr="00472DB8" w:rsidRDefault="00476049" w:rsidP="00E75380">
      <w:pPr>
        <w:pStyle w:val="ListParagraph"/>
        <w:jc w:val="left"/>
        <w:rPr>
          <w:rFonts w:ascii="Times" w:hAnsi="Times" w:cs="Times"/>
        </w:rPr>
      </w:pPr>
    </w:p>
    <w:p w14:paraId="2BA61FB6" w14:textId="2FAC2BEE" w:rsidR="002C55B1" w:rsidRPr="00472DB8" w:rsidRDefault="00AC1950" w:rsidP="00E75380">
      <w:pPr>
        <w:pStyle w:val="ParaNum"/>
        <w:widowControl/>
        <w:numPr>
          <w:ilvl w:val="0"/>
          <w:numId w:val="16"/>
        </w:numPr>
        <w:spacing w:after="0"/>
        <w:ind w:left="0"/>
        <w:jc w:val="left"/>
        <w:rPr>
          <w:rFonts w:ascii="Times" w:hAnsi="Times" w:cs="Times"/>
        </w:rPr>
      </w:pPr>
      <w:r w:rsidRPr="00472DB8">
        <w:rPr>
          <w:rFonts w:ascii="Times" w:hAnsi="Times" w:cs="Times"/>
        </w:rPr>
        <w:t>For the reasons discussed above, we deny LTCI’s Petition to implement a class of service</w:t>
      </w:r>
      <w:r w:rsidR="00001D80" w:rsidRPr="00472DB8">
        <w:rPr>
          <w:rFonts w:ascii="Times" w:hAnsi="Times" w:cs="Times"/>
        </w:rPr>
        <w:t xml:space="preserve"> for LPFM facilities </w:t>
      </w:r>
      <w:r w:rsidR="007C366A" w:rsidRPr="00472DB8">
        <w:rPr>
          <w:rFonts w:ascii="Times" w:hAnsi="Times" w:cs="Times"/>
        </w:rPr>
        <w:t xml:space="preserve">operating at </w:t>
      </w:r>
      <w:r w:rsidR="00001D80" w:rsidRPr="00472DB8">
        <w:rPr>
          <w:rFonts w:ascii="Times" w:hAnsi="Times" w:cs="Times"/>
        </w:rPr>
        <w:t>less than 50 Watts in “urban core” markets</w:t>
      </w:r>
      <w:r w:rsidRPr="00472DB8">
        <w:rPr>
          <w:rFonts w:ascii="Times" w:hAnsi="Times" w:cs="Times"/>
        </w:rPr>
        <w:t>.</w:t>
      </w:r>
    </w:p>
    <w:p w14:paraId="1F1B4FC7" w14:textId="77777777" w:rsidR="007B4027" w:rsidRPr="00472DB8" w:rsidRDefault="007B4027" w:rsidP="00E75380">
      <w:pPr>
        <w:pStyle w:val="ParaNum"/>
        <w:widowControl/>
        <w:numPr>
          <w:ilvl w:val="0"/>
          <w:numId w:val="0"/>
        </w:numPr>
        <w:spacing w:after="0"/>
        <w:jc w:val="left"/>
        <w:rPr>
          <w:rFonts w:ascii="Times" w:hAnsi="Times" w:cs="Times"/>
          <w:szCs w:val="22"/>
        </w:rPr>
      </w:pPr>
    </w:p>
    <w:p w14:paraId="75D043C8" w14:textId="77777777" w:rsidR="007626E1" w:rsidRPr="00472DB8" w:rsidRDefault="007626E1" w:rsidP="00E75380">
      <w:pPr>
        <w:pStyle w:val="ListParagraph"/>
        <w:keepNext/>
        <w:keepLines/>
        <w:numPr>
          <w:ilvl w:val="0"/>
          <w:numId w:val="1"/>
        </w:numPr>
        <w:ind w:left="720"/>
        <w:jc w:val="left"/>
        <w:rPr>
          <w:rFonts w:ascii="Times" w:hAnsi="Times" w:cs="Times"/>
          <w:kern w:val="28"/>
        </w:rPr>
      </w:pPr>
      <w:r w:rsidRPr="00472DB8">
        <w:rPr>
          <w:rFonts w:ascii="Times" w:hAnsi="Times" w:cs="Times"/>
          <w:b/>
          <w:kern w:val="28"/>
        </w:rPr>
        <w:t>PROCEDURAL MATTERS</w:t>
      </w:r>
    </w:p>
    <w:p w14:paraId="51C53C3A" w14:textId="77777777" w:rsidR="007626E1" w:rsidRPr="00472DB8" w:rsidRDefault="007626E1" w:rsidP="00E75380">
      <w:pPr>
        <w:pStyle w:val="ListParagraph"/>
        <w:keepNext/>
        <w:keepLines/>
        <w:ind w:left="0" w:firstLine="0"/>
        <w:jc w:val="left"/>
        <w:rPr>
          <w:rFonts w:ascii="Times" w:hAnsi="Times" w:cs="Times"/>
          <w:kern w:val="28"/>
        </w:rPr>
      </w:pPr>
    </w:p>
    <w:p w14:paraId="16A45E8E" w14:textId="77777777" w:rsidR="007626E1" w:rsidRPr="00472DB8" w:rsidRDefault="007626E1" w:rsidP="00E75380">
      <w:pPr>
        <w:pStyle w:val="Heading2"/>
        <w:widowControl/>
        <w:tabs>
          <w:tab w:val="clear" w:pos="1440"/>
          <w:tab w:val="num" w:pos="0"/>
        </w:tabs>
        <w:spacing w:after="240"/>
        <w:ind w:left="720" w:firstLine="0"/>
        <w:rPr>
          <w:rFonts w:ascii="Times" w:hAnsi="Times" w:cs="Times"/>
        </w:rPr>
      </w:pPr>
      <w:bookmarkStart w:id="12" w:name="_Toc348362583"/>
      <w:bookmarkStart w:id="13" w:name="_Toc315861130"/>
      <w:bookmarkStart w:id="14" w:name="_Toc316045406"/>
      <w:bookmarkStart w:id="15" w:name="_Toc316200652"/>
      <w:bookmarkStart w:id="16" w:name="_Toc316453344"/>
      <w:bookmarkStart w:id="17" w:name="_Toc316536210"/>
      <w:bookmarkStart w:id="18" w:name="_Toc316557129"/>
      <w:bookmarkStart w:id="19" w:name="_Toc316557995"/>
      <w:bookmarkStart w:id="20" w:name="_Toc316623522"/>
      <w:bookmarkStart w:id="21" w:name="_Toc316625169"/>
      <w:bookmarkStart w:id="22" w:name="_Toc316625315"/>
      <w:bookmarkStart w:id="23" w:name="_Toc316625950"/>
      <w:bookmarkStart w:id="24" w:name="_Toc316626107"/>
      <w:bookmarkStart w:id="25" w:name="_Toc316626508"/>
      <w:bookmarkStart w:id="26" w:name="_Toc316639997"/>
      <w:bookmarkStart w:id="27" w:name="_Toc323115521"/>
      <w:bookmarkStart w:id="28" w:name="_Toc323287722"/>
      <w:bookmarkStart w:id="29" w:name="_Toc323288402"/>
      <w:bookmarkStart w:id="30" w:name="_Toc323288921"/>
      <w:bookmarkStart w:id="31" w:name="_Toc323291360"/>
      <w:bookmarkStart w:id="32" w:name="_Toc323537687"/>
      <w:bookmarkStart w:id="33" w:name="_Toc323537948"/>
      <w:bookmarkStart w:id="34" w:name="_Toc323538385"/>
      <w:bookmarkStart w:id="35" w:name="_Toc323720216"/>
      <w:bookmarkStart w:id="36" w:name="_Toc323720487"/>
      <w:bookmarkStart w:id="37" w:name="_Toc323720722"/>
      <w:bookmarkStart w:id="38" w:name="_Toc323720829"/>
      <w:bookmarkStart w:id="39" w:name="_Toc323721432"/>
      <w:bookmarkStart w:id="40" w:name="_Toc323721531"/>
      <w:bookmarkStart w:id="41" w:name="_Toc323722177"/>
      <w:bookmarkStart w:id="42" w:name="_Toc323722720"/>
      <w:bookmarkStart w:id="43" w:name="_Toc323722788"/>
      <w:bookmarkStart w:id="44" w:name="_Toc323730860"/>
      <w:bookmarkStart w:id="45" w:name="_Toc323733022"/>
      <w:bookmarkStart w:id="46" w:name="_Toc323890851"/>
      <w:bookmarkStart w:id="47" w:name="_Toc323901202"/>
      <w:bookmarkStart w:id="48" w:name="_Toc324142847"/>
      <w:bookmarkStart w:id="49" w:name="_Toc324239244"/>
      <w:bookmarkStart w:id="50" w:name="_Toc324763324"/>
      <w:bookmarkStart w:id="51" w:name="_Toc324770394"/>
      <w:bookmarkStart w:id="52" w:name="_Toc325028865"/>
      <w:bookmarkStart w:id="53" w:name="_Toc325529410"/>
      <w:bookmarkStart w:id="54" w:name="_Toc325532282"/>
      <w:bookmarkStart w:id="55" w:name="_Toc325629000"/>
      <w:bookmarkStart w:id="56" w:name="_Toc328997834"/>
      <w:bookmarkStart w:id="57" w:name="_Toc329682053"/>
      <w:bookmarkStart w:id="58" w:name="_Toc329687368"/>
      <w:bookmarkStart w:id="59" w:name="_Toc329689559"/>
      <w:bookmarkStart w:id="60" w:name="_Toc329941308"/>
      <w:bookmarkStart w:id="61" w:name="_Toc331578113"/>
      <w:bookmarkStart w:id="62" w:name="_Toc331597918"/>
      <w:bookmarkStart w:id="63" w:name="_Toc331669247"/>
      <w:bookmarkStart w:id="64" w:name="_Toc331747739"/>
      <w:bookmarkStart w:id="65" w:name="_Toc331753765"/>
      <w:bookmarkStart w:id="66" w:name="_Toc331767260"/>
      <w:bookmarkStart w:id="67" w:name="_Toc331772887"/>
      <w:bookmarkStart w:id="68" w:name="_Toc332004125"/>
      <w:bookmarkStart w:id="69" w:name="_Toc332013041"/>
      <w:bookmarkStart w:id="70" w:name="_Toc332015400"/>
      <w:bookmarkStart w:id="71" w:name="_Toc332021622"/>
      <w:bookmarkStart w:id="72" w:name="_Toc332021835"/>
      <w:bookmarkStart w:id="73" w:name="_Toc332022070"/>
      <w:bookmarkStart w:id="74" w:name="_Toc332029327"/>
      <w:bookmarkStart w:id="75" w:name="_Toc332117531"/>
      <w:bookmarkStart w:id="76" w:name="_Toc332117686"/>
      <w:bookmarkStart w:id="77" w:name="_Toc332118382"/>
      <w:bookmarkStart w:id="78" w:name="_Toc332118593"/>
      <w:bookmarkStart w:id="79" w:name="_Toc332122419"/>
      <w:bookmarkStart w:id="80" w:name="_Toc332133418"/>
      <w:bookmarkStart w:id="81" w:name="_Toc332133563"/>
      <w:bookmarkStart w:id="82" w:name="_Toc332133675"/>
      <w:bookmarkStart w:id="83" w:name="_Toc332133957"/>
      <w:bookmarkStart w:id="84" w:name="_Toc332134127"/>
      <w:bookmarkStart w:id="85" w:name="_Toc332134905"/>
      <w:bookmarkStart w:id="86" w:name="_Toc332135574"/>
      <w:bookmarkStart w:id="87" w:name="_Toc332136478"/>
      <w:bookmarkStart w:id="88" w:name="_Toc332136584"/>
      <w:bookmarkStart w:id="89" w:name="_Toc332137892"/>
      <w:bookmarkStart w:id="90" w:name="_Toc332139518"/>
      <w:bookmarkStart w:id="91" w:name="_Toc332141269"/>
      <w:bookmarkStart w:id="92" w:name="_Toc332141689"/>
      <w:bookmarkStart w:id="93" w:name="_Toc332189737"/>
      <w:bookmarkStart w:id="94" w:name="_Toc332190807"/>
      <w:bookmarkStart w:id="95" w:name="_Toc332192279"/>
      <w:bookmarkStart w:id="96" w:name="_Toc332195366"/>
      <w:bookmarkStart w:id="97" w:name="_Toc332266631"/>
      <w:bookmarkStart w:id="98" w:name="_Toc332267657"/>
      <w:bookmarkStart w:id="99" w:name="_Toc332267817"/>
      <w:bookmarkStart w:id="100" w:name="_Toc332269027"/>
      <w:bookmarkStart w:id="101" w:name="_Toc332270986"/>
      <w:bookmarkStart w:id="102" w:name="_Toc332273318"/>
      <w:bookmarkStart w:id="103" w:name="_Toc332281059"/>
      <w:bookmarkStart w:id="104" w:name="_Toc332281104"/>
      <w:bookmarkStart w:id="105" w:name="_Toc332286232"/>
      <w:bookmarkStart w:id="106" w:name="_Toc332287252"/>
      <w:bookmarkStart w:id="107" w:name="_Toc332370316"/>
      <w:bookmarkStart w:id="108" w:name="_Toc332376076"/>
      <w:bookmarkStart w:id="109" w:name="_Toc332789461"/>
      <w:bookmarkStart w:id="110" w:name="_Toc332797159"/>
      <w:bookmarkStart w:id="111" w:name="_Toc332805634"/>
      <w:bookmarkStart w:id="112" w:name="_Toc332806832"/>
      <w:bookmarkStart w:id="113" w:name="_Toc332879693"/>
      <w:bookmarkStart w:id="114" w:name="_Toc332884982"/>
      <w:bookmarkStart w:id="115" w:name="_Toc332892297"/>
      <w:bookmarkStart w:id="116" w:name="_Toc332898826"/>
      <w:bookmarkStart w:id="117" w:name="_Toc332952305"/>
      <w:bookmarkStart w:id="118" w:name="_Toc332957582"/>
      <w:bookmarkStart w:id="119" w:name="_Toc332962633"/>
      <w:bookmarkStart w:id="120" w:name="_Toc332967620"/>
      <w:bookmarkStart w:id="121" w:name="_Toc332968003"/>
      <w:bookmarkStart w:id="122" w:name="_Toc332969112"/>
      <w:bookmarkStart w:id="123" w:name="_Toc332976051"/>
      <w:bookmarkStart w:id="124" w:name="_Toc332976416"/>
      <w:bookmarkStart w:id="125" w:name="_Toc332977563"/>
      <w:bookmarkStart w:id="126" w:name="_Toc332979070"/>
      <w:bookmarkStart w:id="127" w:name="_Toc333320464"/>
      <w:bookmarkStart w:id="128" w:name="_Toc333321603"/>
      <w:bookmarkStart w:id="129" w:name="_Toc333393455"/>
      <w:bookmarkStart w:id="130" w:name="_Toc333565911"/>
      <w:bookmarkStart w:id="131" w:name="_Toc333569487"/>
      <w:bookmarkStart w:id="132" w:name="_Toc333573015"/>
      <w:bookmarkStart w:id="133" w:name="_Toc333824089"/>
      <w:bookmarkStart w:id="134" w:name="_Toc333830800"/>
      <w:bookmarkStart w:id="135" w:name="_Toc333830984"/>
      <w:bookmarkStart w:id="136" w:name="_Toc333831146"/>
      <w:bookmarkStart w:id="137" w:name="_Toc333832685"/>
      <w:bookmarkStart w:id="138" w:name="_Toc333832987"/>
      <w:bookmarkStart w:id="139" w:name="_Toc333920068"/>
      <w:bookmarkStart w:id="140" w:name="_Toc333926394"/>
      <w:bookmarkStart w:id="141" w:name="_Toc333998128"/>
      <w:bookmarkStart w:id="142" w:name="_Toc334001682"/>
      <w:bookmarkStart w:id="143" w:name="_Toc334008410"/>
      <w:bookmarkStart w:id="144" w:name="_Toc334092013"/>
      <w:bookmarkStart w:id="145" w:name="_Toc334093899"/>
      <w:bookmarkStart w:id="146" w:name="_Toc334097187"/>
      <w:bookmarkStart w:id="147" w:name="_Toc334100428"/>
      <w:bookmarkStart w:id="148" w:name="_Toc334103170"/>
      <w:bookmarkStart w:id="149" w:name="_Toc334103746"/>
      <w:bookmarkStart w:id="150" w:name="_Toc334159878"/>
      <w:bookmarkStart w:id="151" w:name="_Toc334176264"/>
      <w:bookmarkStart w:id="152" w:name="_Toc334182159"/>
      <w:bookmarkStart w:id="153" w:name="_Toc334184089"/>
      <w:bookmarkStart w:id="154" w:name="_Toc334184382"/>
      <w:bookmarkStart w:id="155" w:name="_Toc334603328"/>
      <w:bookmarkStart w:id="156" w:name="_Toc334613225"/>
      <w:bookmarkStart w:id="157" w:name="_Toc334615241"/>
      <w:bookmarkStart w:id="158" w:name="_Toc334615424"/>
      <w:bookmarkStart w:id="159" w:name="_Toc334615764"/>
      <w:bookmarkStart w:id="160" w:name="_Toc334615852"/>
      <w:bookmarkStart w:id="161" w:name="_Toc334617443"/>
      <w:bookmarkStart w:id="162" w:name="_Toc334618598"/>
      <w:bookmarkStart w:id="163" w:name="_Toc334701751"/>
      <w:bookmarkStart w:id="164" w:name="_Toc335501165"/>
      <w:bookmarkStart w:id="165" w:name="_Toc335502388"/>
      <w:bookmarkStart w:id="166" w:name="_Toc335636365"/>
      <w:bookmarkStart w:id="167" w:name="_Toc335657965"/>
      <w:bookmarkStart w:id="168" w:name="_Toc335745546"/>
      <w:bookmarkStart w:id="169" w:name="_Toc335808798"/>
      <w:bookmarkStart w:id="170" w:name="_Toc335826628"/>
      <w:bookmarkStart w:id="171" w:name="_Toc335828247"/>
      <w:bookmarkStart w:id="172" w:name="_Toc335855440"/>
      <w:bookmarkStart w:id="173" w:name="_Toc335899171"/>
      <w:bookmarkStart w:id="174" w:name="_Toc335915648"/>
      <w:bookmarkStart w:id="175" w:name="_Toc335916983"/>
      <w:bookmarkStart w:id="176" w:name="_Toc336331387"/>
      <w:bookmarkStart w:id="177" w:name="_Toc336331499"/>
      <w:bookmarkStart w:id="178" w:name="_Toc336342814"/>
      <w:bookmarkStart w:id="179" w:name="_Toc336410304"/>
      <w:bookmarkStart w:id="180" w:name="_Toc336412781"/>
      <w:bookmarkStart w:id="181" w:name="_Toc336412927"/>
      <w:bookmarkStart w:id="182" w:name="_Toc336429025"/>
      <w:bookmarkStart w:id="183" w:name="_Toc337809248"/>
      <w:bookmarkStart w:id="184" w:name="_Toc338053353"/>
      <w:r w:rsidRPr="00472DB8">
        <w:rPr>
          <w:rFonts w:ascii="Times" w:hAnsi="Times" w:cs="Times"/>
        </w:rPr>
        <w:t>Regulatory Flexibility Act</w:t>
      </w:r>
      <w:bookmarkEnd w:id="12"/>
    </w:p>
    <w:p w14:paraId="3ACC2D20" w14:textId="77777777" w:rsidR="007626E1" w:rsidRPr="00472DB8" w:rsidRDefault="007626E1" w:rsidP="00E75380">
      <w:pPr>
        <w:pStyle w:val="ParaNum"/>
        <w:widowControl/>
        <w:numPr>
          <w:ilvl w:val="0"/>
          <w:numId w:val="16"/>
        </w:numPr>
        <w:spacing w:after="240"/>
        <w:ind w:left="0"/>
        <w:jc w:val="left"/>
        <w:rPr>
          <w:rFonts w:ascii="Times" w:hAnsi="Times" w:cs="Times"/>
        </w:rPr>
      </w:pPr>
      <w:bookmarkStart w:id="185" w:name="_Toc315861131"/>
      <w:bookmarkStart w:id="186" w:name="_Toc316045407"/>
      <w:bookmarkStart w:id="187" w:name="_Toc316200653"/>
      <w:bookmarkStart w:id="188" w:name="_Toc316453345"/>
      <w:bookmarkStart w:id="189" w:name="_Toc316536211"/>
      <w:bookmarkStart w:id="190" w:name="_Toc316557130"/>
      <w:bookmarkStart w:id="191" w:name="_Toc316557996"/>
      <w:bookmarkStart w:id="192" w:name="_Toc316623523"/>
      <w:bookmarkStart w:id="193" w:name="_Toc316625170"/>
      <w:bookmarkStart w:id="194" w:name="_Toc316625316"/>
      <w:bookmarkStart w:id="195" w:name="_Toc316625951"/>
      <w:bookmarkStart w:id="196" w:name="_Toc316626108"/>
      <w:bookmarkStart w:id="197" w:name="_Toc316626509"/>
      <w:bookmarkStart w:id="198" w:name="_Toc316639998"/>
      <w:bookmarkStart w:id="199" w:name="_Toc323115522"/>
      <w:bookmarkStart w:id="200" w:name="_Toc323287723"/>
      <w:bookmarkStart w:id="201" w:name="_Toc323288403"/>
      <w:bookmarkStart w:id="202" w:name="_Toc323288922"/>
      <w:bookmarkStart w:id="203" w:name="_Toc323291361"/>
      <w:bookmarkStart w:id="204" w:name="_Toc323537688"/>
      <w:bookmarkStart w:id="205" w:name="_Toc323537949"/>
      <w:bookmarkStart w:id="206" w:name="_Toc323538386"/>
      <w:bookmarkStart w:id="207" w:name="_Toc323720217"/>
      <w:bookmarkStart w:id="208" w:name="_Toc323720488"/>
      <w:bookmarkStart w:id="209" w:name="_Toc323720723"/>
      <w:bookmarkStart w:id="210" w:name="_Toc323720830"/>
      <w:bookmarkStart w:id="211" w:name="_Toc323721433"/>
      <w:bookmarkStart w:id="212" w:name="_Toc323721532"/>
      <w:bookmarkStart w:id="213" w:name="_Toc323722178"/>
      <w:bookmarkStart w:id="214" w:name="_Toc323722721"/>
      <w:bookmarkStart w:id="215" w:name="_Toc323722789"/>
      <w:bookmarkStart w:id="216" w:name="_Toc323730861"/>
      <w:bookmarkStart w:id="217" w:name="_Toc323733023"/>
      <w:bookmarkStart w:id="218" w:name="_Toc323890852"/>
      <w:bookmarkStart w:id="219" w:name="_Toc323901203"/>
      <w:bookmarkStart w:id="220" w:name="_Toc324142848"/>
      <w:bookmarkStart w:id="221" w:name="_Toc324239245"/>
      <w:bookmarkStart w:id="222" w:name="_Toc324763325"/>
      <w:bookmarkStart w:id="223" w:name="_Toc324770395"/>
      <w:bookmarkStart w:id="224" w:name="_Toc325028866"/>
      <w:bookmarkStart w:id="225" w:name="_Toc325529411"/>
      <w:bookmarkStart w:id="226" w:name="_Toc325532283"/>
      <w:bookmarkStart w:id="227" w:name="_Toc325629001"/>
      <w:bookmarkStart w:id="228" w:name="_Toc328997835"/>
      <w:bookmarkStart w:id="229" w:name="_Toc329682054"/>
      <w:bookmarkStart w:id="230" w:name="_Toc329687369"/>
      <w:bookmarkStart w:id="231" w:name="_Toc329689560"/>
      <w:bookmarkStart w:id="232" w:name="_Toc329941309"/>
      <w:bookmarkStart w:id="233" w:name="_Toc331578114"/>
      <w:bookmarkStart w:id="234" w:name="_Toc331597919"/>
      <w:bookmarkStart w:id="235" w:name="_Toc331669248"/>
      <w:bookmarkStart w:id="236" w:name="_Toc331747740"/>
      <w:bookmarkStart w:id="237" w:name="_Toc331753766"/>
      <w:bookmarkStart w:id="238" w:name="_Toc331767261"/>
      <w:bookmarkStart w:id="239" w:name="_Toc331772888"/>
      <w:bookmarkStart w:id="240" w:name="_Toc332004126"/>
      <w:bookmarkStart w:id="241" w:name="_Toc332013042"/>
      <w:bookmarkStart w:id="242" w:name="_Toc332015401"/>
      <w:bookmarkStart w:id="243" w:name="_Toc332021623"/>
      <w:bookmarkStart w:id="244" w:name="_Toc332021836"/>
      <w:bookmarkStart w:id="245" w:name="_Toc332022071"/>
      <w:bookmarkStart w:id="246" w:name="_Toc332029328"/>
      <w:bookmarkStart w:id="247" w:name="_Toc332117532"/>
      <w:bookmarkStart w:id="248" w:name="_Toc332117687"/>
      <w:bookmarkStart w:id="249" w:name="_Toc332118383"/>
      <w:bookmarkStart w:id="250" w:name="_Toc332118594"/>
      <w:bookmarkStart w:id="251" w:name="_Toc332122420"/>
      <w:bookmarkStart w:id="252" w:name="_Toc332133419"/>
      <w:bookmarkStart w:id="253" w:name="_Toc332133564"/>
      <w:bookmarkStart w:id="254" w:name="_Toc332133676"/>
      <w:bookmarkStart w:id="255" w:name="_Toc332133958"/>
      <w:bookmarkStart w:id="256" w:name="_Toc332134128"/>
      <w:bookmarkStart w:id="257" w:name="_Toc332134906"/>
      <w:bookmarkStart w:id="258" w:name="_Toc332135575"/>
      <w:bookmarkStart w:id="259" w:name="_Toc332136479"/>
      <w:bookmarkStart w:id="260" w:name="_Toc332136585"/>
      <w:bookmarkStart w:id="261" w:name="_Toc332137893"/>
      <w:bookmarkStart w:id="262" w:name="_Toc332139519"/>
      <w:bookmarkStart w:id="263" w:name="_Toc332141270"/>
      <w:bookmarkStart w:id="264" w:name="_Toc332141690"/>
      <w:bookmarkStart w:id="265" w:name="_Toc332189738"/>
      <w:bookmarkStart w:id="266" w:name="_Toc332190808"/>
      <w:bookmarkStart w:id="267" w:name="_Toc332192280"/>
      <w:bookmarkStart w:id="268" w:name="_Toc332195367"/>
      <w:bookmarkStart w:id="269" w:name="_Toc332266632"/>
      <w:bookmarkStart w:id="270" w:name="_Toc332267658"/>
      <w:bookmarkStart w:id="271" w:name="_Toc332267818"/>
      <w:bookmarkStart w:id="272" w:name="_Toc332269028"/>
      <w:bookmarkStart w:id="273" w:name="_Toc332270987"/>
      <w:bookmarkStart w:id="274" w:name="_Toc332273319"/>
      <w:bookmarkStart w:id="275" w:name="_Toc332281060"/>
      <w:bookmarkStart w:id="276" w:name="_Toc332281105"/>
      <w:bookmarkStart w:id="277" w:name="_Toc332286233"/>
      <w:bookmarkStart w:id="278" w:name="_Toc332287253"/>
      <w:bookmarkStart w:id="279" w:name="_Toc332370317"/>
      <w:bookmarkStart w:id="280" w:name="_Toc332376077"/>
      <w:bookmarkStart w:id="281" w:name="_Toc332789462"/>
      <w:bookmarkStart w:id="282" w:name="_Toc332797160"/>
      <w:bookmarkStart w:id="283" w:name="_Toc332805635"/>
      <w:bookmarkStart w:id="284" w:name="_Toc332806833"/>
      <w:bookmarkStart w:id="285" w:name="_Toc332879694"/>
      <w:bookmarkStart w:id="286" w:name="_Toc332884983"/>
      <w:bookmarkStart w:id="287" w:name="_Toc332892298"/>
      <w:bookmarkStart w:id="288" w:name="_Toc332898827"/>
      <w:bookmarkStart w:id="289" w:name="_Toc332952306"/>
      <w:bookmarkStart w:id="290" w:name="_Toc332957583"/>
      <w:bookmarkStart w:id="291" w:name="_Toc332962634"/>
      <w:bookmarkStart w:id="292" w:name="_Toc332967621"/>
      <w:bookmarkStart w:id="293" w:name="_Toc332968004"/>
      <w:bookmarkStart w:id="294" w:name="_Toc332969113"/>
      <w:bookmarkStart w:id="295" w:name="_Toc332976052"/>
      <w:bookmarkStart w:id="296" w:name="_Toc332976417"/>
      <w:bookmarkStart w:id="297" w:name="_Toc332977564"/>
      <w:bookmarkStart w:id="298" w:name="_Toc332979071"/>
      <w:bookmarkStart w:id="299" w:name="_Toc333320465"/>
      <w:bookmarkStart w:id="300" w:name="_Toc333321604"/>
      <w:bookmarkStart w:id="301" w:name="_Toc333393456"/>
      <w:bookmarkStart w:id="302" w:name="_Toc333565912"/>
      <w:bookmarkStart w:id="303" w:name="_Toc333569488"/>
      <w:bookmarkStart w:id="304" w:name="_Toc333573016"/>
      <w:bookmarkStart w:id="305" w:name="_Toc333824090"/>
      <w:bookmarkStart w:id="306" w:name="_Toc333830801"/>
      <w:bookmarkStart w:id="307" w:name="_Toc333830985"/>
      <w:bookmarkStart w:id="308" w:name="_Toc333831147"/>
      <w:bookmarkStart w:id="309" w:name="_Toc333832686"/>
      <w:bookmarkStart w:id="310" w:name="_Toc333832988"/>
      <w:bookmarkStart w:id="311" w:name="_Toc333920069"/>
      <w:bookmarkStart w:id="312" w:name="_Toc333926395"/>
      <w:bookmarkStart w:id="313" w:name="_Toc333998129"/>
      <w:bookmarkStart w:id="314" w:name="_Toc334001683"/>
      <w:bookmarkStart w:id="315" w:name="_Toc334008411"/>
      <w:bookmarkStart w:id="316" w:name="_Toc334092014"/>
      <w:bookmarkStart w:id="317" w:name="_Toc334093900"/>
      <w:bookmarkStart w:id="318" w:name="_Toc334097188"/>
      <w:bookmarkStart w:id="319" w:name="_Toc334100429"/>
      <w:bookmarkStart w:id="320" w:name="_Toc334103171"/>
      <w:bookmarkStart w:id="321" w:name="_Toc334103747"/>
      <w:bookmarkStart w:id="322" w:name="_Toc334159879"/>
      <w:bookmarkStart w:id="323" w:name="_Toc334176265"/>
      <w:bookmarkStart w:id="324" w:name="_Toc334182160"/>
      <w:bookmarkStart w:id="325" w:name="_Toc334184090"/>
      <w:bookmarkStart w:id="326" w:name="_Toc334184383"/>
      <w:bookmarkStart w:id="327" w:name="_Toc334603329"/>
      <w:bookmarkStart w:id="328" w:name="_Toc334613226"/>
      <w:bookmarkStart w:id="329" w:name="_Toc334615242"/>
      <w:bookmarkStart w:id="330" w:name="_Toc334615425"/>
      <w:bookmarkStart w:id="331" w:name="_Toc334615765"/>
      <w:bookmarkStart w:id="332" w:name="_Toc334615853"/>
      <w:bookmarkStart w:id="333" w:name="_Toc334617444"/>
      <w:bookmarkStart w:id="334" w:name="_Toc334618599"/>
      <w:bookmarkStart w:id="335" w:name="_Toc334701752"/>
      <w:bookmarkStart w:id="336" w:name="_Toc335501166"/>
      <w:bookmarkStart w:id="337" w:name="_Toc335502389"/>
      <w:bookmarkStart w:id="338" w:name="_Toc335636366"/>
      <w:bookmarkStart w:id="339" w:name="_Toc335657966"/>
      <w:bookmarkStart w:id="340" w:name="_Toc335745547"/>
      <w:bookmarkStart w:id="341" w:name="_Toc335808799"/>
      <w:bookmarkStart w:id="342" w:name="_Toc335826629"/>
      <w:bookmarkStart w:id="343" w:name="_Toc335828248"/>
      <w:bookmarkStart w:id="344" w:name="_Toc335855441"/>
      <w:bookmarkStart w:id="345" w:name="_Toc335899172"/>
      <w:bookmarkStart w:id="346" w:name="_Toc335915649"/>
      <w:bookmarkStart w:id="347" w:name="_Toc335916984"/>
      <w:bookmarkStart w:id="348" w:name="_Toc336331388"/>
      <w:bookmarkStart w:id="349" w:name="_Toc336331500"/>
      <w:bookmarkStart w:id="350" w:name="_Toc336342815"/>
      <w:bookmarkStart w:id="351" w:name="_Toc336410305"/>
      <w:bookmarkStart w:id="352" w:name="_Toc336412782"/>
      <w:bookmarkStart w:id="353" w:name="_Toc336412928"/>
      <w:bookmarkStart w:id="354" w:name="_Toc336429026"/>
      <w:bookmarkStart w:id="355" w:name="_Toc337809249"/>
      <w:bookmarkStart w:id="356" w:name="_Toc33805335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472DB8">
        <w:rPr>
          <w:rFonts w:ascii="Times" w:hAnsi="Times" w:cs="Times"/>
        </w:rPr>
        <w:t>The Regulatory Flexibility Act of 1980, as amended (“RFA”)</w:t>
      </w:r>
      <w:r w:rsidRPr="00472DB8">
        <w:rPr>
          <w:rStyle w:val="FootnoteReference"/>
          <w:rFonts w:ascii="Times" w:hAnsi="Times" w:cs="Times"/>
        </w:rPr>
        <w:footnoteReference w:id="171"/>
      </w:r>
      <w:r w:rsidRPr="00472DB8">
        <w:rPr>
          <w:rFonts w:ascii="Times" w:hAnsi="Times" w:cs="Times"/>
        </w:rPr>
        <w:t xml:space="preserve"> requires that a regulatory flexibility analysis be prepared for rulemaking proceedings, unless the agency certifies that “the rule will not have a significant economic impact on a substantial number of small entities.”</w:t>
      </w:r>
      <w:r w:rsidRPr="00472DB8">
        <w:rPr>
          <w:rStyle w:val="FootnoteReference"/>
          <w:rFonts w:ascii="Times" w:hAnsi="Times" w:cs="Times"/>
        </w:rPr>
        <w:footnoteReference w:id="172"/>
      </w:r>
      <w:r w:rsidRPr="00472DB8">
        <w:rPr>
          <w:rFonts w:ascii="Times" w:hAnsi="Times" w:cs="Times"/>
        </w:rPr>
        <w:t xml:space="preserve">  The RFA generally defines “small entity” as having the same meaning as the terms “small business,” “small organization,” and “small</w:t>
      </w:r>
      <w:r w:rsidRPr="00472DB8">
        <w:rPr>
          <w:rFonts w:ascii="Times" w:hAnsi="Times" w:cs="Times"/>
          <w:i/>
        </w:rPr>
        <w:t xml:space="preserve"> </w:t>
      </w:r>
      <w:r w:rsidRPr="00472DB8">
        <w:rPr>
          <w:rFonts w:ascii="Times" w:hAnsi="Times" w:cs="Times"/>
        </w:rPr>
        <w:t>governmental jurisdiction.”</w:t>
      </w:r>
      <w:r w:rsidRPr="00472DB8">
        <w:rPr>
          <w:rStyle w:val="FootnoteReference"/>
          <w:rFonts w:ascii="Times" w:hAnsi="Times" w:cs="Times"/>
        </w:rPr>
        <w:footnoteReference w:id="173"/>
      </w:r>
      <w:r w:rsidRPr="00472DB8">
        <w:rPr>
          <w:rFonts w:ascii="Times" w:hAnsi="Times" w:cs="Times"/>
        </w:rPr>
        <w:t xml:space="preserve">  In addition, the term “small business” has the same meaning as the term “small business concern” under the Small Business Act.</w:t>
      </w:r>
      <w:r w:rsidRPr="00472DB8">
        <w:rPr>
          <w:rStyle w:val="FootnoteReference"/>
          <w:rFonts w:ascii="Times" w:hAnsi="Times" w:cs="Times"/>
        </w:rPr>
        <w:footnoteReference w:id="174"/>
      </w:r>
      <w:r w:rsidRPr="00472DB8">
        <w:rPr>
          <w:rFonts w:ascii="Times" w:hAnsi="Times" w:cs="Times"/>
        </w:rPr>
        <w:t xml:space="preserve">  A small business concern is one which: (1) is independently owned and operated; (2) is not dominant in its field of operation; and (3)</w:t>
      </w:r>
      <w:r w:rsidRPr="00472DB8">
        <w:rPr>
          <w:rFonts w:ascii="Times" w:hAnsi="Times" w:cs="Times"/>
          <w:i/>
        </w:rPr>
        <w:t xml:space="preserve"> </w:t>
      </w:r>
      <w:r w:rsidRPr="00472DB8">
        <w:rPr>
          <w:rFonts w:ascii="Times" w:hAnsi="Times" w:cs="Times"/>
        </w:rPr>
        <w:t>satisfies any additional criteria established by the Small Business Administration (SBA).</w:t>
      </w:r>
      <w:r w:rsidRPr="00472DB8">
        <w:rPr>
          <w:rStyle w:val="FootnoteReference"/>
          <w:rFonts w:ascii="Times" w:hAnsi="Times" w:cs="Times"/>
        </w:rPr>
        <w:footnoteReference w:id="175"/>
      </w:r>
    </w:p>
    <w:p w14:paraId="53A0BF91" w14:textId="77777777" w:rsidR="00536757" w:rsidRDefault="007626E1" w:rsidP="00E75380">
      <w:pPr>
        <w:pStyle w:val="ParaNum"/>
        <w:widowControl/>
        <w:numPr>
          <w:ilvl w:val="0"/>
          <w:numId w:val="16"/>
        </w:numPr>
        <w:spacing w:after="0"/>
        <w:ind w:left="0"/>
        <w:jc w:val="left"/>
        <w:rPr>
          <w:rFonts w:ascii="Times" w:hAnsi="Times" w:cs="Times"/>
        </w:rPr>
      </w:pPr>
      <w:r w:rsidRPr="00472DB8">
        <w:rPr>
          <w:rFonts w:ascii="Times" w:hAnsi="Times" w:cs="Times"/>
          <w:i/>
        </w:rPr>
        <w:t xml:space="preserve">Final Regulatory Flexibility Certification.  </w:t>
      </w:r>
      <w:r w:rsidRPr="00472DB8">
        <w:rPr>
          <w:rFonts w:ascii="Times" w:hAnsi="Times" w:cs="Times"/>
        </w:rPr>
        <w:t xml:space="preserve">As required by the RFA, as amended, the Commission has prepared this Final Regulatory Flexibility Certification of the possible impact on small entities of the </w:t>
      </w:r>
      <w:r w:rsidR="00F83EB6" w:rsidRPr="00472DB8">
        <w:rPr>
          <w:rFonts w:ascii="Times" w:hAnsi="Times" w:cs="Times"/>
          <w:i/>
        </w:rPr>
        <w:t xml:space="preserve">Sixth </w:t>
      </w:r>
      <w:r w:rsidRPr="00472DB8">
        <w:rPr>
          <w:rFonts w:ascii="Times" w:hAnsi="Times" w:cs="Times"/>
          <w:i/>
        </w:rPr>
        <w:t>Order on Reconsideration</w:t>
      </w:r>
      <w:r w:rsidRPr="00472DB8">
        <w:rPr>
          <w:rFonts w:ascii="Times" w:hAnsi="Times" w:cs="Times"/>
        </w:rPr>
        <w:t xml:space="preserve">.  </w:t>
      </w:r>
    </w:p>
    <w:p w14:paraId="7142E4B7" w14:textId="77777777" w:rsidR="00536757" w:rsidRDefault="00536757" w:rsidP="00E75380">
      <w:pPr>
        <w:pStyle w:val="ParaNum"/>
        <w:widowControl/>
        <w:numPr>
          <w:ilvl w:val="0"/>
          <w:numId w:val="0"/>
        </w:numPr>
        <w:spacing w:after="0"/>
        <w:ind w:left="720"/>
        <w:jc w:val="left"/>
        <w:rPr>
          <w:rFonts w:ascii="Times" w:hAnsi="Times" w:cs="Times"/>
        </w:rPr>
      </w:pPr>
    </w:p>
    <w:p w14:paraId="45EBFFAA" w14:textId="58E200BB" w:rsidR="007626E1" w:rsidRPr="00472DB8" w:rsidRDefault="007626E1" w:rsidP="00E75380">
      <w:pPr>
        <w:pStyle w:val="ParaNum"/>
        <w:widowControl/>
        <w:numPr>
          <w:ilvl w:val="0"/>
          <w:numId w:val="16"/>
        </w:numPr>
        <w:spacing w:after="0"/>
        <w:ind w:left="0"/>
        <w:jc w:val="left"/>
        <w:rPr>
          <w:rFonts w:ascii="Times" w:hAnsi="Times" w:cs="Times"/>
        </w:rPr>
      </w:pPr>
      <w:r w:rsidRPr="00472DB8">
        <w:rPr>
          <w:rFonts w:ascii="Times" w:hAnsi="Times" w:cs="Times"/>
        </w:rPr>
        <w:t xml:space="preserve">In this proceeding, the Commission’s goal remains to implement </w:t>
      </w:r>
      <w:r w:rsidR="00F83EB6" w:rsidRPr="00472DB8">
        <w:rPr>
          <w:rFonts w:ascii="Times" w:hAnsi="Times" w:cs="Times"/>
        </w:rPr>
        <w:t>the LCRA and to promote a more sustainable community radio service.  The Commission addresses five</w:t>
      </w:r>
      <w:r w:rsidRPr="00472DB8">
        <w:rPr>
          <w:rFonts w:ascii="Times" w:hAnsi="Times" w:cs="Times"/>
        </w:rPr>
        <w:t xml:space="preserve"> petitions for reconsideration of the </w:t>
      </w:r>
      <w:r w:rsidR="00F83EB6" w:rsidRPr="00472DB8">
        <w:rPr>
          <w:rFonts w:ascii="Times" w:hAnsi="Times" w:cs="Times"/>
          <w:i/>
        </w:rPr>
        <w:t>Sixth Report and</w:t>
      </w:r>
      <w:r w:rsidRPr="00472DB8">
        <w:rPr>
          <w:rFonts w:ascii="Times" w:hAnsi="Times" w:cs="Times"/>
          <w:i/>
        </w:rPr>
        <w:t xml:space="preserve"> Order</w:t>
      </w:r>
      <w:r w:rsidRPr="00472DB8">
        <w:rPr>
          <w:rFonts w:ascii="Times" w:hAnsi="Times" w:cs="Times"/>
        </w:rPr>
        <w:t xml:space="preserve">, which </w:t>
      </w:r>
      <w:r w:rsidR="00F83EB6" w:rsidRPr="00472DB8">
        <w:rPr>
          <w:rFonts w:ascii="Times" w:hAnsi="Times" w:cs="Times"/>
        </w:rPr>
        <w:t>adopted numerous measures to complete implementation of the LCRA, service and licensing rules to promote core localism and diversity goals, and technical rules to ensure the efficient use of the radio broadcast spectrum</w:t>
      </w:r>
      <w:r w:rsidRPr="00472DB8">
        <w:rPr>
          <w:rFonts w:ascii="Times" w:hAnsi="Times" w:cs="Times"/>
        </w:rPr>
        <w:t>.</w:t>
      </w:r>
    </w:p>
    <w:p w14:paraId="09BBEAD6" w14:textId="77777777" w:rsidR="0010529A" w:rsidRPr="00472DB8" w:rsidRDefault="0010529A" w:rsidP="00E75380">
      <w:pPr>
        <w:pStyle w:val="ParaNum"/>
        <w:widowControl/>
        <w:numPr>
          <w:ilvl w:val="0"/>
          <w:numId w:val="0"/>
        </w:numPr>
        <w:spacing w:after="0"/>
        <w:jc w:val="left"/>
        <w:rPr>
          <w:rFonts w:ascii="Times" w:hAnsi="Times" w:cs="Times"/>
        </w:rPr>
      </w:pPr>
    </w:p>
    <w:p w14:paraId="092CD190" w14:textId="5F5DC106" w:rsidR="004262BF" w:rsidRPr="00472DB8" w:rsidRDefault="0033016A" w:rsidP="00E75380">
      <w:pPr>
        <w:pStyle w:val="ParaNum"/>
        <w:widowControl/>
        <w:numPr>
          <w:ilvl w:val="0"/>
          <w:numId w:val="16"/>
        </w:numPr>
        <w:spacing w:after="0"/>
        <w:ind w:left="0"/>
        <w:jc w:val="left"/>
        <w:rPr>
          <w:rFonts w:ascii="Times" w:hAnsi="Times" w:cs="Times"/>
        </w:rPr>
      </w:pPr>
      <w:r w:rsidRPr="00472DB8">
        <w:rPr>
          <w:rFonts w:ascii="Times" w:hAnsi="Times" w:cs="Times"/>
          <w:szCs w:val="22"/>
        </w:rPr>
        <w:t xml:space="preserve">Pursuant to the RFA, a Final Regulatory Flexibility Analysis (“FRFA”) was incorporated into the </w:t>
      </w:r>
      <w:r w:rsidRPr="00472DB8">
        <w:rPr>
          <w:rFonts w:ascii="Times" w:hAnsi="Times" w:cs="Times"/>
          <w:i/>
          <w:szCs w:val="22"/>
        </w:rPr>
        <w:t>Sixth Report and Order</w:t>
      </w:r>
      <w:r w:rsidRPr="00472DB8">
        <w:rPr>
          <w:rFonts w:ascii="Times" w:hAnsi="Times" w:cs="Times"/>
          <w:szCs w:val="22"/>
        </w:rPr>
        <w:t>.</w:t>
      </w:r>
      <w:r w:rsidRPr="00472DB8">
        <w:rPr>
          <w:rStyle w:val="FootnoteReference"/>
          <w:rFonts w:ascii="Times" w:hAnsi="Times" w:cs="Times"/>
          <w:szCs w:val="22"/>
        </w:rPr>
        <w:footnoteReference w:id="176"/>
      </w:r>
      <w:r w:rsidRPr="00472DB8">
        <w:rPr>
          <w:rFonts w:ascii="Times" w:hAnsi="Times" w:cs="Times"/>
          <w:szCs w:val="22"/>
        </w:rPr>
        <w:t xml:space="preserve">  The instant </w:t>
      </w:r>
      <w:r w:rsidRPr="00472DB8">
        <w:rPr>
          <w:rFonts w:ascii="Times" w:hAnsi="Times" w:cs="Times"/>
          <w:i/>
          <w:szCs w:val="22"/>
        </w:rPr>
        <w:t>Sixth Order on Reconsideration</w:t>
      </w:r>
      <w:r w:rsidRPr="00472DB8">
        <w:rPr>
          <w:rFonts w:ascii="Times" w:hAnsi="Times" w:cs="Times"/>
          <w:szCs w:val="22"/>
        </w:rPr>
        <w:t xml:space="preserve"> makes minor </w:t>
      </w:r>
      <w:r w:rsidR="00762283">
        <w:rPr>
          <w:rFonts w:ascii="Times" w:hAnsi="Times" w:cs="Times"/>
          <w:szCs w:val="22"/>
        </w:rPr>
        <w:t xml:space="preserve">non-substantive </w:t>
      </w:r>
      <w:r w:rsidRPr="00472DB8">
        <w:rPr>
          <w:rFonts w:ascii="Times" w:hAnsi="Times" w:cs="Times"/>
          <w:szCs w:val="22"/>
        </w:rPr>
        <w:t xml:space="preserve">revisions to the rule which protects the input signals of FM translator and FM booster stations from interference by LPFM stations.  The </w:t>
      </w:r>
      <w:r w:rsidRPr="00472DB8">
        <w:rPr>
          <w:rFonts w:ascii="Times" w:hAnsi="Times" w:cs="Times"/>
          <w:i/>
          <w:szCs w:val="22"/>
        </w:rPr>
        <w:t xml:space="preserve">Sixth Order on Reconsideration </w:t>
      </w:r>
      <w:r w:rsidRPr="00472DB8">
        <w:rPr>
          <w:rFonts w:ascii="Times" w:hAnsi="Times" w:cs="Times"/>
          <w:szCs w:val="22"/>
        </w:rPr>
        <w:t xml:space="preserve">makes </w:t>
      </w:r>
      <w:r w:rsidR="00762283">
        <w:rPr>
          <w:rFonts w:ascii="Times" w:hAnsi="Times" w:cs="Times"/>
          <w:szCs w:val="22"/>
        </w:rPr>
        <w:t xml:space="preserve">these </w:t>
      </w:r>
      <w:r w:rsidRPr="00472DB8">
        <w:rPr>
          <w:rFonts w:ascii="Times" w:hAnsi="Times" w:cs="Times"/>
          <w:szCs w:val="22"/>
        </w:rPr>
        <w:t xml:space="preserve">non-substantive changes to the Commission’s rules </w:t>
      </w:r>
      <w:r w:rsidR="00536757">
        <w:rPr>
          <w:rFonts w:ascii="Times" w:hAnsi="Times" w:cs="Times"/>
          <w:szCs w:val="22"/>
        </w:rPr>
        <w:t xml:space="preserve">primarily </w:t>
      </w:r>
      <w:r w:rsidRPr="00472DB8">
        <w:rPr>
          <w:rFonts w:ascii="Times" w:hAnsi="Times" w:cs="Times"/>
          <w:szCs w:val="22"/>
        </w:rPr>
        <w:t xml:space="preserve">by:  (1) revising the language in </w:t>
      </w:r>
      <w:r w:rsidRPr="00472DB8">
        <w:rPr>
          <w:rFonts w:ascii="Times" w:eastAsia="Calibri" w:hAnsi="Times" w:cs="Times"/>
          <w:szCs w:val="22"/>
        </w:rPr>
        <w:t>Section 73.827</w:t>
      </w:r>
      <w:r w:rsidR="00103DE8" w:rsidRPr="00472DB8">
        <w:rPr>
          <w:rFonts w:ascii="Times" w:eastAsia="Calibri" w:hAnsi="Times" w:cs="Times"/>
          <w:szCs w:val="22"/>
        </w:rPr>
        <w:t>(a)</w:t>
      </w:r>
      <w:r w:rsidRPr="00472DB8">
        <w:rPr>
          <w:rFonts w:ascii="Times" w:eastAsia="Calibri" w:hAnsi="Times" w:cs="Times"/>
          <w:szCs w:val="22"/>
        </w:rPr>
        <w:t xml:space="preserve"> to accurately reflect the Commission’s conclusion that the LCRA requires protection from interference of all input signals being delivered off-air on third adjacent channels;</w:t>
      </w:r>
      <w:r w:rsidRPr="00472DB8">
        <w:rPr>
          <w:rStyle w:val="FootnoteReference"/>
          <w:rFonts w:ascii="Times" w:eastAsia="Calibri" w:hAnsi="Times" w:cs="Times"/>
          <w:szCs w:val="22"/>
        </w:rPr>
        <w:footnoteReference w:id="177"/>
      </w:r>
      <w:r w:rsidRPr="00472DB8">
        <w:rPr>
          <w:rFonts w:ascii="Times" w:eastAsia="Calibri" w:hAnsi="Times" w:cs="Times"/>
          <w:szCs w:val="22"/>
        </w:rPr>
        <w:t xml:space="preserve"> and </w:t>
      </w:r>
      <w:r w:rsidRPr="00472DB8">
        <w:rPr>
          <w:rFonts w:ascii="Times" w:hAnsi="Times" w:cs="Times"/>
          <w:szCs w:val="22"/>
        </w:rPr>
        <w:t xml:space="preserve">(2) revising the language in </w:t>
      </w:r>
      <w:r w:rsidRPr="00472DB8">
        <w:rPr>
          <w:rFonts w:ascii="Times" w:eastAsia="Calibri" w:hAnsi="Times" w:cs="Times"/>
          <w:szCs w:val="22"/>
        </w:rPr>
        <w:t xml:space="preserve">Section 73.827(b) to accurately reflect the applicability of the rule to both FM translator and FM booster stations and to reflect </w:t>
      </w:r>
      <w:r w:rsidRPr="00472DB8">
        <w:rPr>
          <w:rFonts w:ascii="Times" w:hAnsi="Times" w:cs="Times"/>
          <w:szCs w:val="22"/>
        </w:rPr>
        <w:t xml:space="preserve">that the input signal must be in use prior to the </w:t>
      </w:r>
      <w:r w:rsidR="00103DE8" w:rsidRPr="00472DB8">
        <w:rPr>
          <w:rFonts w:ascii="Times" w:hAnsi="Times" w:cs="Times"/>
          <w:szCs w:val="22"/>
        </w:rPr>
        <w:t>p</w:t>
      </w:r>
      <w:r w:rsidRPr="00472DB8">
        <w:rPr>
          <w:rFonts w:ascii="Times" w:hAnsi="Times" w:cs="Times"/>
          <w:szCs w:val="22"/>
        </w:rPr>
        <w:t xml:space="preserve">ublic </w:t>
      </w:r>
      <w:r w:rsidR="00103DE8" w:rsidRPr="00472DB8">
        <w:rPr>
          <w:rFonts w:ascii="Times" w:hAnsi="Times" w:cs="Times"/>
          <w:szCs w:val="22"/>
        </w:rPr>
        <w:t>n</w:t>
      </w:r>
      <w:r w:rsidRPr="00472DB8">
        <w:rPr>
          <w:rFonts w:ascii="Times" w:hAnsi="Times" w:cs="Times"/>
          <w:szCs w:val="22"/>
        </w:rPr>
        <w:t>otice announcing the LPFM window and the input signal has been continuously in use.</w:t>
      </w:r>
      <w:r w:rsidRPr="00472DB8">
        <w:rPr>
          <w:rStyle w:val="FootnoteReference"/>
          <w:rFonts w:ascii="Times" w:hAnsi="Times" w:cs="Times"/>
          <w:szCs w:val="22"/>
        </w:rPr>
        <w:footnoteReference w:id="178"/>
      </w:r>
      <w:r w:rsidRPr="00472DB8">
        <w:rPr>
          <w:rFonts w:ascii="Times" w:hAnsi="Times" w:cs="Times"/>
          <w:szCs w:val="22"/>
        </w:rPr>
        <w:t xml:space="preserve">  </w:t>
      </w:r>
      <w:r w:rsidRPr="00472DB8">
        <w:rPr>
          <w:rFonts w:ascii="Times" w:eastAsia="Calibri" w:hAnsi="Times" w:cs="Times"/>
        </w:rPr>
        <w:t>These</w:t>
      </w:r>
      <w:r w:rsidRPr="00472DB8">
        <w:rPr>
          <w:rFonts w:ascii="Times" w:hAnsi="Times" w:cs="Times"/>
          <w:szCs w:val="22"/>
        </w:rPr>
        <w:t xml:space="preserve"> rule changes are only for the purpose of clarification, and therefore, </w:t>
      </w:r>
      <w:r w:rsidRPr="00472DB8">
        <w:rPr>
          <w:rFonts w:ascii="Times" w:hAnsi="Times" w:cs="Times"/>
        </w:rPr>
        <w:t>do not create any new rules that by regulating small entities, impose any burdens or costs of compliance on such entities</w:t>
      </w:r>
      <w:r w:rsidR="004262BF" w:rsidRPr="00472DB8">
        <w:rPr>
          <w:rFonts w:ascii="Times" w:hAnsi="Times" w:cs="Times"/>
          <w:szCs w:val="22"/>
        </w:rPr>
        <w:t>.</w:t>
      </w:r>
    </w:p>
    <w:p w14:paraId="17702F2C" w14:textId="77777777" w:rsidR="007B4027" w:rsidRPr="00472DB8" w:rsidRDefault="007B4027" w:rsidP="00E75380">
      <w:pPr>
        <w:pStyle w:val="ParaNum"/>
        <w:widowControl/>
        <w:numPr>
          <w:ilvl w:val="0"/>
          <w:numId w:val="0"/>
        </w:numPr>
        <w:spacing w:after="0"/>
        <w:ind w:left="720"/>
        <w:jc w:val="left"/>
        <w:rPr>
          <w:rFonts w:ascii="Times" w:hAnsi="Times" w:cs="Times"/>
        </w:rPr>
      </w:pPr>
    </w:p>
    <w:p w14:paraId="085C79EA" w14:textId="2AC2E20A" w:rsidR="00536757" w:rsidRPr="00DF2DCF" w:rsidRDefault="0033016A" w:rsidP="00E75380">
      <w:pPr>
        <w:pStyle w:val="ParaNum"/>
        <w:widowControl/>
        <w:numPr>
          <w:ilvl w:val="0"/>
          <w:numId w:val="16"/>
        </w:numPr>
        <w:spacing w:after="0"/>
        <w:ind w:left="0"/>
        <w:jc w:val="left"/>
        <w:rPr>
          <w:rFonts w:ascii="Times" w:hAnsi="Times" w:cs="Times"/>
        </w:rPr>
      </w:pPr>
      <w:r w:rsidRPr="00472DB8">
        <w:rPr>
          <w:rFonts w:ascii="Times" w:hAnsi="Times" w:cs="Times"/>
        </w:rPr>
        <w:t xml:space="preserve">Additionally, </w:t>
      </w:r>
      <w:r w:rsidRPr="00472DB8">
        <w:rPr>
          <w:rFonts w:ascii="Times" w:eastAsia="Calibri" w:hAnsi="Times" w:cs="Times"/>
        </w:rPr>
        <w:t>we revise</w:t>
      </w:r>
      <w:r w:rsidRPr="00472DB8">
        <w:rPr>
          <w:rFonts w:ascii="Times" w:hAnsi="Times" w:cs="Times"/>
        </w:rPr>
        <w:t xml:space="preserve"> the language in Section </w:t>
      </w:r>
      <w:r w:rsidRPr="00472DB8">
        <w:rPr>
          <w:rFonts w:ascii="Times" w:eastAsia="Calibri" w:hAnsi="Times" w:cs="Times"/>
        </w:rPr>
        <w:t>73.827(a)</w:t>
      </w:r>
      <w:r w:rsidR="00103DE8" w:rsidRPr="00472DB8">
        <w:rPr>
          <w:rFonts w:ascii="Times" w:eastAsia="Calibri" w:hAnsi="Times" w:cs="Times"/>
        </w:rPr>
        <w:t>(1)</w:t>
      </w:r>
      <w:r w:rsidRPr="00472DB8">
        <w:rPr>
          <w:rFonts w:ascii="Times" w:eastAsia="Calibri" w:hAnsi="Times" w:cs="Times"/>
        </w:rPr>
        <w:t xml:space="preserve"> to require demonstration of no interference at one location instead of showing no interference at multiple locations, which </w:t>
      </w:r>
      <w:r w:rsidR="00976378" w:rsidRPr="00472DB8">
        <w:rPr>
          <w:rFonts w:ascii="Times" w:eastAsia="Calibri" w:hAnsi="Times" w:cs="Times"/>
        </w:rPr>
        <w:t>is consistent with the requirements of the Local Community Radio Act of 2010</w:t>
      </w:r>
      <w:r w:rsidR="00536757">
        <w:rPr>
          <w:rFonts w:ascii="Times" w:eastAsia="Calibri" w:hAnsi="Times" w:cs="Times"/>
        </w:rPr>
        <w:t>,</w:t>
      </w:r>
      <w:r w:rsidR="00976378" w:rsidRPr="00472DB8">
        <w:rPr>
          <w:rFonts w:ascii="Times" w:eastAsia="Calibri" w:hAnsi="Times" w:cs="Times"/>
        </w:rPr>
        <w:t xml:space="preserve"> </w:t>
      </w:r>
      <w:r w:rsidR="00536757">
        <w:rPr>
          <w:rFonts w:ascii="Times" w:eastAsia="Calibri" w:hAnsi="Times" w:cs="Times"/>
        </w:rPr>
        <w:t xml:space="preserve">thus </w:t>
      </w:r>
      <w:r w:rsidR="00976378" w:rsidRPr="00472DB8">
        <w:rPr>
          <w:rFonts w:ascii="Times" w:eastAsia="Calibri" w:hAnsi="Times" w:cs="Times"/>
        </w:rPr>
        <w:t xml:space="preserve"> a showing at multiple locations </w:t>
      </w:r>
      <w:r w:rsidRPr="00472DB8">
        <w:rPr>
          <w:rFonts w:ascii="Times" w:eastAsia="Calibri" w:hAnsi="Times" w:cs="Times"/>
        </w:rPr>
        <w:t xml:space="preserve">would be irrelevant for determining potential interference. </w:t>
      </w:r>
    </w:p>
    <w:p w14:paraId="2E370A98" w14:textId="77777777" w:rsidR="00536757" w:rsidRDefault="00536757" w:rsidP="00E75380">
      <w:pPr>
        <w:pStyle w:val="ListParagraph"/>
        <w:jc w:val="left"/>
        <w:rPr>
          <w:rFonts w:ascii="Times" w:eastAsia="Calibri" w:hAnsi="Times" w:cs="Times"/>
        </w:rPr>
      </w:pPr>
    </w:p>
    <w:p w14:paraId="45CE64C1" w14:textId="116671D4" w:rsidR="007626E1" w:rsidRPr="00472DB8" w:rsidRDefault="0033016A" w:rsidP="00E75380">
      <w:pPr>
        <w:pStyle w:val="ParaNum"/>
        <w:widowControl/>
        <w:numPr>
          <w:ilvl w:val="0"/>
          <w:numId w:val="16"/>
        </w:numPr>
        <w:spacing w:after="0"/>
        <w:ind w:left="0"/>
        <w:jc w:val="left"/>
        <w:rPr>
          <w:rFonts w:ascii="Times" w:hAnsi="Times" w:cs="Times"/>
        </w:rPr>
      </w:pPr>
      <w:r w:rsidRPr="00472DB8">
        <w:rPr>
          <w:rFonts w:ascii="Times" w:eastAsia="Calibri" w:hAnsi="Times" w:cs="Times"/>
        </w:rPr>
        <w:t>For a number of reasons, there will be no significant economic impact, if any, on a substantial number of small entities as a result of this change.  First, Section 73.827(a)</w:t>
      </w:r>
      <w:r w:rsidR="00103DE8" w:rsidRPr="00472DB8">
        <w:rPr>
          <w:rFonts w:ascii="Times" w:eastAsia="Calibri" w:hAnsi="Times" w:cs="Times"/>
        </w:rPr>
        <w:t>(1)</w:t>
      </w:r>
      <w:r w:rsidRPr="00472DB8">
        <w:rPr>
          <w:rFonts w:ascii="Times" w:eastAsia="Calibri" w:hAnsi="Times" w:cs="Times"/>
        </w:rPr>
        <w:t xml:space="preserve"> continues to apply </w:t>
      </w:r>
      <w:r w:rsidR="007869ED" w:rsidRPr="00472DB8">
        <w:rPr>
          <w:rFonts w:ascii="Times" w:eastAsia="Calibri" w:hAnsi="Times" w:cs="Times"/>
        </w:rPr>
        <w:t xml:space="preserve">only </w:t>
      </w:r>
      <w:r w:rsidRPr="00472DB8">
        <w:rPr>
          <w:rFonts w:ascii="Times" w:eastAsia="Calibri" w:hAnsi="Times" w:cs="Times"/>
        </w:rPr>
        <w:t>in cases where an LPFM applicant proposes to operate near the input signal of an FM translator station.  Second, although the rule generally does not allow an LPFM station to operate near the input signal of the FM translator station, the LPFM applicant will be allowed to operate the LPFM station if it is able to comply with any one of the three provisions in Sections 73.827(a)(1)-(a)(3).  Therefore, Section 73.827(a)(1) continues to be one of three methods</w:t>
      </w:r>
      <w:r w:rsidRPr="00472DB8">
        <w:rPr>
          <w:rStyle w:val="FootnoteReference"/>
          <w:rFonts w:ascii="Times" w:eastAsia="Calibri" w:hAnsi="Times" w:cs="Times"/>
        </w:rPr>
        <w:footnoteReference w:id="179"/>
      </w:r>
      <w:r w:rsidRPr="00472DB8">
        <w:rPr>
          <w:rFonts w:ascii="Times" w:eastAsia="Calibri" w:hAnsi="Times" w:cs="Times"/>
        </w:rPr>
        <w:t xml:space="preserve"> </w:t>
      </w:r>
      <w:r w:rsidR="00103DE8" w:rsidRPr="00472DB8">
        <w:rPr>
          <w:rFonts w:ascii="Times" w:eastAsia="Calibri" w:hAnsi="Times" w:cs="Times"/>
        </w:rPr>
        <w:t xml:space="preserve">by </w:t>
      </w:r>
      <w:r w:rsidRPr="00472DB8">
        <w:rPr>
          <w:rFonts w:ascii="Times" w:eastAsia="Calibri" w:hAnsi="Times" w:cs="Times"/>
        </w:rPr>
        <w:t xml:space="preserve">which an LPFM applicant can demonstrate that it should be allowed to operate near the input signal.  Finally, the change to Section 73.827(a)(1) will reduce the burden and costs of the information being collected </w:t>
      </w:r>
      <w:r w:rsidR="00976378" w:rsidRPr="00472DB8">
        <w:rPr>
          <w:rFonts w:ascii="Times" w:eastAsia="Calibri" w:hAnsi="Times" w:cs="Times"/>
        </w:rPr>
        <w:t xml:space="preserve">by the LPFM applicant </w:t>
      </w:r>
      <w:r w:rsidRPr="00472DB8">
        <w:rPr>
          <w:rFonts w:ascii="Times" w:eastAsia="Calibri" w:hAnsi="Times" w:cs="Times"/>
        </w:rPr>
        <w:t xml:space="preserve">because the modified methodology simplifies the (a)(1) “no interference” showing to the calculation of a single signal strength ratio at a defined location and by eliminating the requirement to make the calculation at </w:t>
      </w:r>
      <w:r w:rsidR="00C0760C">
        <w:rPr>
          <w:rFonts w:ascii="Times" w:eastAsia="Calibri" w:hAnsi="Times" w:cs="Times"/>
        </w:rPr>
        <w:t xml:space="preserve">multiple </w:t>
      </w:r>
      <w:r w:rsidRPr="00472DB8">
        <w:rPr>
          <w:rFonts w:ascii="Times" w:eastAsia="Calibri" w:hAnsi="Times" w:cs="Times"/>
        </w:rPr>
        <w:t>locations which would be irrelevant for determining potential interference</w:t>
      </w:r>
      <w:r w:rsidR="004262BF" w:rsidRPr="00472DB8">
        <w:rPr>
          <w:rFonts w:ascii="Times" w:hAnsi="Times" w:cs="Times"/>
          <w:szCs w:val="22"/>
        </w:rPr>
        <w:t>.</w:t>
      </w:r>
      <w:r w:rsidR="00AF77F2" w:rsidRPr="00472DB8">
        <w:rPr>
          <w:rFonts w:ascii="Times" w:hAnsi="Times" w:cs="Times"/>
          <w:szCs w:val="22"/>
        </w:rPr>
        <w:t xml:space="preserve">  </w:t>
      </w:r>
      <w:r w:rsidR="009D2187" w:rsidRPr="00472DB8">
        <w:rPr>
          <w:rFonts w:ascii="Times" w:hAnsi="Times" w:cs="Times"/>
          <w:szCs w:val="22"/>
        </w:rPr>
        <w:t>Furthermore, t</w:t>
      </w:r>
      <w:r w:rsidR="00AF77F2" w:rsidRPr="00472DB8">
        <w:rPr>
          <w:rFonts w:ascii="Times" w:hAnsi="Times" w:cs="Times"/>
          <w:szCs w:val="22"/>
        </w:rPr>
        <w:t xml:space="preserve">he change </w:t>
      </w:r>
      <w:r w:rsidR="00C0760C">
        <w:rPr>
          <w:rFonts w:ascii="Times" w:hAnsi="Times" w:cs="Times"/>
          <w:szCs w:val="22"/>
        </w:rPr>
        <w:t xml:space="preserve">to </w:t>
      </w:r>
      <w:r w:rsidR="00C0760C" w:rsidRPr="00472DB8">
        <w:rPr>
          <w:rFonts w:ascii="Times" w:hAnsi="Times" w:cs="Times"/>
        </w:rPr>
        <w:t xml:space="preserve">Section </w:t>
      </w:r>
      <w:r w:rsidR="00C0760C" w:rsidRPr="00472DB8">
        <w:rPr>
          <w:rFonts w:ascii="Times" w:eastAsia="Calibri" w:hAnsi="Times" w:cs="Times"/>
        </w:rPr>
        <w:t xml:space="preserve">73.827(a)(1) </w:t>
      </w:r>
      <w:r w:rsidR="00AF77F2" w:rsidRPr="00472DB8">
        <w:rPr>
          <w:rFonts w:ascii="Times" w:hAnsi="Times" w:cs="Times"/>
        </w:rPr>
        <w:t>does not harm the LPFM</w:t>
      </w:r>
      <w:r w:rsidR="009D2187" w:rsidRPr="00472DB8">
        <w:rPr>
          <w:rFonts w:ascii="Times" w:hAnsi="Times" w:cs="Times"/>
        </w:rPr>
        <w:t xml:space="preserve"> applicant’</w:t>
      </w:r>
      <w:r w:rsidR="00AF77F2" w:rsidRPr="00472DB8">
        <w:rPr>
          <w:rFonts w:ascii="Times" w:hAnsi="Times" w:cs="Times"/>
        </w:rPr>
        <w:t xml:space="preserve">s competitive ability or raise costs </w:t>
      </w:r>
      <w:r w:rsidR="009D2187" w:rsidRPr="00472DB8">
        <w:rPr>
          <w:rFonts w:ascii="Times" w:hAnsi="Times" w:cs="Times"/>
        </w:rPr>
        <w:t xml:space="preserve">for the applicant </w:t>
      </w:r>
      <w:r w:rsidR="00AF77F2" w:rsidRPr="00472DB8">
        <w:rPr>
          <w:rFonts w:ascii="Times" w:hAnsi="Times" w:cs="Times"/>
        </w:rPr>
        <w:t xml:space="preserve">in any way.  Also, there is no additional cost to implement the </w:t>
      </w:r>
      <w:r w:rsidR="00C0760C" w:rsidRPr="00C0760C">
        <w:rPr>
          <w:rFonts w:ascii="Times" w:hAnsi="Times" w:cs="Times"/>
        </w:rPr>
        <w:t xml:space="preserve"> </w:t>
      </w:r>
      <w:r w:rsidR="00C0760C" w:rsidRPr="00472DB8">
        <w:rPr>
          <w:rFonts w:ascii="Times" w:hAnsi="Times" w:cs="Times"/>
        </w:rPr>
        <w:t xml:space="preserve">Section </w:t>
      </w:r>
      <w:r w:rsidR="00C0760C" w:rsidRPr="00472DB8">
        <w:rPr>
          <w:rFonts w:ascii="Times" w:eastAsia="Calibri" w:hAnsi="Times" w:cs="Times"/>
        </w:rPr>
        <w:t>73.827(a)(1)</w:t>
      </w:r>
      <w:r w:rsidR="00AF77F2" w:rsidRPr="00472DB8">
        <w:rPr>
          <w:rFonts w:ascii="Times" w:hAnsi="Times" w:cs="Times"/>
        </w:rPr>
        <w:t>; no additional record keeping requirements; and no disincentive to the LPFM applicant or station to seek or invest capital.</w:t>
      </w:r>
      <w:r w:rsidR="00976378" w:rsidRPr="00472DB8">
        <w:rPr>
          <w:rFonts w:ascii="Times" w:hAnsi="Times" w:cs="Times"/>
          <w:szCs w:val="22"/>
        </w:rPr>
        <w:t xml:space="preserve">  </w:t>
      </w:r>
      <w:r w:rsidR="009D2187" w:rsidRPr="00472DB8">
        <w:rPr>
          <w:rFonts w:ascii="Times" w:hAnsi="Times" w:cs="Times"/>
          <w:szCs w:val="22"/>
        </w:rPr>
        <w:t>T</w:t>
      </w:r>
      <w:r w:rsidR="00290D7D" w:rsidRPr="00472DB8">
        <w:rPr>
          <w:rFonts w:ascii="Times" w:hAnsi="Times" w:cs="Times"/>
          <w:szCs w:val="22"/>
        </w:rPr>
        <w:t xml:space="preserve">his change </w:t>
      </w:r>
      <w:r w:rsidR="00C0760C">
        <w:rPr>
          <w:rFonts w:ascii="Times" w:hAnsi="Times" w:cs="Times"/>
          <w:szCs w:val="22"/>
        </w:rPr>
        <w:t xml:space="preserve">to </w:t>
      </w:r>
      <w:r w:rsidR="00C0760C" w:rsidRPr="00472DB8">
        <w:rPr>
          <w:rFonts w:ascii="Times" w:hAnsi="Times" w:cs="Times"/>
        </w:rPr>
        <w:t xml:space="preserve">Section </w:t>
      </w:r>
      <w:r w:rsidR="00C0760C" w:rsidRPr="00472DB8">
        <w:rPr>
          <w:rFonts w:ascii="Times" w:eastAsia="Calibri" w:hAnsi="Times" w:cs="Times"/>
        </w:rPr>
        <w:t xml:space="preserve">73.827(a)(1) </w:t>
      </w:r>
      <w:r w:rsidR="009D2187" w:rsidRPr="00472DB8">
        <w:rPr>
          <w:rFonts w:ascii="Times" w:hAnsi="Times" w:cs="Times"/>
          <w:szCs w:val="22"/>
        </w:rPr>
        <w:t xml:space="preserve">also </w:t>
      </w:r>
      <w:r w:rsidR="00290D7D" w:rsidRPr="00472DB8">
        <w:rPr>
          <w:rFonts w:ascii="Times" w:hAnsi="Times" w:cs="Times"/>
          <w:szCs w:val="22"/>
        </w:rPr>
        <w:t xml:space="preserve">will have no </w:t>
      </w:r>
      <w:r w:rsidR="009D2187" w:rsidRPr="00472DB8">
        <w:rPr>
          <w:rFonts w:ascii="Times" w:hAnsi="Times" w:cs="Times"/>
          <w:szCs w:val="22"/>
        </w:rPr>
        <w:t xml:space="preserve">impact </w:t>
      </w:r>
      <w:r w:rsidR="00290D7D" w:rsidRPr="00472DB8">
        <w:rPr>
          <w:rFonts w:ascii="Times" w:hAnsi="Times" w:cs="Times"/>
          <w:szCs w:val="22"/>
        </w:rPr>
        <w:t>on translator</w:t>
      </w:r>
      <w:r w:rsidR="00AF77F2" w:rsidRPr="00472DB8">
        <w:rPr>
          <w:rFonts w:ascii="Times" w:hAnsi="Times" w:cs="Times"/>
          <w:szCs w:val="22"/>
        </w:rPr>
        <w:t xml:space="preserve"> licensees</w:t>
      </w:r>
      <w:r w:rsidR="00290D7D" w:rsidRPr="00472DB8">
        <w:rPr>
          <w:rFonts w:ascii="Times" w:hAnsi="Times" w:cs="Times"/>
          <w:szCs w:val="22"/>
        </w:rPr>
        <w:t>.</w:t>
      </w:r>
      <w:r w:rsidR="007626E1" w:rsidRPr="00472DB8">
        <w:rPr>
          <w:rFonts w:ascii="Times" w:hAnsi="Times" w:cs="Times"/>
        </w:rPr>
        <w:t> </w:t>
      </w:r>
      <w:r w:rsidR="00AF77F2" w:rsidRPr="00472DB8">
        <w:rPr>
          <w:rFonts w:ascii="Times" w:hAnsi="Times" w:cs="Times"/>
        </w:rPr>
        <w:t xml:space="preserve"> For example, the rule </w:t>
      </w:r>
      <w:r w:rsidR="00AF77F2" w:rsidRPr="00472DB8">
        <w:rPr>
          <w:rFonts w:ascii="Times" w:hAnsi="Times" w:cs="Times"/>
          <w:szCs w:val="22"/>
        </w:rPr>
        <w:t xml:space="preserve">change </w:t>
      </w:r>
      <w:r w:rsidR="00AF77F2" w:rsidRPr="00472DB8">
        <w:rPr>
          <w:rFonts w:ascii="Times" w:hAnsi="Times" w:cs="Times"/>
        </w:rPr>
        <w:t>does not harm the translator licensee’s competitive ability or reduce its revenues or raise costs in any way.  Plus, there is no cost to the translator licensee to implement the rule; no additional record keeping requirements; and no disincentive to the translator licensee to seek or invest capital for its translator.</w:t>
      </w:r>
    </w:p>
    <w:p w14:paraId="19FC1BAE" w14:textId="77777777" w:rsidR="0010529A" w:rsidRPr="00472DB8" w:rsidRDefault="0010529A" w:rsidP="00E75380">
      <w:pPr>
        <w:pStyle w:val="ParaNum"/>
        <w:widowControl/>
        <w:numPr>
          <w:ilvl w:val="0"/>
          <w:numId w:val="0"/>
        </w:numPr>
        <w:spacing w:after="0"/>
        <w:ind w:left="720"/>
        <w:jc w:val="left"/>
        <w:rPr>
          <w:rFonts w:ascii="Times" w:hAnsi="Times" w:cs="Times"/>
        </w:rPr>
      </w:pPr>
    </w:p>
    <w:p w14:paraId="77BE9456" w14:textId="77777777" w:rsidR="004262BF" w:rsidRPr="00472DB8" w:rsidRDefault="004262BF" w:rsidP="00E75380">
      <w:pPr>
        <w:numPr>
          <w:ilvl w:val="0"/>
          <w:numId w:val="16"/>
        </w:numPr>
        <w:ind w:left="0"/>
        <w:jc w:val="left"/>
        <w:rPr>
          <w:rFonts w:ascii="Times" w:hAnsi="Times" w:cs="Times"/>
        </w:rPr>
      </w:pPr>
      <w:r w:rsidRPr="00472DB8">
        <w:rPr>
          <w:rFonts w:ascii="Times" w:hAnsi="Times" w:cs="Times"/>
        </w:rPr>
        <w:t xml:space="preserve">Therefore, we certify that the requirements of this </w:t>
      </w:r>
      <w:r w:rsidRPr="00472DB8">
        <w:rPr>
          <w:rFonts w:ascii="Times" w:hAnsi="Times" w:cs="Times"/>
          <w:i/>
        </w:rPr>
        <w:t>Sixth Order on Reconsideration</w:t>
      </w:r>
      <w:r w:rsidRPr="00472DB8">
        <w:rPr>
          <w:rFonts w:ascii="Times" w:hAnsi="Times" w:cs="Times"/>
        </w:rPr>
        <w:t xml:space="preserve"> will not have a significant economic impact on a substantial number of small entities.</w:t>
      </w:r>
      <w:r w:rsidRPr="00472DB8">
        <w:rPr>
          <w:rFonts w:ascii="Times" w:hAnsi="Times" w:cs="Times"/>
        </w:rPr>
        <w:t> </w:t>
      </w:r>
    </w:p>
    <w:p w14:paraId="654D94EF" w14:textId="77777777" w:rsidR="0010529A" w:rsidRPr="00472DB8" w:rsidRDefault="0010529A" w:rsidP="00E75380">
      <w:pPr>
        <w:ind w:firstLine="0"/>
        <w:jc w:val="left"/>
        <w:rPr>
          <w:rFonts w:ascii="Times" w:hAnsi="Times" w:cs="Times"/>
        </w:rPr>
      </w:pPr>
    </w:p>
    <w:p w14:paraId="6C579207" w14:textId="77777777" w:rsidR="007626E1" w:rsidRPr="00472DB8" w:rsidRDefault="007626E1" w:rsidP="00E75380">
      <w:pPr>
        <w:pStyle w:val="ParaNum"/>
        <w:widowControl/>
        <w:numPr>
          <w:ilvl w:val="0"/>
          <w:numId w:val="16"/>
        </w:numPr>
        <w:spacing w:after="0"/>
        <w:ind w:left="0"/>
        <w:jc w:val="left"/>
        <w:rPr>
          <w:rFonts w:ascii="Times" w:hAnsi="Times" w:cs="Times"/>
        </w:rPr>
      </w:pPr>
      <w:r w:rsidRPr="00472DB8">
        <w:rPr>
          <w:rFonts w:ascii="Times" w:hAnsi="Times" w:cs="Times"/>
        </w:rPr>
        <w:t xml:space="preserve">The Commission will send a copy of the </w:t>
      </w:r>
      <w:r w:rsidR="007014CD" w:rsidRPr="00472DB8">
        <w:rPr>
          <w:rFonts w:ascii="Times" w:hAnsi="Times" w:cs="Times"/>
          <w:i/>
        </w:rPr>
        <w:t xml:space="preserve">Sixth </w:t>
      </w:r>
      <w:r w:rsidRPr="00472DB8">
        <w:rPr>
          <w:rFonts w:ascii="Times" w:hAnsi="Times" w:cs="Times"/>
          <w:i/>
        </w:rPr>
        <w:t>Order on Reconsideration</w:t>
      </w:r>
      <w:r w:rsidRPr="00472DB8">
        <w:rPr>
          <w:rFonts w:ascii="Times" w:hAnsi="Times" w:cs="Times"/>
        </w:rPr>
        <w:t xml:space="preserve">, including a copy of this Final Regulatory Flexibility Certification, in a report to Congress pursuant to the Congressional Review Act, </w:t>
      </w:r>
      <w:r w:rsidRPr="00472DB8">
        <w:rPr>
          <w:rFonts w:ascii="Times" w:hAnsi="Times" w:cs="Times"/>
          <w:i/>
        </w:rPr>
        <w:t xml:space="preserve">see </w:t>
      </w:r>
      <w:r w:rsidRPr="00472DB8">
        <w:rPr>
          <w:rFonts w:ascii="Times" w:hAnsi="Times" w:cs="Times"/>
        </w:rPr>
        <w:t>5 U.S.C. § 801(a)(1)(A).</w:t>
      </w:r>
      <w:r w:rsidRPr="00472DB8">
        <w:rPr>
          <w:rFonts w:ascii="Times" w:hAnsi="Times" w:cs="Times"/>
        </w:rPr>
        <w:t> </w:t>
      </w:r>
      <w:r w:rsidRPr="00472DB8">
        <w:rPr>
          <w:rFonts w:ascii="Times" w:hAnsi="Times" w:cs="Times"/>
        </w:rPr>
        <w:t xml:space="preserve"> In addition, the </w:t>
      </w:r>
      <w:r w:rsidR="007014CD" w:rsidRPr="00472DB8">
        <w:rPr>
          <w:rFonts w:ascii="Times" w:hAnsi="Times" w:cs="Times"/>
          <w:i/>
        </w:rPr>
        <w:t xml:space="preserve">Sixth </w:t>
      </w:r>
      <w:r w:rsidRPr="00472DB8">
        <w:rPr>
          <w:rFonts w:ascii="Times" w:hAnsi="Times" w:cs="Times"/>
          <w:i/>
        </w:rPr>
        <w:t xml:space="preserve">Order on Reconsideration </w:t>
      </w:r>
      <w:r w:rsidRPr="00472DB8">
        <w:rPr>
          <w:rFonts w:ascii="Times" w:hAnsi="Times" w:cs="Times"/>
        </w:rPr>
        <w:t xml:space="preserve">and this certification will be sent to the Chief Counsel for Advocacy of the Small Business Administration, and will be published in the </w:t>
      </w:r>
      <w:r w:rsidRPr="00472DB8">
        <w:rPr>
          <w:rFonts w:ascii="Times" w:hAnsi="Times" w:cs="Times"/>
          <w:i/>
        </w:rPr>
        <w:t>Federal Register</w:t>
      </w:r>
      <w:r w:rsidRPr="00472DB8">
        <w:rPr>
          <w:rFonts w:ascii="Times" w:hAnsi="Times" w:cs="Times"/>
        </w:rPr>
        <w:t xml:space="preserve">.  </w:t>
      </w:r>
      <w:r w:rsidRPr="00472DB8">
        <w:rPr>
          <w:rFonts w:ascii="Times" w:hAnsi="Times" w:cs="Times"/>
          <w:i/>
        </w:rPr>
        <w:t>See</w:t>
      </w:r>
      <w:r w:rsidRPr="00472DB8">
        <w:rPr>
          <w:rFonts w:ascii="Times" w:hAnsi="Times" w:cs="Times"/>
        </w:rPr>
        <w:t xml:space="preserve"> 5 U.S.C. § 605(b).</w:t>
      </w:r>
    </w:p>
    <w:p w14:paraId="768A0463" w14:textId="77777777" w:rsidR="0010529A" w:rsidRPr="00472DB8" w:rsidRDefault="0010529A" w:rsidP="00E75380">
      <w:pPr>
        <w:pStyle w:val="ParaNum"/>
        <w:widowControl/>
        <w:numPr>
          <w:ilvl w:val="0"/>
          <w:numId w:val="0"/>
        </w:numPr>
        <w:spacing w:after="0"/>
        <w:jc w:val="left"/>
        <w:rPr>
          <w:rFonts w:ascii="Times" w:hAnsi="Times" w:cs="Times"/>
        </w:rPr>
      </w:pPr>
    </w:p>
    <w:p w14:paraId="27D72EE5" w14:textId="77777777" w:rsidR="007626E1" w:rsidRPr="00472DB8" w:rsidRDefault="007626E1" w:rsidP="00E75380">
      <w:pPr>
        <w:pStyle w:val="Heading2"/>
        <w:widowControl/>
        <w:tabs>
          <w:tab w:val="clear" w:pos="1440"/>
          <w:tab w:val="num" w:pos="0"/>
        </w:tabs>
        <w:spacing w:after="240"/>
        <w:ind w:left="720" w:firstLine="0"/>
        <w:rPr>
          <w:rFonts w:ascii="Times" w:hAnsi="Times" w:cs="Times"/>
        </w:rPr>
      </w:pPr>
      <w:bookmarkStart w:id="357" w:name="_Toc348362585"/>
      <w:r w:rsidRPr="00472DB8">
        <w:rPr>
          <w:rFonts w:ascii="Times" w:hAnsi="Times" w:cs="Times"/>
        </w:rPr>
        <w:t>Paperwork Reduction Act</w:t>
      </w:r>
      <w:bookmarkEnd w:id="357"/>
    </w:p>
    <w:p w14:paraId="052ED472" w14:textId="77777777" w:rsidR="007626E1" w:rsidRPr="00472DB8" w:rsidRDefault="007626E1" w:rsidP="00E75380">
      <w:pPr>
        <w:pStyle w:val="ParaNum"/>
        <w:widowControl/>
        <w:numPr>
          <w:ilvl w:val="0"/>
          <w:numId w:val="16"/>
        </w:numPr>
        <w:spacing w:after="240"/>
        <w:ind w:left="0"/>
        <w:jc w:val="left"/>
        <w:rPr>
          <w:rFonts w:ascii="Times" w:hAnsi="Times" w:cs="Times"/>
        </w:rPr>
      </w:pPr>
      <w:r w:rsidRPr="00472DB8">
        <w:rPr>
          <w:rFonts w:ascii="Times" w:hAnsi="Times" w:cs="Times"/>
        </w:rPr>
        <w:t xml:space="preserve">The </w:t>
      </w:r>
      <w:r w:rsidR="00060D55" w:rsidRPr="00472DB8">
        <w:rPr>
          <w:rFonts w:ascii="Times" w:hAnsi="Times" w:cs="Times"/>
          <w:i/>
        </w:rPr>
        <w:t xml:space="preserve">Sixth </w:t>
      </w:r>
      <w:r w:rsidRPr="00472DB8">
        <w:rPr>
          <w:rFonts w:ascii="Times" w:hAnsi="Times" w:cs="Times"/>
          <w:i/>
        </w:rPr>
        <w:t xml:space="preserve">Order on Reconsideration </w:t>
      </w:r>
      <w:r w:rsidRPr="00472DB8">
        <w:rPr>
          <w:rFonts w:ascii="Times" w:hAnsi="Times" w:cs="Times"/>
        </w:rPr>
        <w:t>does not contain new or modified information collection requirements subject to the Paperwork Reduction Act of 1995 (“PRA”), Public Law 104-13.</w:t>
      </w:r>
      <w:r w:rsidR="00C57830" w:rsidRPr="00472DB8">
        <w:rPr>
          <w:rFonts w:ascii="Times" w:hAnsi="Times" w:cs="Times"/>
        </w:rPr>
        <w:t xml:space="preserve">  The information collection requirements were approved under OMB control number 3060-0920.</w:t>
      </w:r>
      <w:r w:rsidR="00C57830" w:rsidRPr="00472DB8">
        <w:rPr>
          <w:rStyle w:val="FootnoteReference"/>
          <w:rFonts w:ascii="Times" w:hAnsi="Times" w:cs="Times"/>
        </w:rPr>
        <w:footnoteReference w:id="180"/>
      </w:r>
      <w:r w:rsidR="00C57830" w:rsidRPr="00472DB8">
        <w:rPr>
          <w:rFonts w:ascii="Times" w:hAnsi="Times" w:cs="Times"/>
        </w:rPr>
        <w:t xml:space="preserve">  </w:t>
      </w:r>
      <w:r w:rsidRPr="00472DB8">
        <w:rPr>
          <w:rFonts w:ascii="Times" w:hAnsi="Times" w:cs="Times"/>
        </w:rPr>
        <w:t xml:space="preserve">In addition, therefore, it does not contain any new or modified “information collection burden for small business concerns with fewer than 25 employees,” pursuant to the Small Business Paperwork Relief Act of 2002, Public Law 107-198, </w:t>
      </w:r>
      <w:r w:rsidRPr="00472DB8">
        <w:rPr>
          <w:rFonts w:ascii="Times" w:hAnsi="Times" w:cs="Times"/>
          <w:i/>
        </w:rPr>
        <w:t xml:space="preserve">see </w:t>
      </w:r>
      <w:r w:rsidRPr="00472DB8">
        <w:rPr>
          <w:rFonts w:ascii="Times" w:hAnsi="Times" w:cs="Times"/>
        </w:rPr>
        <w:t>44 U.S.C. § 3506(c)(4).</w:t>
      </w:r>
    </w:p>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14:paraId="7098D74D" w14:textId="5D3B0171" w:rsidR="00F318B6" w:rsidRPr="00472DB8" w:rsidRDefault="00F318B6" w:rsidP="00E75380">
      <w:pPr>
        <w:pStyle w:val="ListParagraph"/>
        <w:keepNext/>
        <w:keepLines/>
        <w:numPr>
          <w:ilvl w:val="0"/>
          <w:numId w:val="1"/>
        </w:numPr>
        <w:ind w:left="720"/>
        <w:jc w:val="left"/>
        <w:rPr>
          <w:rFonts w:ascii="Times" w:hAnsi="Times" w:cs="Times"/>
          <w:kern w:val="28"/>
        </w:rPr>
      </w:pPr>
      <w:r w:rsidRPr="00472DB8">
        <w:rPr>
          <w:rFonts w:ascii="Times" w:hAnsi="Times" w:cs="Times"/>
          <w:b/>
        </w:rPr>
        <w:t>ORDERING CLAUSES</w:t>
      </w:r>
    </w:p>
    <w:p w14:paraId="3288A686" w14:textId="77777777" w:rsidR="00302BBC" w:rsidRPr="00472DB8" w:rsidRDefault="00302BBC" w:rsidP="00E75380">
      <w:pPr>
        <w:pStyle w:val="ListParagraph"/>
        <w:keepNext/>
        <w:keepLines/>
        <w:ind w:left="0"/>
        <w:jc w:val="left"/>
        <w:rPr>
          <w:rFonts w:ascii="Times" w:hAnsi="Times" w:cs="Times"/>
          <w:b/>
        </w:rPr>
      </w:pPr>
    </w:p>
    <w:p w14:paraId="3F693EC4" w14:textId="77777777" w:rsidR="00CF32E5" w:rsidRPr="00472DB8" w:rsidRDefault="00146FB0" w:rsidP="00E75380">
      <w:pPr>
        <w:pStyle w:val="ListParagraph"/>
        <w:keepNext/>
        <w:keepLines/>
        <w:numPr>
          <w:ilvl w:val="0"/>
          <w:numId w:val="16"/>
        </w:numPr>
        <w:ind w:left="0"/>
        <w:jc w:val="left"/>
        <w:rPr>
          <w:rFonts w:ascii="Times" w:hAnsi="Times" w:cs="Times"/>
          <w:kern w:val="28"/>
        </w:rPr>
      </w:pPr>
      <w:r w:rsidRPr="00472DB8">
        <w:rPr>
          <w:rFonts w:ascii="Times" w:hAnsi="Times" w:cs="Times"/>
        </w:rPr>
        <w:t xml:space="preserve">Accordingly, IT IS ORDERED, </w:t>
      </w:r>
      <w:r w:rsidRPr="00472DB8">
        <w:rPr>
          <w:rFonts w:ascii="Times" w:hAnsi="Times" w:cs="Times"/>
          <w:kern w:val="28"/>
        </w:rPr>
        <w:t>pursuant</w:t>
      </w:r>
      <w:r w:rsidRPr="00472DB8">
        <w:rPr>
          <w:rFonts w:ascii="Times" w:hAnsi="Times" w:cs="Times"/>
        </w:rPr>
        <w:t xml:space="preserve"> to the authority contained in </w:t>
      </w:r>
      <w:r w:rsidR="00F92FB2" w:rsidRPr="00472DB8">
        <w:rPr>
          <w:rFonts w:ascii="Times" w:hAnsi="Times" w:cs="Times"/>
        </w:rPr>
        <w:t xml:space="preserve">the Local Community Radio Act of 2010, Pub. L. No. 111-371, 124 Stat. 4072 (2011) and the authority </w:t>
      </w:r>
      <w:r w:rsidRPr="00472DB8">
        <w:rPr>
          <w:rFonts w:ascii="Times" w:hAnsi="Times" w:cs="Times"/>
        </w:rPr>
        <w:t>contained in</w:t>
      </w:r>
      <w:r w:rsidR="005C463A" w:rsidRPr="00472DB8">
        <w:rPr>
          <w:rFonts w:ascii="Times" w:hAnsi="Times" w:cs="Times"/>
        </w:rPr>
        <w:t xml:space="preserve"> Sections 1, 2, 4(i), 303, and 307 </w:t>
      </w:r>
      <w:r w:rsidRPr="00472DB8">
        <w:rPr>
          <w:rFonts w:ascii="Times" w:hAnsi="Times" w:cs="Times"/>
        </w:rPr>
        <w:t xml:space="preserve">of the Communications Act of 1934, 47 U.S.C. §§ 151, 152, 154(i), 303, </w:t>
      </w:r>
      <w:r w:rsidR="005C463A" w:rsidRPr="00472DB8">
        <w:rPr>
          <w:rFonts w:ascii="Times" w:hAnsi="Times" w:cs="Times"/>
        </w:rPr>
        <w:t xml:space="preserve">and </w:t>
      </w:r>
      <w:r w:rsidRPr="00472DB8">
        <w:rPr>
          <w:rFonts w:ascii="Times" w:hAnsi="Times" w:cs="Times"/>
        </w:rPr>
        <w:t xml:space="preserve">307, that this </w:t>
      </w:r>
      <w:r w:rsidRPr="00472DB8">
        <w:rPr>
          <w:rFonts w:ascii="Times" w:hAnsi="Times" w:cs="Times"/>
          <w:i/>
        </w:rPr>
        <w:t>Sixth Order on Reconsideration</w:t>
      </w:r>
      <w:r w:rsidRPr="00472DB8">
        <w:rPr>
          <w:rFonts w:ascii="Times" w:hAnsi="Times" w:cs="Times"/>
        </w:rPr>
        <w:t xml:space="preserve"> IS ADOPTED</w:t>
      </w:r>
      <w:r w:rsidR="00954159" w:rsidRPr="00472DB8">
        <w:rPr>
          <w:rFonts w:ascii="Times" w:hAnsi="Times" w:cs="Times"/>
        </w:rPr>
        <w:t xml:space="preserve">, effective thirty (30) days after the date of publication in the </w:t>
      </w:r>
      <w:r w:rsidR="00954159" w:rsidRPr="00472DB8">
        <w:rPr>
          <w:rFonts w:ascii="Times" w:hAnsi="Times" w:cs="Times"/>
          <w:i/>
        </w:rPr>
        <w:t>Federal Register</w:t>
      </w:r>
      <w:r w:rsidR="00CF32E5" w:rsidRPr="00472DB8">
        <w:rPr>
          <w:rFonts w:ascii="Times" w:hAnsi="Times" w:cs="Times"/>
        </w:rPr>
        <w:t xml:space="preserve"> </w:t>
      </w:r>
    </w:p>
    <w:p w14:paraId="4399C81C" w14:textId="77777777" w:rsidR="00F92FB2" w:rsidRPr="00472DB8" w:rsidRDefault="00F92FB2" w:rsidP="00E75380">
      <w:pPr>
        <w:pStyle w:val="ListParagraph"/>
        <w:keepNext/>
        <w:keepLines/>
        <w:ind w:firstLine="0"/>
        <w:jc w:val="left"/>
        <w:rPr>
          <w:rFonts w:ascii="Times" w:hAnsi="Times" w:cs="Times"/>
          <w:kern w:val="28"/>
        </w:rPr>
      </w:pPr>
    </w:p>
    <w:p w14:paraId="7D9EAB04" w14:textId="77777777" w:rsidR="002D3EFB" w:rsidRPr="00472DB8" w:rsidRDefault="00F92FB2" w:rsidP="00E75380">
      <w:pPr>
        <w:pStyle w:val="ListParagraph"/>
        <w:keepNext/>
        <w:keepLines/>
        <w:numPr>
          <w:ilvl w:val="0"/>
          <w:numId w:val="16"/>
        </w:numPr>
        <w:ind w:left="0"/>
        <w:jc w:val="left"/>
        <w:rPr>
          <w:rFonts w:ascii="Times" w:hAnsi="Times" w:cs="Times"/>
          <w:kern w:val="28"/>
        </w:rPr>
      </w:pPr>
      <w:r w:rsidRPr="00472DB8">
        <w:rPr>
          <w:rFonts w:ascii="Times" w:hAnsi="Times" w:cs="Times"/>
          <w:kern w:val="28"/>
        </w:rPr>
        <w:t>IT IS ORDERED that, pursuant to</w:t>
      </w:r>
      <w:r w:rsidRPr="00472DB8">
        <w:rPr>
          <w:rFonts w:ascii="Times" w:hAnsi="Times" w:cs="Times"/>
        </w:rPr>
        <w:t xml:space="preserve"> </w:t>
      </w:r>
      <w:r w:rsidRPr="00472DB8">
        <w:rPr>
          <w:rFonts w:ascii="Times" w:hAnsi="Times" w:cs="Times"/>
          <w:kern w:val="28"/>
        </w:rPr>
        <w:t xml:space="preserve">the authority contained in contained the Local Community Radio Act of 2010, Pub. L. No. 111-371, 124 Stat. </w:t>
      </w:r>
      <w:r w:rsidRPr="00472DB8">
        <w:rPr>
          <w:rFonts w:ascii="Times" w:hAnsi="Times" w:cs="Times"/>
        </w:rPr>
        <w:t>4072</w:t>
      </w:r>
      <w:r w:rsidRPr="00472DB8">
        <w:rPr>
          <w:rFonts w:ascii="Times" w:hAnsi="Times" w:cs="Times"/>
          <w:kern w:val="28"/>
        </w:rPr>
        <w:t xml:space="preserve"> (2011) and the authority contained in in Sections 1, 2, 4(i), 303, and 307 of the Communications Act of 1934, 47 U.S.C. §§ 151, 152, 154(i), 303, and 307, the Commission’s rules ARE HEREBY AMENDED as set forth in Appendix B.</w:t>
      </w:r>
      <w:r w:rsidR="00C57830" w:rsidRPr="00472DB8">
        <w:rPr>
          <w:rFonts w:ascii="Times" w:hAnsi="Times" w:cs="Times"/>
          <w:kern w:val="28"/>
        </w:rPr>
        <w:t xml:space="preserve"> </w:t>
      </w:r>
    </w:p>
    <w:p w14:paraId="4B13B848" w14:textId="77777777" w:rsidR="00C57830" w:rsidRPr="00472DB8" w:rsidRDefault="00C57830" w:rsidP="00E75380">
      <w:pPr>
        <w:keepNext/>
        <w:keepLines/>
        <w:ind w:firstLine="0"/>
        <w:jc w:val="left"/>
        <w:rPr>
          <w:rFonts w:ascii="Times" w:hAnsi="Times" w:cs="Times"/>
          <w:kern w:val="28"/>
        </w:rPr>
      </w:pPr>
    </w:p>
    <w:p w14:paraId="4E917780" w14:textId="2D5C6B8C" w:rsidR="00146FB0" w:rsidRPr="00472DB8" w:rsidRDefault="00146FB0" w:rsidP="00E75380">
      <w:pPr>
        <w:pStyle w:val="ListParagraph"/>
        <w:keepNext/>
        <w:keepLines/>
        <w:numPr>
          <w:ilvl w:val="0"/>
          <w:numId w:val="16"/>
        </w:numPr>
        <w:ind w:left="0"/>
        <w:jc w:val="left"/>
        <w:rPr>
          <w:rFonts w:ascii="Times" w:hAnsi="Times" w:cs="Times"/>
          <w:kern w:val="28"/>
        </w:rPr>
      </w:pPr>
      <w:r w:rsidRPr="00472DB8">
        <w:rPr>
          <w:rFonts w:ascii="Times" w:hAnsi="Times" w:cs="Times"/>
          <w:kern w:val="28"/>
        </w:rPr>
        <w:t xml:space="preserve">IT IS FURTHER ORDERED that the </w:t>
      </w:r>
      <w:r w:rsidR="005718C3" w:rsidRPr="00472DB8">
        <w:rPr>
          <w:rFonts w:ascii="Times" w:hAnsi="Times" w:cs="Times"/>
          <w:kern w:val="28"/>
        </w:rPr>
        <w:t>Petition for Partial Reconsideration, filed by REC Networks;</w:t>
      </w:r>
      <w:r w:rsidRPr="00472DB8">
        <w:rPr>
          <w:rFonts w:ascii="Times" w:hAnsi="Times" w:cs="Times"/>
          <w:kern w:val="28"/>
        </w:rPr>
        <w:t xml:space="preserve"> </w:t>
      </w:r>
      <w:r w:rsidR="005718C3" w:rsidRPr="00472DB8">
        <w:rPr>
          <w:rFonts w:ascii="Times" w:hAnsi="Times" w:cs="Times"/>
          <w:kern w:val="28"/>
        </w:rPr>
        <w:t>the Petition for Reconsideration of Fifth Order on Reconsideration and Sixth Report and Order, filed by Michael Couzens and Alan Korn; the Petition for Reconsideration of Fifth Order on Reconsideration and Sixth Report and Order, filed by LifeTalk Radio, Inc.;</w:t>
      </w:r>
      <w:r w:rsidR="00533D91" w:rsidRPr="00472DB8">
        <w:rPr>
          <w:rFonts w:ascii="Times" w:hAnsi="Times" w:cs="Times"/>
          <w:kern w:val="28"/>
        </w:rPr>
        <w:t xml:space="preserve"> </w:t>
      </w:r>
      <w:r w:rsidR="005718C3" w:rsidRPr="00472DB8">
        <w:rPr>
          <w:rFonts w:ascii="Times" w:hAnsi="Times" w:cs="Times"/>
          <w:kern w:val="28"/>
        </w:rPr>
        <w:t xml:space="preserve">and the Petition for Reconsideration, </w:t>
      </w:r>
      <w:r w:rsidRPr="00472DB8">
        <w:rPr>
          <w:rFonts w:ascii="Times" w:hAnsi="Times" w:cs="Times"/>
          <w:kern w:val="28"/>
        </w:rPr>
        <w:t xml:space="preserve">filed by </w:t>
      </w:r>
      <w:r w:rsidR="005718C3" w:rsidRPr="00472DB8">
        <w:rPr>
          <w:rFonts w:ascii="Times" w:hAnsi="Times" w:cs="Times"/>
          <w:kern w:val="28"/>
        </w:rPr>
        <w:t xml:space="preserve">Let the Cities In!! </w:t>
      </w:r>
      <w:r w:rsidRPr="00472DB8">
        <w:rPr>
          <w:rFonts w:ascii="Times" w:hAnsi="Times" w:cs="Times"/>
          <w:kern w:val="28"/>
        </w:rPr>
        <w:t xml:space="preserve">ARE DENIED.  IT IS FURTHER ORDERED that the Petition for Reconsideration, filed by </w:t>
      </w:r>
      <w:r w:rsidR="00A05B12" w:rsidRPr="00472DB8">
        <w:rPr>
          <w:rFonts w:ascii="Times" w:hAnsi="Times" w:cs="Times"/>
          <w:kern w:val="28"/>
        </w:rPr>
        <w:t>Prometheus Radio Project</w:t>
      </w:r>
      <w:r w:rsidRPr="00472DB8">
        <w:rPr>
          <w:rFonts w:ascii="Times" w:hAnsi="Times" w:cs="Times"/>
          <w:kern w:val="28"/>
        </w:rPr>
        <w:t xml:space="preserve">, </w:t>
      </w:r>
      <w:r w:rsidR="005718C3" w:rsidRPr="00472DB8">
        <w:rPr>
          <w:rFonts w:ascii="Times" w:hAnsi="Times" w:cs="Times"/>
          <w:kern w:val="28"/>
        </w:rPr>
        <w:t>IS</w:t>
      </w:r>
      <w:r w:rsidRPr="00472DB8">
        <w:rPr>
          <w:rFonts w:ascii="Times" w:hAnsi="Times" w:cs="Times"/>
          <w:kern w:val="28"/>
        </w:rPr>
        <w:t xml:space="preserve"> GRANTED IN PART AND DENIED IN PART</w:t>
      </w:r>
      <w:r w:rsidR="00715809" w:rsidRPr="00472DB8">
        <w:rPr>
          <w:rFonts w:ascii="Times" w:hAnsi="Times" w:cs="Times"/>
          <w:kern w:val="28"/>
        </w:rPr>
        <w:t>, to the extent discussed herein</w:t>
      </w:r>
      <w:r w:rsidRPr="00472DB8">
        <w:rPr>
          <w:rFonts w:ascii="Times" w:hAnsi="Times" w:cs="Times"/>
          <w:kern w:val="28"/>
        </w:rPr>
        <w:t>.</w:t>
      </w:r>
    </w:p>
    <w:p w14:paraId="3DA23F12" w14:textId="77777777" w:rsidR="005137AC" w:rsidRPr="00472DB8" w:rsidRDefault="005137AC" w:rsidP="00E75380">
      <w:pPr>
        <w:pStyle w:val="ListParagraph"/>
        <w:jc w:val="left"/>
        <w:rPr>
          <w:rFonts w:ascii="Times" w:hAnsi="Times" w:cs="Times"/>
          <w:kern w:val="28"/>
        </w:rPr>
      </w:pPr>
    </w:p>
    <w:p w14:paraId="145A59A7" w14:textId="77777777" w:rsidR="005137AC" w:rsidRPr="00472DB8" w:rsidRDefault="005137AC" w:rsidP="00E75380">
      <w:pPr>
        <w:pStyle w:val="ParaNum"/>
        <w:keepNext/>
        <w:keepLines/>
        <w:widowControl/>
        <w:numPr>
          <w:ilvl w:val="0"/>
          <w:numId w:val="16"/>
        </w:numPr>
        <w:suppressLineNumbers/>
        <w:suppressAutoHyphens/>
        <w:ind w:left="0"/>
        <w:jc w:val="left"/>
        <w:rPr>
          <w:rFonts w:ascii="Times" w:hAnsi="Times" w:cs="Times"/>
          <w:szCs w:val="22"/>
        </w:rPr>
      </w:pPr>
      <w:r w:rsidRPr="00472DB8">
        <w:rPr>
          <w:rFonts w:ascii="Times" w:hAnsi="Times" w:cs="Times"/>
          <w:szCs w:val="22"/>
        </w:rPr>
        <w:t>IT IS FURTHER ORDERED that the Commission’s Consumer and Governmental Affairs Bureau, Reference Information Center, SHALL SEND a copy of this Sixth Report and Order, including the Final Regulatory Flexibility Analysis, to the Chief Counsel for Advocacy of the Small Business Administration.</w:t>
      </w:r>
    </w:p>
    <w:p w14:paraId="692E136A" w14:textId="77777777" w:rsidR="00146FB0" w:rsidRPr="00472DB8" w:rsidRDefault="00146FB0" w:rsidP="00831EC9">
      <w:pPr>
        <w:keepNext/>
        <w:keepLines/>
        <w:tabs>
          <w:tab w:val="left" w:pos="720"/>
          <w:tab w:val="left" w:pos="1430"/>
          <w:tab w:val="left" w:pos="4680"/>
        </w:tabs>
        <w:rPr>
          <w:rFonts w:ascii="Times" w:hAnsi="Times" w:cs="Times"/>
          <w:kern w:val="28"/>
        </w:rPr>
      </w:pPr>
    </w:p>
    <w:p w14:paraId="27ABA8BE" w14:textId="77777777" w:rsidR="002243FB" w:rsidRPr="00472DB8" w:rsidRDefault="002243FB" w:rsidP="00831EC9">
      <w:pPr>
        <w:keepNext/>
        <w:keepLines/>
        <w:tabs>
          <w:tab w:val="left" w:pos="720"/>
          <w:tab w:val="left" w:pos="1430"/>
          <w:tab w:val="left" w:pos="4680"/>
        </w:tabs>
        <w:rPr>
          <w:rFonts w:ascii="Times" w:hAnsi="Times" w:cs="Times"/>
          <w:kern w:val="28"/>
        </w:rPr>
      </w:pPr>
    </w:p>
    <w:p w14:paraId="7F7555B0" w14:textId="77777777" w:rsidR="00146FB0" w:rsidRPr="00472DB8" w:rsidRDefault="00146FB0" w:rsidP="00831EC9">
      <w:pPr>
        <w:keepNext/>
        <w:keepLines/>
        <w:suppressAutoHyphens/>
        <w:ind w:left="3600"/>
        <w:jc w:val="left"/>
        <w:rPr>
          <w:rFonts w:ascii="Times" w:hAnsi="Times" w:cs="Times"/>
        </w:rPr>
      </w:pPr>
      <w:r w:rsidRPr="00472DB8">
        <w:rPr>
          <w:rFonts w:ascii="Times" w:hAnsi="Times" w:cs="Times"/>
        </w:rPr>
        <w:t>FEDERAL COMMUNICATIONS</w:t>
      </w:r>
      <w:r w:rsidR="00043275" w:rsidRPr="00472DB8">
        <w:rPr>
          <w:rFonts w:ascii="Times" w:hAnsi="Times" w:cs="Times"/>
        </w:rPr>
        <w:t xml:space="preserve"> </w:t>
      </w:r>
      <w:r w:rsidRPr="00472DB8">
        <w:rPr>
          <w:rFonts w:ascii="Times" w:hAnsi="Times" w:cs="Times"/>
        </w:rPr>
        <w:t>COMMISSION</w:t>
      </w:r>
    </w:p>
    <w:p w14:paraId="53654AE1" w14:textId="77777777" w:rsidR="00146FB0" w:rsidRPr="00472DB8" w:rsidRDefault="00146FB0" w:rsidP="00831EC9">
      <w:pPr>
        <w:keepNext/>
        <w:keepLines/>
        <w:tabs>
          <w:tab w:val="left" w:pos="0"/>
        </w:tabs>
        <w:suppressAutoHyphens/>
        <w:ind w:left="4320" w:firstLine="990"/>
        <w:rPr>
          <w:rFonts w:ascii="Times" w:hAnsi="Times" w:cs="Times"/>
        </w:rPr>
      </w:pPr>
    </w:p>
    <w:p w14:paraId="152EF25A" w14:textId="77777777" w:rsidR="00533D91" w:rsidRPr="00472DB8" w:rsidRDefault="00533D91" w:rsidP="00831EC9">
      <w:pPr>
        <w:keepNext/>
        <w:keepLines/>
        <w:tabs>
          <w:tab w:val="left" w:pos="0"/>
        </w:tabs>
        <w:suppressAutoHyphens/>
        <w:ind w:left="4320" w:firstLine="990"/>
        <w:rPr>
          <w:rFonts w:ascii="Times" w:hAnsi="Times" w:cs="Times"/>
        </w:rPr>
      </w:pPr>
    </w:p>
    <w:p w14:paraId="451415FA" w14:textId="77777777" w:rsidR="00533D91" w:rsidRPr="00472DB8" w:rsidRDefault="00533D91" w:rsidP="00831EC9">
      <w:pPr>
        <w:keepNext/>
        <w:keepLines/>
        <w:tabs>
          <w:tab w:val="left" w:pos="0"/>
        </w:tabs>
        <w:suppressAutoHyphens/>
        <w:ind w:left="4320" w:firstLine="990"/>
        <w:rPr>
          <w:rFonts w:ascii="Times" w:hAnsi="Times" w:cs="Times"/>
        </w:rPr>
      </w:pPr>
    </w:p>
    <w:p w14:paraId="2E9BE2E6" w14:textId="77777777" w:rsidR="00533D91" w:rsidRPr="00472DB8" w:rsidRDefault="00533D91" w:rsidP="00831EC9">
      <w:pPr>
        <w:keepNext/>
        <w:keepLines/>
        <w:tabs>
          <w:tab w:val="left" w:pos="0"/>
        </w:tabs>
        <w:suppressAutoHyphens/>
        <w:ind w:left="4320" w:firstLine="990"/>
        <w:rPr>
          <w:rFonts w:ascii="Times" w:hAnsi="Times" w:cs="Times"/>
        </w:rPr>
      </w:pPr>
    </w:p>
    <w:p w14:paraId="6FF68303" w14:textId="77777777" w:rsidR="00146FB0" w:rsidRPr="00472DB8" w:rsidRDefault="00146FB0" w:rsidP="00831EC9">
      <w:pPr>
        <w:keepNext/>
        <w:keepLines/>
        <w:suppressAutoHyphens/>
        <w:ind w:left="3600"/>
        <w:rPr>
          <w:rFonts w:ascii="Times" w:hAnsi="Times" w:cs="Times"/>
        </w:rPr>
      </w:pPr>
      <w:r w:rsidRPr="00472DB8">
        <w:rPr>
          <w:rFonts w:ascii="Times" w:hAnsi="Times" w:cs="Times"/>
        </w:rPr>
        <w:t xml:space="preserve">Marlene H. Dortch  </w:t>
      </w:r>
    </w:p>
    <w:p w14:paraId="5F0CEBCB" w14:textId="77777777" w:rsidR="00146FB0" w:rsidRPr="00472DB8" w:rsidRDefault="00B548FC" w:rsidP="00831EC9">
      <w:pPr>
        <w:keepNext/>
        <w:keepLines/>
        <w:tabs>
          <w:tab w:val="left" w:pos="4320"/>
        </w:tabs>
        <w:suppressAutoHyphens/>
        <w:ind w:firstLine="0"/>
        <w:rPr>
          <w:rFonts w:ascii="Times" w:hAnsi="Times" w:cs="Times"/>
        </w:rPr>
      </w:pPr>
      <w:r w:rsidRPr="00472DB8">
        <w:rPr>
          <w:rFonts w:ascii="Times" w:hAnsi="Times" w:cs="Times"/>
        </w:rPr>
        <w:tab/>
      </w:r>
      <w:r w:rsidR="00146FB0" w:rsidRPr="00472DB8">
        <w:rPr>
          <w:rFonts w:ascii="Times" w:hAnsi="Times" w:cs="Times"/>
        </w:rPr>
        <w:t>Secretary</w:t>
      </w:r>
    </w:p>
    <w:p w14:paraId="6AADA742" w14:textId="77777777" w:rsidR="003B634D" w:rsidRPr="00472DB8" w:rsidRDefault="003B634D" w:rsidP="00831EC9">
      <w:pPr>
        <w:ind w:firstLine="0"/>
        <w:rPr>
          <w:rFonts w:ascii="Times" w:hAnsi="Times" w:cs="Times"/>
          <w:sz w:val="20"/>
          <w:szCs w:val="20"/>
        </w:rPr>
      </w:pPr>
      <w:r w:rsidRPr="00472DB8">
        <w:rPr>
          <w:rFonts w:ascii="Times" w:hAnsi="Times" w:cs="Times"/>
          <w:sz w:val="20"/>
          <w:szCs w:val="20"/>
        </w:rPr>
        <w:br w:type="page"/>
      </w:r>
    </w:p>
    <w:p w14:paraId="22F6848B" w14:textId="77777777" w:rsidR="003B634D" w:rsidRPr="00472DB8" w:rsidRDefault="003B634D" w:rsidP="003B634D">
      <w:pPr>
        <w:pStyle w:val="ParaNum"/>
        <w:widowControl/>
        <w:numPr>
          <w:ilvl w:val="0"/>
          <w:numId w:val="0"/>
        </w:numPr>
        <w:spacing w:after="0"/>
        <w:jc w:val="center"/>
        <w:rPr>
          <w:rFonts w:ascii="Times" w:hAnsi="Times" w:cs="Times"/>
          <w:b/>
        </w:rPr>
      </w:pPr>
      <w:r w:rsidRPr="00472DB8">
        <w:rPr>
          <w:rFonts w:ascii="Times" w:hAnsi="Times" w:cs="Times"/>
          <w:b/>
        </w:rPr>
        <w:t>APPENDIX</w:t>
      </w:r>
      <w:r w:rsidR="00F92FB2" w:rsidRPr="00472DB8">
        <w:rPr>
          <w:rFonts w:ascii="Times" w:hAnsi="Times" w:cs="Times"/>
          <w:b/>
        </w:rPr>
        <w:t xml:space="preserve"> A</w:t>
      </w:r>
    </w:p>
    <w:p w14:paraId="66477BBF" w14:textId="77777777" w:rsidR="003B634D" w:rsidRPr="00472DB8" w:rsidRDefault="003B634D" w:rsidP="003B634D">
      <w:pPr>
        <w:pStyle w:val="ParaNum"/>
        <w:widowControl/>
        <w:numPr>
          <w:ilvl w:val="0"/>
          <w:numId w:val="0"/>
        </w:numPr>
        <w:spacing w:after="0"/>
        <w:rPr>
          <w:rFonts w:ascii="Times" w:hAnsi="Times" w:cs="Times"/>
          <w:b/>
        </w:rPr>
      </w:pPr>
    </w:p>
    <w:p w14:paraId="5F633184" w14:textId="77777777" w:rsidR="003B634D" w:rsidRPr="00472DB8" w:rsidRDefault="003B634D" w:rsidP="003B634D">
      <w:pPr>
        <w:pStyle w:val="ParaNum"/>
        <w:widowControl/>
        <w:numPr>
          <w:ilvl w:val="0"/>
          <w:numId w:val="0"/>
        </w:numPr>
        <w:spacing w:after="0"/>
        <w:jc w:val="center"/>
        <w:rPr>
          <w:rFonts w:ascii="Times" w:hAnsi="Times" w:cs="Times"/>
        </w:rPr>
      </w:pPr>
      <w:r w:rsidRPr="00472DB8">
        <w:rPr>
          <w:rFonts w:ascii="Times" w:hAnsi="Times" w:cs="Times"/>
          <w:b/>
        </w:rPr>
        <w:t>Parties Filing Petitions for Reconsideration, Oppositions, and Replies</w:t>
      </w:r>
    </w:p>
    <w:p w14:paraId="7B6F7AB4" w14:textId="77777777" w:rsidR="003B634D" w:rsidRPr="00472DB8" w:rsidRDefault="003B634D" w:rsidP="003B634D">
      <w:pPr>
        <w:pStyle w:val="ParaNum"/>
        <w:widowControl/>
        <w:numPr>
          <w:ilvl w:val="0"/>
          <w:numId w:val="0"/>
        </w:numPr>
        <w:spacing w:after="0"/>
        <w:jc w:val="center"/>
        <w:rPr>
          <w:rFonts w:ascii="Times" w:hAnsi="Times" w:cs="Times"/>
        </w:rPr>
      </w:pPr>
    </w:p>
    <w:p w14:paraId="7EC33EDA" w14:textId="77777777" w:rsidR="003B634D" w:rsidRPr="00472DB8" w:rsidRDefault="003B634D" w:rsidP="003B634D">
      <w:pPr>
        <w:pStyle w:val="ParaNum"/>
        <w:widowControl/>
        <w:numPr>
          <w:ilvl w:val="0"/>
          <w:numId w:val="0"/>
        </w:numPr>
        <w:spacing w:after="0"/>
        <w:jc w:val="center"/>
        <w:rPr>
          <w:rFonts w:ascii="Times" w:hAnsi="Times" w:cs="Times"/>
        </w:rPr>
      </w:pPr>
    </w:p>
    <w:p w14:paraId="234F2DF4" w14:textId="77777777" w:rsidR="003B634D" w:rsidRPr="00472DB8" w:rsidRDefault="003B634D" w:rsidP="003B634D">
      <w:pPr>
        <w:pStyle w:val="ParaNum"/>
        <w:widowControl/>
        <w:numPr>
          <w:ilvl w:val="0"/>
          <w:numId w:val="0"/>
        </w:numPr>
        <w:spacing w:after="0"/>
        <w:rPr>
          <w:rFonts w:ascii="Times" w:hAnsi="Times" w:cs="Times"/>
          <w:b/>
        </w:rPr>
      </w:pPr>
      <w:r w:rsidRPr="00472DB8">
        <w:rPr>
          <w:rFonts w:ascii="Times" w:hAnsi="Times" w:cs="Times"/>
          <w:b/>
        </w:rPr>
        <w:t>Parties Filing Petitions for Reconsideration or Partial Reconsideration</w:t>
      </w:r>
    </w:p>
    <w:p w14:paraId="2FA2ADC0" w14:textId="77777777" w:rsidR="003B634D" w:rsidRPr="00472DB8" w:rsidRDefault="003B634D" w:rsidP="003B634D">
      <w:pPr>
        <w:pStyle w:val="ParaNum"/>
        <w:widowControl/>
        <w:numPr>
          <w:ilvl w:val="0"/>
          <w:numId w:val="0"/>
        </w:numPr>
        <w:spacing w:after="0"/>
        <w:rPr>
          <w:rFonts w:ascii="Times" w:hAnsi="Times" w:cs="Times"/>
        </w:rPr>
      </w:pPr>
    </w:p>
    <w:p w14:paraId="0EF07CDD" w14:textId="77777777" w:rsidR="003B634D" w:rsidRPr="00472DB8" w:rsidRDefault="00EC7D15" w:rsidP="003B634D">
      <w:pPr>
        <w:pStyle w:val="ParaNum"/>
        <w:widowControl/>
        <w:numPr>
          <w:ilvl w:val="0"/>
          <w:numId w:val="0"/>
        </w:numPr>
        <w:spacing w:after="0"/>
        <w:rPr>
          <w:rFonts w:ascii="Times" w:hAnsi="Times" w:cs="Times"/>
        </w:rPr>
      </w:pPr>
      <w:r w:rsidRPr="00472DB8">
        <w:rPr>
          <w:rFonts w:ascii="Times" w:hAnsi="Times" w:cs="Times"/>
        </w:rPr>
        <w:t>REC Networks</w:t>
      </w:r>
    </w:p>
    <w:p w14:paraId="3AF2E328" w14:textId="77777777" w:rsidR="00EC7D15" w:rsidRPr="00472DB8" w:rsidRDefault="00EC7D15" w:rsidP="003B634D">
      <w:pPr>
        <w:pStyle w:val="ParaNum"/>
        <w:widowControl/>
        <w:numPr>
          <w:ilvl w:val="0"/>
          <w:numId w:val="0"/>
        </w:numPr>
        <w:spacing w:after="0"/>
        <w:rPr>
          <w:rFonts w:ascii="Times" w:hAnsi="Times" w:cs="Times"/>
        </w:rPr>
      </w:pPr>
      <w:r w:rsidRPr="00472DB8">
        <w:rPr>
          <w:rFonts w:ascii="Times" w:hAnsi="Times" w:cs="Times"/>
        </w:rPr>
        <w:t>Prometheus Radio Project</w:t>
      </w:r>
    </w:p>
    <w:p w14:paraId="13014A34" w14:textId="77777777" w:rsidR="00EC7D15" w:rsidRPr="00472DB8" w:rsidRDefault="00EC7D15" w:rsidP="003B634D">
      <w:pPr>
        <w:pStyle w:val="ParaNum"/>
        <w:widowControl/>
        <w:numPr>
          <w:ilvl w:val="0"/>
          <w:numId w:val="0"/>
        </w:numPr>
        <w:spacing w:after="0"/>
        <w:rPr>
          <w:rFonts w:ascii="Times" w:hAnsi="Times" w:cs="Times"/>
        </w:rPr>
      </w:pPr>
      <w:r w:rsidRPr="00472DB8">
        <w:rPr>
          <w:rFonts w:ascii="Times" w:hAnsi="Times" w:cs="Times"/>
        </w:rPr>
        <w:t>Let the Cities In!!</w:t>
      </w:r>
    </w:p>
    <w:p w14:paraId="33886A1C" w14:textId="018E3AA4" w:rsidR="00EC7D15" w:rsidRPr="00472DB8" w:rsidRDefault="00EC7D15" w:rsidP="003B634D">
      <w:pPr>
        <w:pStyle w:val="ParaNum"/>
        <w:widowControl/>
        <w:numPr>
          <w:ilvl w:val="0"/>
          <w:numId w:val="0"/>
        </w:numPr>
        <w:spacing w:after="0"/>
        <w:rPr>
          <w:rFonts w:ascii="Times" w:hAnsi="Times" w:cs="Times"/>
        </w:rPr>
      </w:pPr>
      <w:r w:rsidRPr="00472DB8">
        <w:rPr>
          <w:rFonts w:ascii="Times" w:hAnsi="Times" w:cs="Times"/>
        </w:rPr>
        <w:t>LifeTalk Radio</w:t>
      </w:r>
      <w:r w:rsidR="00FE3D30" w:rsidRPr="00472DB8">
        <w:rPr>
          <w:rFonts w:ascii="Times" w:hAnsi="Times" w:cs="Times"/>
        </w:rPr>
        <w:t>, Inc.</w:t>
      </w:r>
    </w:p>
    <w:p w14:paraId="135B7703" w14:textId="77777777" w:rsidR="00EC7D15" w:rsidRPr="00472DB8" w:rsidRDefault="00EC7D15" w:rsidP="003B634D">
      <w:pPr>
        <w:pStyle w:val="ParaNum"/>
        <w:widowControl/>
        <w:numPr>
          <w:ilvl w:val="0"/>
          <w:numId w:val="0"/>
        </w:numPr>
        <w:spacing w:after="0"/>
        <w:rPr>
          <w:rFonts w:ascii="Times" w:hAnsi="Times" w:cs="Times"/>
          <w:szCs w:val="22"/>
        </w:rPr>
      </w:pPr>
      <w:r w:rsidRPr="00472DB8">
        <w:rPr>
          <w:rFonts w:ascii="Times" w:hAnsi="Times" w:cs="Times"/>
        </w:rPr>
        <w:t>Michael Couzens and Alan Korn</w:t>
      </w:r>
    </w:p>
    <w:p w14:paraId="36F16277" w14:textId="77777777" w:rsidR="00E026A6" w:rsidRPr="00472DB8" w:rsidRDefault="00E026A6" w:rsidP="007626E1">
      <w:pPr>
        <w:ind w:firstLine="0"/>
        <w:rPr>
          <w:rFonts w:ascii="Times" w:hAnsi="Times" w:cs="Times"/>
        </w:rPr>
      </w:pPr>
    </w:p>
    <w:p w14:paraId="655B47CB" w14:textId="77777777" w:rsidR="003B634D" w:rsidRPr="00472DB8" w:rsidRDefault="003B634D" w:rsidP="007626E1">
      <w:pPr>
        <w:ind w:firstLine="0"/>
        <w:rPr>
          <w:rFonts w:ascii="Times" w:hAnsi="Times" w:cs="Times"/>
          <w:b/>
        </w:rPr>
      </w:pPr>
      <w:r w:rsidRPr="00472DB8">
        <w:rPr>
          <w:rFonts w:ascii="Times" w:hAnsi="Times" w:cs="Times"/>
          <w:b/>
        </w:rPr>
        <w:t>Parties Filing Oppositions to Petitions</w:t>
      </w:r>
    </w:p>
    <w:p w14:paraId="79DE2B68" w14:textId="77777777" w:rsidR="003B634D" w:rsidRPr="00472DB8" w:rsidRDefault="003B634D">
      <w:pPr>
        <w:rPr>
          <w:rFonts w:ascii="Times" w:hAnsi="Times" w:cs="Times"/>
        </w:rPr>
      </w:pPr>
    </w:p>
    <w:p w14:paraId="5B342DDD" w14:textId="77777777" w:rsidR="003B634D" w:rsidRPr="00472DB8" w:rsidRDefault="00EC7D15" w:rsidP="007626E1">
      <w:pPr>
        <w:ind w:firstLine="0"/>
        <w:rPr>
          <w:rFonts w:ascii="Times" w:hAnsi="Times" w:cs="Times"/>
        </w:rPr>
      </w:pPr>
      <w:r w:rsidRPr="00472DB8">
        <w:rPr>
          <w:rFonts w:ascii="Times" w:hAnsi="Times" w:cs="Times"/>
        </w:rPr>
        <w:t>National Association of Broadcasters</w:t>
      </w:r>
    </w:p>
    <w:p w14:paraId="7BD06580" w14:textId="77777777" w:rsidR="00EC7D15" w:rsidRPr="00472DB8" w:rsidRDefault="00EC7D15" w:rsidP="007626E1">
      <w:pPr>
        <w:ind w:firstLine="0"/>
        <w:rPr>
          <w:rFonts w:ascii="Times" w:hAnsi="Times" w:cs="Times"/>
        </w:rPr>
      </w:pPr>
      <w:r w:rsidRPr="00472DB8">
        <w:rPr>
          <w:rFonts w:ascii="Times" w:hAnsi="Times" w:cs="Times"/>
        </w:rPr>
        <w:t>Amherst Alliance</w:t>
      </w:r>
    </w:p>
    <w:p w14:paraId="04D2E720" w14:textId="77777777" w:rsidR="00EC7D15" w:rsidRPr="00472DB8" w:rsidRDefault="00EC7D15" w:rsidP="007626E1">
      <w:pPr>
        <w:ind w:firstLine="0"/>
        <w:rPr>
          <w:rFonts w:ascii="Times" w:hAnsi="Times" w:cs="Times"/>
        </w:rPr>
      </w:pPr>
      <w:r w:rsidRPr="00472DB8">
        <w:rPr>
          <w:rFonts w:ascii="Times" w:hAnsi="Times" w:cs="Times"/>
        </w:rPr>
        <w:t>Prometheus Radio Project</w:t>
      </w:r>
    </w:p>
    <w:p w14:paraId="29F96169" w14:textId="77777777" w:rsidR="00EC7D15" w:rsidRPr="00472DB8" w:rsidRDefault="00EC7D15" w:rsidP="007626E1">
      <w:pPr>
        <w:ind w:firstLine="0"/>
        <w:rPr>
          <w:rFonts w:ascii="Times" w:hAnsi="Times" w:cs="Times"/>
        </w:rPr>
      </w:pPr>
      <w:r w:rsidRPr="00472DB8">
        <w:rPr>
          <w:rFonts w:ascii="Times" w:hAnsi="Times" w:cs="Times"/>
        </w:rPr>
        <w:t>National Translator Association (Reply Comments)</w:t>
      </w:r>
    </w:p>
    <w:p w14:paraId="5F1AC81E" w14:textId="77777777" w:rsidR="00EC7D15" w:rsidRPr="00472DB8" w:rsidRDefault="00EC7D15" w:rsidP="007626E1">
      <w:pPr>
        <w:ind w:firstLine="0"/>
        <w:rPr>
          <w:rFonts w:ascii="Times" w:hAnsi="Times" w:cs="Times"/>
        </w:rPr>
      </w:pPr>
      <w:r w:rsidRPr="00472DB8">
        <w:rPr>
          <w:rFonts w:ascii="Times" w:hAnsi="Times" w:cs="Times"/>
        </w:rPr>
        <w:t>National Public Radio, Inc. (Comments)</w:t>
      </w:r>
    </w:p>
    <w:p w14:paraId="217C11F9" w14:textId="77777777" w:rsidR="003B634D" w:rsidRPr="00472DB8" w:rsidRDefault="003B634D" w:rsidP="007626E1">
      <w:pPr>
        <w:ind w:firstLine="0"/>
        <w:rPr>
          <w:rFonts w:ascii="Times" w:hAnsi="Times" w:cs="Times"/>
        </w:rPr>
      </w:pPr>
      <w:r w:rsidRPr="00472DB8">
        <w:rPr>
          <w:rFonts w:ascii="Times" w:hAnsi="Times" w:cs="Times"/>
        </w:rPr>
        <w:t xml:space="preserve">Educational Media Foundation </w:t>
      </w:r>
      <w:r w:rsidR="00EC7D15" w:rsidRPr="00472DB8">
        <w:rPr>
          <w:rFonts w:ascii="Times" w:hAnsi="Times" w:cs="Times"/>
        </w:rPr>
        <w:t>(Comments)</w:t>
      </w:r>
    </w:p>
    <w:p w14:paraId="2FCA4697" w14:textId="77777777" w:rsidR="00EC7D15" w:rsidRPr="00472DB8" w:rsidRDefault="00EC7D15" w:rsidP="00EC7D15">
      <w:pPr>
        <w:pStyle w:val="ParaNum"/>
        <w:widowControl/>
        <w:numPr>
          <w:ilvl w:val="0"/>
          <w:numId w:val="0"/>
        </w:numPr>
        <w:spacing w:after="0"/>
        <w:rPr>
          <w:rFonts w:ascii="Times" w:hAnsi="Times" w:cs="Times"/>
        </w:rPr>
      </w:pPr>
      <w:r w:rsidRPr="00472DB8">
        <w:rPr>
          <w:rFonts w:ascii="Times" w:hAnsi="Times" w:cs="Times"/>
        </w:rPr>
        <w:t>REC Networks (Comments)</w:t>
      </w:r>
    </w:p>
    <w:p w14:paraId="7E02CD1E" w14:textId="77777777" w:rsidR="00EC7D15" w:rsidRPr="00472DB8" w:rsidRDefault="00EC7D15" w:rsidP="00EC7D15">
      <w:pPr>
        <w:pStyle w:val="ParaNum"/>
        <w:widowControl/>
        <w:numPr>
          <w:ilvl w:val="0"/>
          <w:numId w:val="0"/>
        </w:numPr>
        <w:spacing w:after="0"/>
        <w:rPr>
          <w:rFonts w:ascii="Times" w:hAnsi="Times" w:cs="Times"/>
        </w:rPr>
      </w:pPr>
      <w:r w:rsidRPr="00472DB8">
        <w:rPr>
          <w:rFonts w:ascii="Times" w:hAnsi="Times" w:cs="Times"/>
        </w:rPr>
        <w:t>Nickolaus E. Leggett (Reply Comments)</w:t>
      </w:r>
    </w:p>
    <w:p w14:paraId="4C83F5ED" w14:textId="77777777" w:rsidR="00EC7D15" w:rsidRPr="00472DB8" w:rsidRDefault="00EC7D15" w:rsidP="00EC7D15">
      <w:pPr>
        <w:pStyle w:val="ParaNum"/>
        <w:widowControl/>
        <w:numPr>
          <w:ilvl w:val="0"/>
          <w:numId w:val="0"/>
        </w:numPr>
        <w:spacing w:after="0"/>
        <w:rPr>
          <w:rFonts w:ascii="Times" w:hAnsi="Times" w:cs="Times"/>
        </w:rPr>
      </w:pPr>
      <w:r w:rsidRPr="00472DB8">
        <w:rPr>
          <w:rFonts w:ascii="Times" w:hAnsi="Times" w:cs="Times"/>
        </w:rPr>
        <w:t>Common Frequency (Reply Comments)</w:t>
      </w:r>
    </w:p>
    <w:p w14:paraId="7D7E7304" w14:textId="77777777" w:rsidR="00EC7D15" w:rsidRPr="00472DB8" w:rsidRDefault="00EC7D15" w:rsidP="00EC7D15">
      <w:pPr>
        <w:pStyle w:val="ParaNum"/>
        <w:widowControl/>
        <w:numPr>
          <w:ilvl w:val="0"/>
          <w:numId w:val="0"/>
        </w:numPr>
        <w:spacing w:after="0"/>
        <w:rPr>
          <w:rFonts w:ascii="Times" w:hAnsi="Times" w:cs="Times"/>
        </w:rPr>
      </w:pPr>
      <w:r w:rsidRPr="00472DB8">
        <w:rPr>
          <w:rFonts w:ascii="Times" w:hAnsi="Times" w:cs="Times"/>
        </w:rPr>
        <w:t>Media Alliance (In Support of Petitions for Reconsideration)</w:t>
      </w:r>
    </w:p>
    <w:p w14:paraId="770F4C32" w14:textId="63725239" w:rsidR="00EC7D15" w:rsidRPr="00472DB8" w:rsidRDefault="00EC7D15" w:rsidP="00EC7D15">
      <w:pPr>
        <w:pStyle w:val="ParaNum"/>
        <w:widowControl/>
        <w:numPr>
          <w:ilvl w:val="0"/>
          <w:numId w:val="0"/>
        </w:numPr>
        <w:spacing w:after="0"/>
        <w:rPr>
          <w:rFonts w:ascii="Times" w:hAnsi="Times" w:cs="Times"/>
        </w:rPr>
      </w:pPr>
      <w:r w:rsidRPr="00472DB8">
        <w:rPr>
          <w:rFonts w:ascii="Times" w:hAnsi="Times" w:cs="Times"/>
        </w:rPr>
        <w:t>Public Media of New England, Inc. (</w:t>
      </w:r>
      <w:r w:rsidR="000A68CA" w:rsidRPr="00472DB8">
        <w:rPr>
          <w:rFonts w:ascii="Times" w:hAnsi="Times" w:cs="Times"/>
        </w:rPr>
        <w:t>d/b/a</w:t>
      </w:r>
      <w:r w:rsidRPr="00472DB8">
        <w:rPr>
          <w:rFonts w:ascii="Times" w:hAnsi="Times" w:cs="Times"/>
        </w:rPr>
        <w:t xml:space="preserve"> WHAV) of Massachusetts (Reply Comments)</w:t>
      </w:r>
    </w:p>
    <w:p w14:paraId="20EB2229" w14:textId="77777777" w:rsidR="00EC7D15" w:rsidRPr="00472DB8" w:rsidRDefault="00EC7D15" w:rsidP="00EC7D15">
      <w:pPr>
        <w:pStyle w:val="ParaNum"/>
        <w:widowControl/>
        <w:numPr>
          <w:ilvl w:val="0"/>
          <w:numId w:val="0"/>
        </w:numPr>
        <w:spacing w:after="0"/>
        <w:rPr>
          <w:rFonts w:ascii="Times" w:hAnsi="Times" w:cs="Times"/>
        </w:rPr>
      </w:pPr>
      <w:r w:rsidRPr="00472DB8">
        <w:rPr>
          <w:rFonts w:ascii="Times" w:hAnsi="Times" w:cs="Times"/>
        </w:rPr>
        <w:t>Don Schellhardt (Reply Comments)</w:t>
      </w:r>
    </w:p>
    <w:p w14:paraId="778A4C71" w14:textId="77777777" w:rsidR="00EC7D15" w:rsidRPr="00472DB8" w:rsidRDefault="00EC7D15" w:rsidP="00EC7D15">
      <w:pPr>
        <w:pStyle w:val="ParaNum"/>
        <w:widowControl/>
        <w:numPr>
          <w:ilvl w:val="0"/>
          <w:numId w:val="0"/>
        </w:numPr>
        <w:spacing w:after="0"/>
        <w:rPr>
          <w:rFonts w:ascii="Times" w:hAnsi="Times" w:cs="Times"/>
        </w:rPr>
      </w:pPr>
      <w:r w:rsidRPr="00472DB8">
        <w:rPr>
          <w:rFonts w:ascii="Times" w:hAnsi="Times" w:cs="Times"/>
        </w:rPr>
        <w:t>Susan Raybuck (Comment)</w:t>
      </w:r>
    </w:p>
    <w:p w14:paraId="0FA38B2E" w14:textId="77777777" w:rsidR="003B634D" w:rsidRPr="00472DB8" w:rsidRDefault="003B634D">
      <w:pPr>
        <w:rPr>
          <w:rFonts w:ascii="Times" w:hAnsi="Times" w:cs="Times"/>
        </w:rPr>
      </w:pPr>
    </w:p>
    <w:p w14:paraId="101F2E91" w14:textId="77777777" w:rsidR="003B634D" w:rsidRPr="00472DB8" w:rsidRDefault="003B634D" w:rsidP="007626E1">
      <w:pPr>
        <w:ind w:firstLine="0"/>
        <w:rPr>
          <w:rFonts w:ascii="Times" w:hAnsi="Times" w:cs="Times"/>
          <w:b/>
        </w:rPr>
      </w:pPr>
      <w:r w:rsidRPr="00472DB8">
        <w:rPr>
          <w:rFonts w:ascii="Times" w:hAnsi="Times" w:cs="Times"/>
          <w:b/>
        </w:rPr>
        <w:t>Parties Filing Replies</w:t>
      </w:r>
    </w:p>
    <w:p w14:paraId="174A35C3" w14:textId="77777777" w:rsidR="003B634D" w:rsidRPr="00472DB8" w:rsidRDefault="003B634D">
      <w:pPr>
        <w:rPr>
          <w:rFonts w:ascii="Times" w:hAnsi="Times" w:cs="Times"/>
        </w:rPr>
      </w:pPr>
    </w:p>
    <w:p w14:paraId="14FD3F74" w14:textId="77777777" w:rsidR="00A2064B" w:rsidRPr="00472DB8" w:rsidRDefault="00A2064B" w:rsidP="00A2064B">
      <w:pPr>
        <w:pStyle w:val="ParaNum"/>
        <w:widowControl/>
        <w:numPr>
          <w:ilvl w:val="0"/>
          <w:numId w:val="0"/>
        </w:numPr>
        <w:spacing w:after="0"/>
        <w:rPr>
          <w:rFonts w:ascii="Times" w:hAnsi="Times" w:cs="Times"/>
        </w:rPr>
      </w:pPr>
      <w:r w:rsidRPr="00472DB8">
        <w:rPr>
          <w:rFonts w:ascii="Times" w:hAnsi="Times" w:cs="Times"/>
        </w:rPr>
        <w:t>Prometheus Radio Project</w:t>
      </w:r>
    </w:p>
    <w:p w14:paraId="5277EECD" w14:textId="77777777" w:rsidR="00A2064B" w:rsidRPr="00472DB8" w:rsidRDefault="00A2064B" w:rsidP="00A2064B">
      <w:pPr>
        <w:pStyle w:val="ParaNum"/>
        <w:widowControl/>
        <w:numPr>
          <w:ilvl w:val="0"/>
          <w:numId w:val="0"/>
        </w:numPr>
        <w:spacing w:after="0"/>
        <w:rPr>
          <w:rFonts w:ascii="Times" w:hAnsi="Times" w:cs="Times"/>
        </w:rPr>
      </w:pPr>
      <w:r w:rsidRPr="00472DB8">
        <w:rPr>
          <w:rFonts w:ascii="Times" w:hAnsi="Times" w:cs="Times"/>
        </w:rPr>
        <w:t>Let the Cities In!!</w:t>
      </w:r>
    </w:p>
    <w:p w14:paraId="5E110803" w14:textId="77777777" w:rsidR="003B634D" w:rsidRPr="00472DB8" w:rsidRDefault="00A2064B" w:rsidP="007626E1">
      <w:pPr>
        <w:ind w:firstLine="0"/>
        <w:rPr>
          <w:rFonts w:ascii="Times" w:hAnsi="Times" w:cs="Times"/>
        </w:rPr>
      </w:pPr>
      <w:r w:rsidRPr="00472DB8">
        <w:rPr>
          <w:rFonts w:ascii="Times" w:hAnsi="Times" w:cs="Times"/>
        </w:rPr>
        <w:t>Don Schellhardt</w:t>
      </w:r>
    </w:p>
    <w:p w14:paraId="4E6D3740" w14:textId="77777777" w:rsidR="00A2064B" w:rsidRPr="00472DB8" w:rsidRDefault="00A2064B">
      <w:pPr>
        <w:rPr>
          <w:rFonts w:ascii="Times" w:hAnsi="Times" w:cs="Times"/>
        </w:rPr>
      </w:pPr>
    </w:p>
    <w:p w14:paraId="4EED7C20" w14:textId="77777777" w:rsidR="00A2064B" w:rsidRPr="00472DB8" w:rsidRDefault="00A2064B">
      <w:pPr>
        <w:rPr>
          <w:rFonts w:ascii="Times" w:hAnsi="Times" w:cs="Times"/>
        </w:rPr>
      </w:pPr>
    </w:p>
    <w:p w14:paraId="07BFA45B" w14:textId="77777777" w:rsidR="003334C4" w:rsidRPr="00472DB8" w:rsidRDefault="003334C4">
      <w:pPr>
        <w:rPr>
          <w:rFonts w:ascii="Times" w:hAnsi="Times" w:cs="Times"/>
        </w:rPr>
      </w:pPr>
      <w:r w:rsidRPr="00472DB8">
        <w:rPr>
          <w:rFonts w:ascii="Times" w:hAnsi="Times" w:cs="Times"/>
        </w:rPr>
        <w:br w:type="page"/>
      </w:r>
    </w:p>
    <w:p w14:paraId="5E10EA88" w14:textId="77777777" w:rsidR="003334C4" w:rsidRPr="00472DB8" w:rsidRDefault="003334C4" w:rsidP="00043275">
      <w:pPr>
        <w:jc w:val="center"/>
        <w:rPr>
          <w:rFonts w:ascii="Times" w:hAnsi="Times" w:cs="Times"/>
          <w:b/>
        </w:rPr>
      </w:pPr>
      <w:r w:rsidRPr="00472DB8">
        <w:rPr>
          <w:rFonts w:ascii="Times" w:hAnsi="Times" w:cs="Times"/>
          <w:b/>
        </w:rPr>
        <w:t>APPENDIX B</w:t>
      </w:r>
    </w:p>
    <w:p w14:paraId="4A025B71" w14:textId="77777777" w:rsidR="003334C4" w:rsidRPr="00472DB8" w:rsidRDefault="003334C4" w:rsidP="00043275">
      <w:pPr>
        <w:jc w:val="center"/>
        <w:rPr>
          <w:rFonts w:ascii="Times" w:hAnsi="Times" w:cs="Times"/>
          <w:b/>
        </w:rPr>
      </w:pPr>
    </w:p>
    <w:p w14:paraId="577AD770" w14:textId="77777777" w:rsidR="003334C4" w:rsidRPr="00472DB8" w:rsidRDefault="003334C4" w:rsidP="00043275">
      <w:pPr>
        <w:jc w:val="center"/>
        <w:rPr>
          <w:rFonts w:ascii="Times" w:hAnsi="Times" w:cs="Times"/>
          <w:b/>
        </w:rPr>
      </w:pPr>
      <w:r w:rsidRPr="00472DB8">
        <w:rPr>
          <w:rFonts w:ascii="Times" w:hAnsi="Times" w:cs="Times"/>
          <w:b/>
        </w:rPr>
        <w:t>Final Rules</w:t>
      </w:r>
    </w:p>
    <w:p w14:paraId="1EA7D847" w14:textId="77777777" w:rsidR="003334C4" w:rsidRPr="00472DB8" w:rsidRDefault="003334C4" w:rsidP="003334C4">
      <w:pPr>
        <w:rPr>
          <w:rFonts w:ascii="Times" w:hAnsi="Times" w:cs="Times"/>
        </w:rPr>
      </w:pPr>
    </w:p>
    <w:p w14:paraId="2820E78C" w14:textId="77777777" w:rsidR="003B634D" w:rsidRPr="00472DB8" w:rsidRDefault="003334C4" w:rsidP="00B81156">
      <w:pPr>
        <w:ind w:firstLine="0"/>
        <w:rPr>
          <w:rFonts w:ascii="Times" w:hAnsi="Times" w:cs="Times"/>
        </w:rPr>
      </w:pPr>
      <w:r w:rsidRPr="00472DB8">
        <w:rPr>
          <w:rFonts w:ascii="Times" w:hAnsi="Times" w:cs="Times"/>
        </w:rPr>
        <w:t>For the reasons discussed above, the Federal Communications Commission amends Title 47 of the Code of Federal Regulations, Part 73, as follows:</w:t>
      </w:r>
    </w:p>
    <w:p w14:paraId="115FB1D7" w14:textId="77777777" w:rsidR="00A2255C" w:rsidRPr="00472DB8" w:rsidRDefault="00A2255C">
      <w:pPr>
        <w:rPr>
          <w:rFonts w:ascii="Times" w:hAnsi="Times" w:cs="Times"/>
        </w:rPr>
      </w:pPr>
    </w:p>
    <w:p w14:paraId="1F363FA0" w14:textId="77777777" w:rsidR="00A2255C" w:rsidRPr="00472DB8" w:rsidRDefault="00CD12B7" w:rsidP="00B81156">
      <w:pPr>
        <w:ind w:firstLine="0"/>
        <w:rPr>
          <w:rFonts w:ascii="Times" w:hAnsi="Times" w:cs="Times"/>
        </w:rPr>
      </w:pPr>
      <w:r w:rsidRPr="00472DB8">
        <w:rPr>
          <w:rFonts w:ascii="Times" w:hAnsi="Times" w:cs="Times"/>
          <w:b/>
        </w:rPr>
        <w:t>PART 73 – RADIO BROADCAST SERVICES</w:t>
      </w:r>
    </w:p>
    <w:p w14:paraId="7F33B1A4" w14:textId="77777777" w:rsidR="007733D2" w:rsidRPr="00472DB8" w:rsidRDefault="007733D2" w:rsidP="00B81156">
      <w:pPr>
        <w:ind w:firstLine="0"/>
        <w:rPr>
          <w:rFonts w:ascii="Times" w:hAnsi="Times" w:cs="Times"/>
        </w:rPr>
      </w:pPr>
    </w:p>
    <w:p w14:paraId="7D32DC95" w14:textId="77777777" w:rsidR="007733D2" w:rsidRPr="00472DB8" w:rsidRDefault="007733D2" w:rsidP="007733D2">
      <w:pPr>
        <w:pStyle w:val="ListParagraph"/>
        <w:numPr>
          <w:ilvl w:val="0"/>
          <w:numId w:val="21"/>
        </w:numPr>
        <w:rPr>
          <w:rFonts w:ascii="Times" w:hAnsi="Times" w:cs="Times"/>
        </w:rPr>
      </w:pPr>
      <w:r w:rsidRPr="00472DB8">
        <w:rPr>
          <w:rFonts w:ascii="Times" w:hAnsi="Times" w:cs="Times"/>
        </w:rPr>
        <w:t>The authority citation for Part 73 continues to read as follows:</w:t>
      </w:r>
    </w:p>
    <w:p w14:paraId="234531A6" w14:textId="77777777" w:rsidR="007733D2" w:rsidRPr="00472DB8" w:rsidRDefault="007733D2" w:rsidP="007626E1">
      <w:pPr>
        <w:ind w:firstLine="0"/>
        <w:rPr>
          <w:rFonts w:ascii="Times" w:hAnsi="Times" w:cs="Times"/>
          <w:b/>
        </w:rPr>
      </w:pPr>
    </w:p>
    <w:p w14:paraId="308E67FA" w14:textId="77777777" w:rsidR="007733D2" w:rsidRPr="00472DB8" w:rsidRDefault="007733D2" w:rsidP="007626E1">
      <w:pPr>
        <w:ind w:firstLine="1080"/>
        <w:rPr>
          <w:rFonts w:ascii="Times" w:hAnsi="Times" w:cs="Times"/>
        </w:rPr>
      </w:pPr>
      <w:r w:rsidRPr="00472DB8">
        <w:rPr>
          <w:rFonts w:ascii="Times" w:hAnsi="Times" w:cs="Times"/>
        </w:rPr>
        <w:t>Authority: 47 U.S.C. 154, 303, 334, 336, and 339.</w:t>
      </w:r>
    </w:p>
    <w:p w14:paraId="62379DE9" w14:textId="77777777" w:rsidR="00CD12B7" w:rsidRPr="00472DB8" w:rsidRDefault="00CD12B7" w:rsidP="00B81156">
      <w:pPr>
        <w:rPr>
          <w:rFonts w:ascii="Times" w:hAnsi="Times" w:cs="Times"/>
          <w:b/>
        </w:rPr>
      </w:pPr>
    </w:p>
    <w:p w14:paraId="0AB1E76A" w14:textId="77777777" w:rsidR="00CD12B7" w:rsidRPr="00472DB8" w:rsidRDefault="00CD12B7" w:rsidP="00B81156">
      <w:pPr>
        <w:pStyle w:val="ListParagraph"/>
        <w:numPr>
          <w:ilvl w:val="0"/>
          <w:numId w:val="21"/>
        </w:numPr>
        <w:rPr>
          <w:rFonts w:ascii="Times" w:hAnsi="Times" w:cs="Times"/>
        </w:rPr>
      </w:pPr>
      <w:r w:rsidRPr="00472DB8">
        <w:rPr>
          <w:rFonts w:ascii="Times" w:hAnsi="Times" w:cs="Times"/>
        </w:rPr>
        <w:t>Amend Section 73.827(a) by revising the second sentence to read</w:t>
      </w:r>
      <w:r w:rsidR="00FC3F81" w:rsidRPr="00472DB8">
        <w:rPr>
          <w:rFonts w:ascii="Times" w:hAnsi="Times" w:cs="Times"/>
        </w:rPr>
        <w:t>:</w:t>
      </w:r>
      <w:r w:rsidRPr="00472DB8">
        <w:rPr>
          <w:rFonts w:ascii="Times" w:hAnsi="Times" w:cs="Times"/>
        </w:rPr>
        <w:t xml:space="preserve"> </w:t>
      </w:r>
    </w:p>
    <w:p w14:paraId="660772F8" w14:textId="77777777" w:rsidR="00CD12B7" w:rsidRPr="00472DB8" w:rsidRDefault="00CD12B7" w:rsidP="00B81156">
      <w:pPr>
        <w:pStyle w:val="ListParagraph"/>
        <w:ind w:left="1080" w:firstLine="0"/>
        <w:rPr>
          <w:rFonts w:ascii="Times" w:hAnsi="Times" w:cs="Times"/>
        </w:rPr>
      </w:pPr>
    </w:p>
    <w:p w14:paraId="46D28D67" w14:textId="2CBB1047" w:rsidR="00CD12B7" w:rsidRPr="00472DB8" w:rsidRDefault="00FC3F81" w:rsidP="00B81156">
      <w:pPr>
        <w:pStyle w:val="ListParagraph"/>
        <w:numPr>
          <w:ilvl w:val="0"/>
          <w:numId w:val="23"/>
        </w:numPr>
        <w:rPr>
          <w:rFonts w:ascii="Times" w:hAnsi="Times" w:cs="Times"/>
        </w:rPr>
      </w:pPr>
      <w:r w:rsidRPr="00472DB8">
        <w:rPr>
          <w:rFonts w:ascii="Times" w:hAnsi="Times" w:cs="Times"/>
        </w:rPr>
        <w:t xml:space="preserve"> </w:t>
      </w:r>
      <w:r w:rsidR="00DF0349" w:rsidRPr="00472DB8">
        <w:rPr>
          <w:rFonts w:ascii="Times" w:hAnsi="Times" w:cs="Times"/>
        </w:rPr>
        <w:t xml:space="preserve">*** </w:t>
      </w:r>
      <w:r w:rsidR="00CD12B7" w:rsidRPr="00472DB8">
        <w:rPr>
          <w:rFonts w:ascii="Times" w:hAnsi="Times" w:cs="Times"/>
        </w:rPr>
        <w:t>This subsection applies when an LPFM application proposes to operate near an FM translator station, the FM translator station is receiving its input signal off-air (either directly from the primary station or from a translator station) and the LPFM application proposes to operate on a third-adjacent channel to the station delivering an input signal to the translator station.</w:t>
      </w:r>
    </w:p>
    <w:p w14:paraId="1687852F" w14:textId="77777777" w:rsidR="00CD12B7" w:rsidRPr="00472DB8" w:rsidRDefault="00CD12B7" w:rsidP="00B81156">
      <w:pPr>
        <w:pStyle w:val="ListParagraph"/>
        <w:ind w:left="1080" w:firstLine="0"/>
        <w:rPr>
          <w:rFonts w:ascii="Times" w:hAnsi="Times" w:cs="Times"/>
        </w:rPr>
      </w:pPr>
    </w:p>
    <w:p w14:paraId="680D0A9A" w14:textId="77777777" w:rsidR="00106F87" w:rsidRPr="00472DB8" w:rsidRDefault="00106F87" w:rsidP="00106F87">
      <w:pPr>
        <w:pStyle w:val="ListParagraph"/>
        <w:numPr>
          <w:ilvl w:val="0"/>
          <w:numId w:val="21"/>
        </w:numPr>
        <w:rPr>
          <w:rFonts w:ascii="Times" w:hAnsi="Times" w:cs="Times"/>
        </w:rPr>
      </w:pPr>
      <w:r w:rsidRPr="00472DB8">
        <w:rPr>
          <w:rFonts w:ascii="Times" w:hAnsi="Times" w:cs="Times"/>
        </w:rPr>
        <w:t xml:space="preserve">Amend Section 73.827(a) by revising the fourth sentence to read: </w:t>
      </w:r>
    </w:p>
    <w:p w14:paraId="575CAE6E" w14:textId="77777777" w:rsidR="00106F87" w:rsidRPr="00472DB8" w:rsidRDefault="00106F87" w:rsidP="00106F87">
      <w:pPr>
        <w:pStyle w:val="ListParagraph"/>
        <w:ind w:left="360" w:firstLine="0"/>
        <w:rPr>
          <w:rFonts w:ascii="Times" w:hAnsi="Times" w:cs="Times"/>
        </w:rPr>
      </w:pPr>
    </w:p>
    <w:p w14:paraId="199C8ECD" w14:textId="77777777" w:rsidR="00106F87" w:rsidRPr="00472DB8" w:rsidRDefault="00106F87" w:rsidP="00106F87">
      <w:pPr>
        <w:pStyle w:val="ListParagraph"/>
        <w:ind w:left="1152" w:firstLine="0"/>
        <w:rPr>
          <w:rFonts w:ascii="Times" w:hAnsi="Times" w:cs="Times"/>
        </w:rPr>
      </w:pPr>
      <w:r w:rsidRPr="00472DB8">
        <w:rPr>
          <w:rFonts w:ascii="Times" w:hAnsi="Times" w:cs="Times"/>
        </w:rPr>
        <w:t>(a) *** In addition, in cases where an LPFM station is located within +/- 30 degrees of the azimuth between the FM translator station and its input signal, the LPFM station will not be authorized unless it is located at least 10 kilometers from the FM translator station.</w:t>
      </w:r>
    </w:p>
    <w:p w14:paraId="261F03F9" w14:textId="77777777" w:rsidR="00106F87" w:rsidRPr="00472DB8" w:rsidRDefault="00106F87" w:rsidP="00106F87">
      <w:pPr>
        <w:pStyle w:val="ListParagraph"/>
        <w:ind w:left="360" w:firstLine="0"/>
        <w:rPr>
          <w:rFonts w:ascii="Times" w:hAnsi="Times" w:cs="Times"/>
        </w:rPr>
      </w:pPr>
    </w:p>
    <w:p w14:paraId="0EE83576" w14:textId="77777777" w:rsidR="00954159" w:rsidRPr="00472DB8" w:rsidRDefault="00954159" w:rsidP="00B81156">
      <w:pPr>
        <w:pStyle w:val="ListParagraph"/>
        <w:numPr>
          <w:ilvl w:val="0"/>
          <w:numId w:val="21"/>
        </w:numPr>
        <w:rPr>
          <w:rFonts w:ascii="Times" w:hAnsi="Times" w:cs="Times"/>
        </w:rPr>
      </w:pPr>
      <w:r w:rsidRPr="00472DB8">
        <w:rPr>
          <w:rFonts w:ascii="Times" w:hAnsi="Times" w:cs="Times"/>
        </w:rPr>
        <w:t>Amend</w:t>
      </w:r>
      <w:r w:rsidR="00CD12B7" w:rsidRPr="00472DB8">
        <w:rPr>
          <w:rFonts w:ascii="Times" w:hAnsi="Times" w:cs="Times"/>
        </w:rPr>
        <w:t xml:space="preserve"> Section 73.827(a)(1) to read</w:t>
      </w:r>
      <w:r w:rsidR="00FC3F81" w:rsidRPr="00472DB8">
        <w:rPr>
          <w:rFonts w:ascii="Times" w:hAnsi="Times" w:cs="Times"/>
        </w:rPr>
        <w:t>:</w:t>
      </w:r>
      <w:r w:rsidR="00CD12B7" w:rsidRPr="00472DB8">
        <w:rPr>
          <w:rFonts w:ascii="Times" w:hAnsi="Times" w:cs="Times"/>
        </w:rPr>
        <w:t xml:space="preserve"> </w:t>
      </w:r>
    </w:p>
    <w:p w14:paraId="7D57A6B6" w14:textId="77777777" w:rsidR="00954159" w:rsidRPr="00472DB8" w:rsidRDefault="00954159" w:rsidP="00B81156">
      <w:pPr>
        <w:pStyle w:val="ListParagraph"/>
        <w:ind w:left="1080" w:firstLine="0"/>
        <w:rPr>
          <w:rFonts w:ascii="Times" w:hAnsi="Times" w:cs="Times"/>
        </w:rPr>
      </w:pPr>
    </w:p>
    <w:p w14:paraId="26A392D3" w14:textId="77777777" w:rsidR="00CD12B7" w:rsidRPr="00472DB8" w:rsidRDefault="00CD12B7" w:rsidP="00B81156">
      <w:pPr>
        <w:pStyle w:val="ListParagraph"/>
        <w:numPr>
          <w:ilvl w:val="0"/>
          <w:numId w:val="22"/>
        </w:numPr>
        <w:rPr>
          <w:rFonts w:ascii="Times" w:hAnsi="Times" w:cs="Times"/>
        </w:rPr>
      </w:pPr>
      <w:r w:rsidRPr="00472DB8">
        <w:rPr>
          <w:rFonts w:ascii="Times" w:hAnsi="Times" w:cs="Times"/>
        </w:rPr>
        <w:t xml:space="preserve">demonstrates that no actual interference will occur due to an undesired (LPFM) to desired (station delivering signal to translator station) ratio below 34 dB at such translator station’s receive antenna.  </w:t>
      </w:r>
    </w:p>
    <w:p w14:paraId="6C44621F" w14:textId="77777777" w:rsidR="00CD12B7" w:rsidRPr="00472DB8" w:rsidRDefault="00CD12B7" w:rsidP="00B81156">
      <w:pPr>
        <w:pStyle w:val="ListParagraph"/>
        <w:ind w:left="1080" w:firstLine="0"/>
        <w:rPr>
          <w:rFonts w:ascii="Times" w:hAnsi="Times" w:cs="Times"/>
        </w:rPr>
      </w:pPr>
    </w:p>
    <w:p w14:paraId="16752551" w14:textId="77777777" w:rsidR="00954159" w:rsidRPr="00472DB8" w:rsidRDefault="00954159" w:rsidP="00B81156">
      <w:pPr>
        <w:pStyle w:val="ListParagraph"/>
        <w:numPr>
          <w:ilvl w:val="0"/>
          <w:numId w:val="21"/>
        </w:numPr>
        <w:rPr>
          <w:rFonts w:ascii="Times" w:hAnsi="Times" w:cs="Times"/>
        </w:rPr>
      </w:pPr>
      <w:r w:rsidRPr="00472DB8">
        <w:rPr>
          <w:rFonts w:ascii="Times" w:hAnsi="Times" w:cs="Times"/>
        </w:rPr>
        <w:t xml:space="preserve">Amend </w:t>
      </w:r>
      <w:r w:rsidR="00CD12B7" w:rsidRPr="00472DB8">
        <w:rPr>
          <w:rFonts w:ascii="Times" w:hAnsi="Times" w:cs="Times"/>
        </w:rPr>
        <w:t xml:space="preserve">Section 73.827(b) to read:  </w:t>
      </w:r>
    </w:p>
    <w:p w14:paraId="27255730" w14:textId="77777777" w:rsidR="00954159" w:rsidRPr="00472DB8" w:rsidRDefault="00954159" w:rsidP="00B81156">
      <w:pPr>
        <w:pStyle w:val="ListParagraph"/>
        <w:ind w:left="1080" w:firstLine="0"/>
        <w:rPr>
          <w:rFonts w:ascii="Times" w:hAnsi="Times" w:cs="Times"/>
        </w:rPr>
      </w:pPr>
    </w:p>
    <w:p w14:paraId="5E8EA035" w14:textId="2EE6058B" w:rsidR="00E6698F" w:rsidRPr="00472DB8" w:rsidRDefault="00FC3F81" w:rsidP="007626E1">
      <w:pPr>
        <w:pStyle w:val="ListParagraph"/>
        <w:ind w:left="1080" w:firstLine="0"/>
        <w:rPr>
          <w:rFonts w:ascii="Times" w:hAnsi="Times" w:cs="Times"/>
        </w:rPr>
      </w:pPr>
      <w:r w:rsidRPr="00472DB8">
        <w:rPr>
          <w:rFonts w:ascii="Times" w:hAnsi="Times" w:cs="Times"/>
        </w:rPr>
        <w:t xml:space="preserve">(b)  </w:t>
      </w:r>
      <w:r w:rsidR="00CD12B7" w:rsidRPr="00472DB8">
        <w:rPr>
          <w:rFonts w:ascii="Times" w:hAnsi="Times" w:cs="Times"/>
        </w:rPr>
        <w:t>An authorized LPFM station will not be permitted to continue to operate if an FM translator or FM booster station demonstrates that the LPFM station is causing actual interference to the FM translator or</w:t>
      </w:r>
      <w:r w:rsidR="00CD12B7" w:rsidRPr="00472DB8">
        <w:rPr>
          <w:rFonts w:ascii="Times" w:hAnsi="Times" w:cs="Times"/>
          <w:i/>
        </w:rPr>
        <w:t xml:space="preserve"> </w:t>
      </w:r>
      <w:r w:rsidR="00CD12B7" w:rsidRPr="00472DB8">
        <w:rPr>
          <w:rFonts w:ascii="Times" w:hAnsi="Times" w:cs="Times"/>
        </w:rPr>
        <w:t>FM booster station’s input signal, provided that the same input signal was in u</w:t>
      </w:r>
      <w:r w:rsidR="00B81156" w:rsidRPr="00472DB8">
        <w:rPr>
          <w:rFonts w:ascii="Times" w:hAnsi="Times" w:cs="Times"/>
        </w:rPr>
        <w:t xml:space="preserve">se </w:t>
      </w:r>
      <w:r w:rsidR="00E6698F" w:rsidRPr="00472DB8">
        <w:rPr>
          <w:rFonts w:ascii="Times" w:hAnsi="Times" w:cs="Times"/>
        </w:rPr>
        <w:t xml:space="preserve">or proposed in an application </w:t>
      </w:r>
      <w:r w:rsidR="00BE6BB8" w:rsidRPr="00472DB8">
        <w:rPr>
          <w:rFonts w:ascii="Times" w:hAnsi="Times" w:cs="Times"/>
        </w:rPr>
        <w:t xml:space="preserve">filed </w:t>
      </w:r>
      <w:r w:rsidR="00E6698F" w:rsidRPr="00472DB8">
        <w:rPr>
          <w:rFonts w:ascii="Times" w:hAnsi="Times" w:cs="Times"/>
        </w:rPr>
        <w:t xml:space="preserve">with the Commission </w:t>
      </w:r>
      <w:r w:rsidR="00B81156" w:rsidRPr="00472DB8">
        <w:rPr>
          <w:rFonts w:ascii="Times" w:hAnsi="Times" w:cs="Times"/>
        </w:rPr>
        <w:t xml:space="preserve">prior to the release of the </w:t>
      </w:r>
      <w:r w:rsidR="00DD11CF" w:rsidRPr="00472DB8">
        <w:rPr>
          <w:rFonts w:ascii="Times" w:hAnsi="Times" w:cs="Times"/>
        </w:rPr>
        <w:t>p</w:t>
      </w:r>
      <w:r w:rsidR="00B81156" w:rsidRPr="00472DB8">
        <w:rPr>
          <w:rFonts w:ascii="Times" w:hAnsi="Times" w:cs="Times"/>
        </w:rPr>
        <w:t xml:space="preserve">ublic </w:t>
      </w:r>
      <w:r w:rsidR="00DD11CF" w:rsidRPr="00472DB8">
        <w:rPr>
          <w:rFonts w:ascii="Times" w:hAnsi="Times" w:cs="Times"/>
        </w:rPr>
        <w:t>n</w:t>
      </w:r>
      <w:r w:rsidR="00CD12B7" w:rsidRPr="00472DB8">
        <w:rPr>
          <w:rFonts w:ascii="Times" w:hAnsi="Times" w:cs="Times"/>
        </w:rPr>
        <w:t xml:space="preserve">otice announcing the dates for an LPFM application filing window and has been continuously in use </w:t>
      </w:r>
      <w:r w:rsidR="006662DE" w:rsidRPr="00472DB8">
        <w:rPr>
          <w:rFonts w:ascii="Times" w:hAnsi="Times" w:cs="Times"/>
        </w:rPr>
        <w:t>or proposed</w:t>
      </w:r>
      <w:r w:rsidR="006662DE" w:rsidRPr="00472DB8">
        <w:rPr>
          <w:rFonts w:ascii="Times" w:hAnsi="Times" w:cs="Times"/>
          <w:i/>
        </w:rPr>
        <w:t xml:space="preserve"> </w:t>
      </w:r>
      <w:r w:rsidR="00CD12B7" w:rsidRPr="00472DB8">
        <w:rPr>
          <w:rFonts w:ascii="Times" w:hAnsi="Times" w:cs="Times"/>
        </w:rPr>
        <w:t>since that time.</w:t>
      </w:r>
    </w:p>
    <w:sectPr w:rsidR="00E6698F" w:rsidRPr="00472DB8" w:rsidSect="008F48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CD047" w14:textId="77777777" w:rsidR="005E3C78" w:rsidRDefault="005E3C78" w:rsidP="00043275">
      <w:r>
        <w:separator/>
      </w:r>
    </w:p>
  </w:endnote>
  <w:endnote w:type="continuationSeparator" w:id="0">
    <w:p w14:paraId="79E4B05B" w14:textId="77777777" w:rsidR="005E3C78" w:rsidRDefault="005E3C78" w:rsidP="00043275">
      <w:r>
        <w:continuationSeparator/>
      </w:r>
    </w:p>
  </w:endnote>
  <w:endnote w:type="continuationNotice" w:id="1">
    <w:p w14:paraId="4293E197" w14:textId="77777777" w:rsidR="005E3C78" w:rsidRDefault="005E3C78" w:rsidP="00043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581B8" w14:textId="77777777" w:rsidR="00893A09" w:rsidRDefault="00893A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728650"/>
      <w:docPartObj>
        <w:docPartGallery w:val="Page Numbers (Bottom of Page)"/>
        <w:docPartUnique/>
      </w:docPartObj>
    </w:sdtPr>
    <w:sdtEndPr>
      <w:rPr>
        <w:noProof/>
      </w:rPr>
    </w:sdtEndPr>
    <w:sdtContent>
      <w:p w14:paraId="7CD3D8B0" w14:textId="77777777" w:rsidR="00C0760C" w:rsidRDefault="00C0760C" w:rsidP="002B5593">
        <w:pPr>
          <w:pStyle w:val="Footer"/>
          <w:jc w:val="center"/>
        </w:pPr>
        <w:r>
          <w:rPr>
            <w:rFonts w:ascii="Times New Roman" w:hAnsi="Times New Roman"/>
          </w:rPr>
          <w:fldChar w:fldCharType="begin"/>
        </w:r>
        <w:r>
          <w:instrText xml:space="preserve"> PAGE   \* MERGEFORMAT </w:instrText>
        </w:r>
        <w:r>
          <w:rPr>
            <w:rFonts w:ascii="Times New Roman" w:hAnsi="Times New Roman"/>
          </w:rPr>
          <w:fldChar w:fldCharType="separate"/>
        </w:r>
        <w:r w:rsidR="003E3C4B" w:rsidRPr="003E3C4B">
          <w:rPr>
            <w:rFonts w:ascii="Times New Roman" w:hAnsi="Times New Roman" w:cs="Times New Roman"/>
            <w:noProof/>
          </w:rPr>
          <w:t>26</w:t>
        </w:r>
        <w:r>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ACFA8" w14:textId="77777777" w:rsidR="00893A09" w:rsidRDefault="00893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D1F2F" w14:textId="77777777" w:rsidR="005E3C78" w:rsidRDefault="005E3C78" w:rsidP="007626E1">
      <w:pPr>
        <w:ind w:firstLine="0"/>
      </w:pPr>
      <w:r>
        <w:separator/>
      </w:r>
    </w:p>
  </w:footnote>
  <w:footnote w:type="continuationSeparator" w:id="0">
    <w:p w14:paraId="55DEE317" w14:textId="77777777" w:rsidR="005E3C78" w:rsidRDefault="005E3C78" w:rsidP="007626E1">
      <w:pPr>
        <w:ind w:firstLine="0"/>
      </w:pPr>
      <w:r w:rsidRPr="00C01B6F">
        <w:rPr>
          <w:rFonts w:ascii="Times" w:hAnsi="Times"/>
          <w:sz w:val="20"/>
        </w:rPr>
        <w:t xml:space="preserve">(Continued from previous </w:t>
      </w:r>
      <w:r>
        <w:rPr>
          <w:rFonts w:ascii="Times" w:hAnsi="Times"/>
          <w:sz w:val="20"/>
        </w:rPr>
        <w:t>p</w:t>
      </w:r>
      <w:r w:rsidRPr="00C01B6F">
        <w:rPr>
          <w:rFonts w:ascii="Times" w:hAnsi="Times"/>
          <w:sz w:val="20"/>
        </w:rPr>
        <w:t>ag</w:t>
      </w:r>
      <w:r>
        <w:rPr>
          <w:rFonts w:ascii="Times" w:hAnsi="Times"/>
          <w:sz w:val="20"/>
        </w:rPr>
        <w:t xml:space="preserve">e) </w:t>
      </w:r>
      <w:r>
        <w:separator/>
      </w:r>
    </w:p>
  </w:footnote>
  <w:footnote w:type="continuationNotice" w:id="1">
    <w:p w14:paraId="33E76F6E" w14:textId="77777777" w:rsidR="005E3C78" w:rsidRPr="007626E1" w:rsidRDefault="005E3C78" w:rsidP="007626E1">
      <w:pPr>
        <w:ind w:firstLine="0"/>
        <w:rPr>
          <w:rFonts w:ascii="Times" w:hAnsi="Times"/>
          <w:sz w:val="20"/>
        </w:rPr>
      </w:pPr>
      <w:r w:rsidRPr="00C01B6F">
        <w:rPr>
          <w:rFonts w:ascii="Times" w:hAnsi="Times"/>
          <w:sz w:val="20"/>
        </w:rPr>
        <w:t>(continued…)</w:t>
      </w:r>
    </w:p>
  </w:footnote>
  <w:footnote w:id="2">
    <w:p w14:paraId="38BFC248"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Creation of a Low Power Radio Service and Amendment of Service and Eligibility Rules for FM Broadcast Translator Stations</w:t>
      </w:r>
      <w:r w:rsidRPr="00472DB8">
        <w:rPr>
          <w:rFonts w:ascii="Times" w:hAnsi="Times" w:cs="Times"/>
        </w:rPr>
        <w:t>, Fifth Order on Reconsideration and Sixth Report and Order, 27 FCC Rcd 15402 (2012) (“</w:t>
      </w:r>
      <w:r w:rsidRPr="00472DB8">
        <w:rPr>
          <w:rFonts w:ascii="Times" w:hAnsi="Times" w:cs="Times"/>
          <w:i/>
        </w:rPr>
        <w:t>Sixth Report and Order</w:t>
      </w:r>
      <w:r w:rsidRPr="00472DB8">
        <w:rPr>
          <w:rFonts w:ascii="Times" w:hAnsi="Times" w:cs="Times"/>
        </w:rPr>
        <w:t>”).</w:t>
      </w:r>
    </w:p>
  </w:footnote>
  <w:footnote w:id="3">
    <w:p w14:paraId="612728EF" w14:textId="4E4E054C"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The term “input signal” refers to the signal that a translator or booster station receives over-the-air and then retransmits.  </w:t>
      </w:r>
      <w:r w:rsidRPr="00472DB8">
        <w:rPr>
          <w:rFonts w:ascii="Times" w:hAnsi="Times" w:cs="Times"/>
          <w:i/>
        </w:rPr>
        <w:t>See Creation of Low Power Radio Service</w:t>
      </w:r>
      <w:r w:rsidRPr="00472DB8">
        <w:rPr>
          <w:rFonts w:ascii="Times" w:hAnsi="Times" w:cs="Times"/>
        </w:rPr>
        <w:t>, Memorandum Opinion and Order on Reconsideration, 15 FCC Rcd 19208, 19224, ¶ 41 (2000).</w:t>
      </w:r>
    </w:p>
  </w:footnote>
  <w:footnote w:id="4">
    <w:p w14:paraId="5091562A" w14:textId="22556C6D"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The five petitions for reconsideration considered herein are as follows: Prometheus Radio Project, Petition for Reconsideration (“Prometheus Petition”); REC Networks, Petition for Partial Reconsideration (“REC Petition”); LifeTalk Radio, Inc., Petition for Reconsideration of Fifth Order on Reconsideration and Sixth Report and Order (“LTR Petition”); Michael Couzens and Alan Korn, Petition for Reconsideration of Fifth Order on Reconsideration and Sixth Report and Order (“C/K Petition”); and Let the Cities In!! Petition for Reconsideration (“LTCI Petition”) (collectively, “Petitions” and each, individually, a “Petition”).</w:t>
      </w:r>
    </w:p>
  </w:footnote>
  <w:footnote w:id="5">
    <w:p w14:paraId="72A37A3F" w14:textId="076F0085"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 xml:space="preserve">See Media Bureau Announces Availability of the Revised FCC Form 318 and the Filing Procedures for October 15 – October 29, 2013 Low Power FM Filing Window, </w:t>
      </w:r>
      <w:r w:rsidRPr="00472DB8">
        <w:rPr>
          <w:rFonts w:ascii="Times" w:hAnsi="Times" w:cs="Times"/>
        </w:rPr>
        <w:t>Public Notice, 28 FCC Rcd 8854 (MB 2013) (“LPFM PN”).</w:t>
      </w:r>
    </w:p>
  </w:footnote>
  <w:footnote w:id="6">
    <w:p w14:paraId="0495BFCC"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Creation of a Low Power Radio Service</w:t>
      </w:r>
      <w:r w:rsidRPr="00472DB8">
        <w:rPr>
          <w:rFonts w:ascii="Times" w:hAnsi="Times" w:cs="Times"/>
        </w:rPr>
        <w:t>, Fifth Report and Order, Fourth Further Notice of Proposed Rulemaking and Fourth Order on Reconsideration, 27 FCC Rcd 3315 (2012) (“</w:t>
      </w:r>
      <w:r w:rsidRPr="00472DB8">
        <w:rPr>
          <w:rFonts w:ascii="Times" w:hAnsi="Times" w:cs="Times"/>
          <w:i/>
        </w:rPr>
        <w:t>Fourth Further Notice</w:t>
      </w:r>
      <w:r w:rsidRPr="00472DB8">
        <w:rPr>
          <w:rFonts w:ascii="Times" w:hAnsi="Times" w:cs="Times"/>
        </w:rPr>
        <w:t>”).</w:t>
      </w:r>
    </w:p>
  </w:footnote>
  <w:footnote w:id="7">
    <w:p w14:paraId="7FEBA0CA"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Pub. L. No. 111-371, 124 Stat. 4072 (2011).</w:t>
      </w:r>
    </w:p>
  </w:footnote>
  <w:footnote w:id="8">
    <w:p w14:paraId="0D84619E"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78 Fed. Reg. 2077 (Jan. 9, 2013).</w:t>
      </w:r>
    </w:p>
  </w:footnote>
  <w:footnote w:id="9">
    <w:p w14:paraId="2AA1A42B" w14:textId="324B2FE6" w:rsidR="00C0760C" w:rsidRPr="00472DB8" w:rsidRDefault="00C0760C" w:rsidP="00472DB8">
      <w:pPr>
        <w:pStyle w:val="FootnoteText"/>
        <w:spacing w:after="120"/>
        <w:ind w:firstLine="0"/>
        <w:rPr>
          <w:rFonts w:ascii="Times" w:hAnsi="Times" w:cs="Times"/>
          <w:i/>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 xml:space="preserve">See </w:t>
      </w:r>
      <w:r w:rsidRPr="00472DB8">
        <w:rPr>
          <w:rFonts w:ascii="Times" w:hAnsi="Times" w:cs="Times"/>
        </w:rPr>
        <w:t>Prometheus Petition; REC Petition; LTR Petition; and C/K Petition.</w:t>
      </w:r>
    </w:p>
  </w:footnote>
  <w:footnote w:id="10">
    <w:p w14:paraId="1623E130" w14:textId="5A6C9281" w:rsidR="00C0760C" w:rsidRPr="00472DB8" w:rsidRDefault="00C0760C" w:rsidP="00472DB8">
      <w:pPr>
        <w:pStyle w:val="FootnoteText"/>
        <w:spacing w:after="120"/>
        <w:ind w:firstLine="0"/>
        <w:rPr>
          <w:rFonts w:ascii="Times" w:hAnsi="Times" w:cs="Times"/>
          <w:i/>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 xml:space="preserve">See </w:t>
      </w:r>
      <w:r w:rsidRPr="00472DB8">
        <w:rPr>
          <w:rFonts w:ascii="Times" w:hAnsi="Times" w:cs="Times"/>
        </w:rPr>
        <w:t>LTCI Petition.</w:t>
      </w:r>
    </w:p>
  </w:footnote>
  <w:footnote w:id="11">
    <w:p w14:paraId="7982A090"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 xml:space="preserve">See </w:t>
      </w:r>
      <w:r w:rsidRPr="00472DB8">
        <w:rPr>
          <w:rFonts w:ascii="Times" w:hAnsi="Times" w:cs="Times"/>
        </w:rPr>
        <w:t xml:space="preserve">47 C.F.R. § </w:t>
      </w:r>
      <w:r w:rsidRPr="00472DB8">
        <w:rPr>
          <w:rStyle w:val="searchterm"/>
          <w:rFonts w:ascii="Times" w:hAnsi="Times" w:cs="Times"/>
        </w:rPr>
        <w:t>1</w:t>
      </w:r>
      <w:r w:rsidRPr="00472DB8">
        <w:rPr>
          <w:rFonts w:ascii="Times" w:hAnsi="Times" w:cs="Times"/>
        </w:rPr>
        <w:t>.</w:t>
      </w:r>
      <w:r w:rsidRPr="00472DB8">
        <w:rPr>
          <w:rStyle w:val="searchterm"/>
          <w:rFonts w:ascii="Times" w:hAnsi="Times" w:cs="Times"/>
        </w:rPr>
        <w:t>429(b</w:t>
      </w:r>
      <w:r w:rsidRPr="00472DB8">
        <w:rPr>
          <w:rFonts w:ascii="Times" w:hAnsi="Times" w:cs="Times"/>
        </w:rPr>
        <w:t xml:space="preserve">)(l).   </w:t>
      </w:r>
    </w:p>
  </w:footnote>
  <w:footnote w:id="12">
    <w:p w14:paraId="3AC8BF23"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LTR Petition at 1.</w:t>
      </w:r>
    </w:p>
  </w:footnote>
  <w:footnote w:id="13">
    <w:p w14:paraId="425980F3"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47 C.F.R. § 73.858(b).</w:t>
      </w:r>
    </w:p>
  </w:footnote>
  <w:footnote w:id="14">
    <w:p w14:paraId="7EB4BEF1"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47 C.F.R. § 73.860(a).  The </w:t>
      </w:r>
      <w:r w:rsidRPr="00472DB8">
        <w:rPr>
          <w:rFonts w:ascii="Times" w:hAnsi="Times" w:cs="Times"/>
          <w:i/>
        </w:rPr>
        <w:t xml:space="preserve">Sixth Report and Order </w:t>
      </w:r>
      <w:r w:rsidRPr="00472DB8">
        <w:rPr>
          <w:rFonts w:ascii="Times" w:hAnsi="Times" w:cs="Times"/>
        </w:rPr>
        <w:t xml:space="preserve">revised Section 73.860 to allow an LPFM licensee to hold an attributable interest in two translator stations, under certain conditions.  </w:t>
      </w:r>
    </w:p>
  </w:footnote>
  <w:footnote w:id="15">
    <w:p w14:paraId="770E2D7E" w14:textId="071ECFFE"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22 FCC Rcd 11110 (MB 2007) (holding that the local unincorporated chapter, Montmorenci United Methodist Church, had shown independence from the broader, unincorporated, United Methodist Church, thus concluding that Montmorenci held no attributable media interests and therefore complied with the LPFM cross and multiple-ownership restrictions). </w:t>
      </w:r>
    </w:p>
  </w:footnote>
  <w:footnote w:id="16">
    <w:p w14:paraId="75F4240B" w14:textId="77777777" w:rsidR="00C0760C" w:rsidRPr="00472DB8" w:rsidRDefault="00C0760C" w:rsidP="00472DB8">
      <w:pPr>
        <w:pStyle w:val="FootnoteText"/>
        <w:spacing w:after="120"/>
        <w:ind w:firstLine="0"/>
        <w:rPr>
          <w:rFonts w:ascii="Times" w:hAnsi="Times" w:cs="Times"/>
          <w:i/>
        </w:rPr>
      </w:pPr>
      <w:r w:rsidRPr="00472DB8">
        <w:rPr>
          <w:rStyle w:val="FootnoteReference"/>
          <w:rFonts w:ascii="Times" w:hAnsi="Times" w:cs="Times"/>
        </w:rPr>
        <w:footnoteRef/>
      </w:r>
      <w:r w:rsidRPr="00472DB8">
        <w:rPr>
          <w:rFonts w:ascii="Times" w:hAnsi="Times" w:cs="Times"/>
        </w:rPr>
        <w:t xml:space="preserve"> LTR Petition at 2. LTR further maintains that the incorporation requirement should be eliminated because “the boundary between a national organization and its local chapters is not necessarily contingent on the often artificial construct of whether or not the local entity is separately incorporated.”  </w:t>
      </w:r>
      <w:r w:rsidRPr="00472DB8">
        <w:rPr>
          <w:rFonts w:ascii="Times" w:hAnsi="Times" w:cs="Times"/>
          <w:i/>
        </w:rPr>
        <w:t>Id.</w:t>
      </w:r>
    </w:p>
  </w:footnote>
  <w:footnote w:id="17">
    <w:p w14:paraId="3217C224"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Opposition of Prometheus Radio Project to Petition for Reconsideration of LifeTalk Radio, Inc. (“Prometheus Opposition”) at 2-3.</w:t>
      </w:r>
    </w:p>
  </w:footnote>
  <w:footnote w:id="18">
    <w:p w14:paraId="547FBA91" w14:textId="77777777" w:rsidR="00C0760C" w:rsidRPr="00472DB8" w:rsidRDefault="00C0760C" w:rsidP="00472DB8">
      <w:pPr>
        <w:pStyle w:val="FootnoteText"/>
        <w:spacing w:after="120"/>
        <w:ind w:firstLine="0"/>
        <w:rPr>
          <w:rFonts w:ascii="Times" w:hAnsi="Times" w:cs="Times"/>
          <w:i/>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Id.</w:t>
      </w:r>
    </w:p>
  </w:footnote>
  <w:footnote w:id="19">
    <w:p w14:paraId="43251E33" w14:textId="2719E00D" w:rsidR="00C0760C" w:rsidRPr="00472DB8" w:rsidRDefault="00C0760C" w:rsidP="00472DB8">
      <w:pPr>
        <w:spacing w:after="120"/>
        <w:ind w:firstLine="0"/>
        <w:rPr>
          <w:rFonts w:ascii="Times" w:hAnsi="Times" w:cs="Times"/>
          <w:sz w:val="20"/>
          <w:szCs w:val="20"/>
        </w:rPr>
      </w:pPr>
      <w:r w:rsidRPr="00472DB8">
        <w:rPr>
          <w:rStyle w:val="FootnoteReference"/>
          <w:rFonts w:ascii="Times" w:hAnsi="Times" w:cs="Times"/>
          <w:sz w:val="20"/>
          <w:szCs w:val="20"/>
        </w:rPr>
        <w:footnoteRef/>
      </w:r>
      <w:r w:rsidRPr="00472DB8">
        <w:rPr>
          <w:rFonts w:ascii="Times" w:hAnsi="Times" w:cs="Times"/>
          <w:sz w:val="20"/>
          <w:szCs w:val="20"/>
        </w:rPr>
        <w:t xml:space="preserve"> </w:t>
      </w:r>
      <w:r w:rsidRPr="00472DB8">
        <w:rPr>
          <w:rFonts w:ascii="Times" w:hAnsi="Times" w:cs="Times"/>
          <w:i/>
          <w:iCs/>
          <w:sz w:val="20"/>
          <w:szCs w:val="20"/>
        </w:rPr>
        <w:t>See, e.g.,</w:t>
      </w:r>
      <w:r w:rsidRPr="00472DB8">
        <w:rPr>
          <w:rFonts w:ascii="Times" w:hAnsi="Times" w:cs="Times"/>
          <w:sz w:val="20"/>
          <w:szCs w:val="20"/>
        </w:rPr>
        <w:t xml:space="preserve"> </w:t>
      </w:r>
      <w:r w:rsidRPr="00472DB8">
        <w:rPr>
          <w:rFonts w:ascii="Times" w:hAnsi="Times" w:cs="Times"/>
          <w:i/>
          <w:sz w:val="20"/>
          <w:szCs w:val="20"/>
        </w:rPr>
        <w:t>Amendment of Parts 1, 21, 73, 74 and 101 of the Commission's Rules to Facilitate the Provision of Fixed and Mobile Broadband Access, Educational and Other Advanced Services in the 2150-2162 and 2500-2690 MHz Bands</w:t>
      </w:r>
      <w:r w:rsidRPr="00472DB8">
        <w:rPr>
          <w:rFonts w:ascii="Times" w:hAnsi="Times" w:cs="Times"/>
          <w:sz w:val="20"/>
          <w:szCs w:val="20"/>
        </w:rPr>
        <w:t xml:space="preserve">, </w:t>
      </w:r>
      <w:r w:rsidRPr="00472DB8">
        <w:rPr>
          <w:rFonts w:ascii="Times" w:hAnsi="Times" w:cs="Times"/>
          <w:iCs/>
          <w:sz w:val="20"/>
          <w:szCs w:val="20"/>
        </w:rPr>
        <w:t xml:space="preserve">Order on </w:t>
      </w:r>
      <w:r w:rsidRPr="00472DB8">
        <w:rPr>
          <w:rStyle w:val="searchterm"/>
          <w:rFonts w:ascii="Times" w:hAnsi="Times" w:cs="Times"/>
          <w:iCs/>
          <w:sz w:val="20"/>
          <w:szCs w:val="20"/>
        </w:rPr>
        <w:t>Reconsideration</w:t>
      </w:r>
      <w:r w:rsidRPr="00472DB8">
        <w:rPr>
          <w:rFonts w:ascii="Times" w:hAnsi="Times" w:cs="Times"/>
          <w:iCs/>
          <w:sz w:val="20"/>
          <w:szCs w:val="20"/>
        </w:rPr>
        <w:t xml:space="preserve"> and Fifth Memorandum Opinion and Order and Third Memorandum Opinion and Order and Second Report and Order</w:t>
      </w:r>
      <w:r w:rsidRPr="00472DB8">
        <w:rPr>
          <w:rFonts w:ascii="Times" w:hAnsi="Times" w:cs="Times"/>
          <w:i/>
          <w:iCs/>
          <w:sz w:val="20"/>
          <w:szCs w:val="20"/>
        </w:rPr>
        <w:t>,</w:t>
      </w:r>
      <w:r w:rsidRPr="00472DB8">
        <w:rPr>
          <w:rFonts w:ascii="Times" w:hAnsi="Times" w:cs="Times"/>
          <w:sz w:val="20"/>
          <w:szCs w:val="20"/>
        </w:rPr>
        <w:t xml:space="preserve"> 21 FCC Rcd 5603, 5630 ¶ 42 (2006) (dismissing a petition for </w:t>
      </w:r>
      <w:r w:rsidRPr="00472DB8">
        <w:rPr>
          <w:rStyle w:val="searchterm"/>
          <w:rFonts w:ascii="Times" w:hAnsi="Times" w:cs="Times"/>
          <w:sz w:val="20"/>
          <w:szCs w:val="20"/>
        </w:rPr>
        <w:t>reconsideration</w:t>
      </w:r>
      <w:r w:rsidRPr="00472DB8">
        <w:rPr>
          <w:rFonts w:ascii="Times" w:hAnsi="Times" w:cs="Times"/>
          <w:sz w:val="20"/>
          <w:szCs w:val="20"/>
        </w:rPr>
        <w:t xml:space="preserve"> as outside the </w:t>
      </w:r>
      <w:r w:rsidRPr="00472DB8">
        <w:rPr>
          <w:rStyle w:val="searchterm"/>
          <w:rFonts w:ascii="Times" w:hAnsi="Times" w:cs="Times"/>
          <w:sz w:val="20"/>
          <w:szCs w:val="20"/>
        </w:rPr>
        <w:t>scope</w:t>
      </w:r>
      <w:r w:rsidRPr="00472DB8">
        <w:rPr>
          <w:rFonts w:ascii="Times" w:hAnsi="Times" w:cs="Times"/>
          <w:sz w:val="20"/>
          <w:szCs w:val="20"/>
        </w:rPr>
        <w:t xml:space="preserve"> of the </w:t>
      </w:r>
      <w:r w:rsidRPr="00472DB8">
        <w:rPr>
          <w:rStyle w:val="searchterm"/>
          <w:rFonts w:ascii="Times" w:hAnsi="Times" w:cs="Times"/>
          <w:sz w:val="20"/>
          <w:szCs w:val="20"/>
        </w:rPr>
        <w:t>rulemaking</w:t>
      </w:r>
      <w:r w:rsidRPr="00472DB8">
        <w:rPr>
          <w:rFonts w:ascii="Times" w:hAnsi="Times" w:cs="Times"/>
          <w:sz w:val="20"/>
          <w:szCs w:val="20"/>
        </w:rPr>
        <w:t xml:space="preserve"> proceeding) (“</w:t>
      </w:r>
      <w:r w:rsidRPr="00472DB8">
        <w:rPr>
          <w:rFonts w:ascii="Times" w:hAnsi="Times" w:cs="Times"/>
          <w:i/>
          <w:sz w:val="20"/>
          <w:szCs w:val="20"/>
        </w:rPr>
        <w:t>Mobile Broadband Access Order</w:t>
      </w:r>
      <w:r w:rsidRPr="00472DB8">
        <w:rPr>
          <w:rFonts w:ascii="Times" w:hAnsi="Times" w:cs="Times"/>
          <w:sz w:val="20"/>
          <w:szCs w:val="20"/>
        </w:rPr>
        <w:t>”). Any party, including LTR, may petition the Commission to change the rule in the manner that LTR has advocated.  47 C.F.R. § 1.401.</w:t>
      </w:r>
    </w:p>
  </w:footnote>
  <w:footnote w:id="20">
    <w:p w14:paraId="020455FC" w14:textId="77777777" w:rsidR="00C0760C" w:rsidRPr="00472DB8" w:rsidRDefault="00C0760C" w:rsidP="00472DB8">
      <w:pPr>
        <w:spacing w:after="120"/>
        <w:ind w:firstLine="0"/>
        <w:rPr>
          <w:rFonts w:ascii="Times" w:hAnsi="Times" w:cs="Times"/>
          <w:i/>
          <w:sz w:val="20"/>
          <w:szCs w:val="20"/>
        </w:rPr>
      </w:pPr>
      <w:r w:rsidRPr="00472DB8">
        <w:rPr>
          <w:rStyle w:val="FootnoteReference"/>
          <w:rFonts w:ascii="Times" w:hAnsi="Times" w:cs="Times"/>
          <w:sz w:val="20"/>
          <w:szCs w:val="20"/>
        </w:rPr>
        <w:footnoteRef/>
      </w:r>
      <w:r w:rsidRPr="00472DB8">
        <w:rPr>
          <w:rFonts w:ascii="Times" w:hAnsi="Times" w:cs="Times"/>
          <w:sz w:val="20"/>
          <w:szCs w:val="20"/>
        </w:rPr>
        <w:t xml:space="preserve"> </w:t>
      </w:r>
      <w:r w:rsidRPr="00472DB8">
        <w:rPr>
          <w:rFonts w:ascii="Times" w:hAnsi="Times" w:cs="Times"/>
          <w:i/>
          <w:sz w:val="20"/>
          <w:szCs w:val="20"/>
        </w:rPr>
        <w:t xml:space="preserve">Applications for Review of Decisions Regarding Six Applications for New Low Power FM Stations, </w:t>
      </w:r>
      <w:r w:rsidRPr="00472DB8">
        <w:rPr>
          <w:rFonts w:ascii="Times" w:hAnsi="Times" w:cs="Times"/>
          <w:sz w:val="20"/>
          <w:szCs w:val="20"/>
        </w:rPr>
        <w:t>Memorandum Opinion and Order, FCC 13-116, released Aug. 23, 2013, ¶¶19-21.</w:t>
      </w:r>
    </w:p>
  </w:footnote>
  <w:footnote w:id="21">
    <w:p w14:paraId="7B6354A6" w14:textId="155D8790"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A “diversity of ownership” point, also referred to as a “new entrant” point, is awarded to an applicant that can certify it has no attributable interest in any other broadcast station.  </w:t>
      </w:r>
      <w:r w:rsidRPr="00472DB8">
        <w:rPr>
          <w:rFonts w:ascii="Times" w:hAnsi="Times" w:cs="Times"/>
          <w:i/>
        </w:rPr>
        <w:t xml:space="preserve">See </w:t>
      </w:r>
      <w:r w:rsidRPr="00472DB8">
        <w:rPr>
          <w:rFonts w:ascii="Times" w:hAnsi="Times" w:cs="Times"/>
        </w:rPr>
        <w:t xml:space="preserve">47 C.F.R. § 73.872(b)(5); </w:t>
      </w:r>
      <w:r w:rsidRPr="00472DB8">
        <w:rPr>
          <w:rFonts w:ascii="Times" w:hAnsi="Times" w:cs="Times"/>
          <w:i/>
        </w:rPr>
        <w:t>Sixth Report and Order</w:t>
      </w:r>
      <w:r w:rsidRPr="00472DB8">
        <w:rPr>
          <w:rFonts w:ascii="Times" w:hAnsi="Times" w:cs="Times"/>
        </w:rPr>
        <w:t xml:space="preserve">, 27 FCC Rcd at 15472-73 ¶ 191.  The Commission uses a point system to select among conflicting, </w:t>
      </w:r>
      <w:r w:rsidRPr="00472DB8">
        <w:rPr>
          <w:rFonts w:ascii="Times" w:hAnsi="Times" w:cs="Times"/>
          <w:i/>
        </w:rPr>
        <w:t xml:space="preserve">i.e., </w:t>
      </w:r>
      <w:r w:rsidRPr="00472DB8">
        <w:rPr>
          <w:rFonts w:ascii="Times" w:hAnsi="Times" w:cs="Times"/>
        </w:rPr>
        <w:t xml:space="preserve">“mutually exclusive,” LPFM applications filed in the same window.  </w:t>
      </w:r>
      <w:r w:rsidRPr="00472DB8">
        <w:rPr>
          <w:rFonts w:ascii="Times" w:hAnsi="Times" w:cs="Times"/>
          <w:i/>
        </w:rPr>
        <w:t>See Sixth Report and Order</w:t>
      </w:r>
      <w:r w:rsidRPr="00472DB8">
        <w:rPr>
          <w:rFonts w:ascii="Times" w:hAnsi="Times" w:cs="Times"/>
        </w:rPr>
        <w:t>, 27 FCC Rcd at 15459 ¶ 160.  Mutually exclusive applications occur when applications are filed in the same window and the simultaneous operation of the proposed stations would result in one (or more) stations causing objectionable interference to another.</w:t>
      </w:r>
    </w:p>
  </w:footnote>
  <w:footnote w:id="22">
    <w:p w14:paraId="76EA9181" w14:textId="12D3E572" w:rsidR="00C0760C" w:rsidRPr="00472DB8" w:rsidRDefault="00C0760C" w:rsidP="00472DB8">
      <w:pPr>
        <w:pStyle w:val="ParaNum"/>
        <w:widowControl/>
        <w:numPr>
          <w:ilvl w:val="0"/>
          <w:numId w:val="0"/>
        </w:numPr>
        <w:rPr>
          <w:rFonts w:ascii="Times" w:hAnsi="Times" w:cs="Times"/>
          <w:sz w:val="20"/>
        </w:rPr>
      </w:pPr>
      <w:r w:rsidRPr="00472DB8">
        <w:rPr>
          <w:rStyle w:val="FootnoteReference"/>
          <w:rFonts w:ascii="Times" w:hAnsi="Times" w:cs="Times"/>
          <w:sz w:val="20"/>
        </w:rPr>
        <w:footnoteRef/>
      </w:r>
      <w:r w:rsidRPr="00472DB8">
        <w:rPr>
          <w:rFonts w:ascii="Times" w:hAnsi="Times" w:cs="Times"/>
          <w:sz w:val="20"/>
        </w:rPr>
        <w:t xml:space="preserve"> LTR Petition at 3-4.  In general, our rules prohibit “the same party holding an attributable interest in any other non-LPFM broadcast station, including any FM translator or low power television station, or any other media subject to our broadcast ownership restrictions.”  47 C.F.R. § 73.860.  However, our rules do allow an LPFM licensee to hold up to two FM translator stations, under certain conditions.  47 C.F.R. § 73.860(b).</w:t>
      </w:r>
    </w:p>
  </w:footnote>
  <w:footnote w:id="23">
    <w:p w14:paraId="1FDD02E4"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Id</w:t>
      </w:r>
      <w:r w:rsidRPr="00472DB8">
        <w:rPr>
          <w:rFonts w:ascii="Times" w:hAnsi="Times" w:cs="Times"/>
        </w:rPr>
        <w:t>.</w:t>
      </w:r>
    </w:p>
  </w:footnote>
  <w:footnote w:id="24">
    <w:p w14:paraId="7CC4B692"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C/K Petition at 1-2.</w:t>
      </w:r>
    </w:p>
  </w:footnote>
  <w:footnote w:id="25">
    <w:p w14:paraId="219D05C3"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Comments of REC Networks at 1-2; Prometheus Opposition at 3-4; Opposition of the Amherst Alliance at 1-4; Reply Comments of Nickolaus E. Leggett to the Petition of Reconsideration of LifeTalk Radio, Inc. at 2-3; Opposition of Public Media of New England (d/b/a WHAV) of Massachusetts to the Petition for Reconsideration of LifeTalk Radio of California; Comment of Susan Raybuck.  </w:t>
      </w:r>
    </w:p>
  </w:footnote>
  <w:footnote w:id="26">
    <w:p w14:paraId="1FF2D419"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Sixth Report and Order</w:t>
      </w:r>
      <w:r w:rsidRPr="00472DB8">
        <w:rPr>
          <w:rFonts w:ascii="Times" w:hAnsi="Times" w:cs="Times"/>
        </w:rPr>
        <w:t xml:space="preserve">, 27 FCC Rcd at 15472-73 ¶ 191.  </w:t>
      </w:r>
    </w:p>
  </w:footnote>
  <w:footnote w:id="27">
    <w:p w14:paraId="41BF76C8"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We note that any applicant, including a national organization, can qualify for a new entrant point if it submits in its LPFM application, prior to the close of the LPFM filing window, a commitment to divest all of its existing media interests (both owned and attributable) before the commencement of operations of its new LPFM station.</w:t>
      </w:r>
    </w:p>
  </w:footnote>
  <w:footnote w:id="28">
    <w:p w14:paraId="693CBD3B"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C/K Petition at 2.</w:t>
      </w:r>
    </w:p>
  </w:footnote>
  <w:footnote w:id="29">
    <w:p w14:paraId="5A3473D2" w14:textId="77777777" w:rsidR="00C0760C" w:rsidRPr="00472DB8" w:rsidRDefault="00C0760C" w:rsidP="00472DB8">
      <w:pPr>
        <w:spacing w:after="120"/>
        <w:ind w:firstLine="0"/>
        <w:rPr>
          <w:rFonts w:ascii="Times" w:hAnsi="Times" w:cs="Times"/>
          <w:sz w:val="20"/>
          <w:szCs w:val="20"/>
        </w:rPr>
      </w:pPr>
      <w:r w:rsidRPr="00472DB8">
        <w:rPr>
          <w:rStyle w:val="FootnoteReference"/>
          <w:rFonts w:ascii="Times" w:hAnsi="Times" w:cs="Times"/>
          <w:sz w:val="20"/>
          <w:szCs w:val="20"/>
        </w:rPr>
        <w:footnoteRef/>
      </w:r>
      <w:r w:rsidRPr="00472DB8">
        <w:rPr>
          <w:rFonts w:ascii="Times" w:hAnsi="Times" w:cs="Times"/>
          <w:sz w:val="20"/>
          <w:szCs w:val="20"/>
        </w:rPr>
        <w:t xml:space="preserve"> 47 C.F.R. § 1.65.</w:t>
      </w:r>
    </w:p>
  </w:footnote>
  <w:footnote w:id="30">
    <w:p w14:paraId="294C3501"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See</w:t>
      </w:r>
      <w:r w:rsidRPr="00472DB8">
        <w:rPr>
          <w:rFonts w:ascii="Times" w:hAnsi="Times" w:cs="Times"/>
        </w:rPr>
        <w:t xml:space="preserve"> </w:t>
      </w:r>
      <w:r w:rsidRPr="00472DB8">
        <w:rPr>
          <w:rFonts w:ascii="Times" w:hAnsi="Times" w:cs="Times"/>
          <w:i/>
          <w:iCs/>
        </w:rPr>
        <w:t>Section 1.65 Amendment Deadline Established for Noncommercial Educational FM and FM Translator Station Applicants,</w:t>
      </w:r>
      <w:r w:rsidRPr="00472DB8">
        <w:rPr>
          <w:rFonts w:ascii="Times" w:hAnsi="Times" w:cs="Times"/>
        </w:rPr>
        <w:t xml:space="preserve"> Public Notice, 19 FCC Rcd 24740 (2004).</w:t>
      </w:r>
    </w:p>
  </w:footnote>
  <w:footnote w:id="31">
    <w:p w14:paraId="6B9A288C"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Conversely, an applicant cannot “upgrade” its qualifications after the close of the filing window.  </w:t>
      </w:r>
      <w:r w:rsidRPr="00472DB8">
        <w:rPr>
          <w:rFonts w:ascii="Times" w:hAnsi="Times" w:cs="Times"/>
          <w:i/>
        </w:rPr>
        <w:t xml:space="preserve">See, e.g., id. </w:t>
      </w:r>
      <w:r w:rsidRPr="00472DB8">
        <w:rPr>
          <w:rFonts w:ascii="Times" w:hAnsi="Times" w:cs="Times"/>
        </w:rPr>
        <w:t>at 24740.  Nevertheless, all applicants are required to keep their applications current pursuant to 47 C.F.R. § 1.65.</w:t>
      </w:r>
    </w:p>
  </w:footnote>
  <w:footnote w:id="32">
    <w:p w14:paraId="1412841D"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C/K Petition at 3-4.</w:t>
      </w:r>
    </w:p>
  </w:footnote>
  <w:footnote w:id="33">
    <w:p w14:paraId="25630CC0"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Form 318, Section III, B.</w:t>
      </w:r>
    </w:p>
  </w:footnote>
  <w:footnote w:id="34">
    <w:p w14:paraId="63ECEEC6"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C/K Petition at 4-5, 7.</w:t>
      </w:r>
    </w:p>
  </w:footnote>
  <w:footnote w:id="35">
    <w:p w14:paraId="139117A5" w14:textId="77777777" w:rsidR="00C0760C" w:rsidRPr="00472DB8" w:rsidRDefault="00C0760C" w:rsidP="00472DB8">
      <w:pPr>
        <w:spacing w:after="120"/>
        <w:ind w:firstLine="0"/>
        <w:rPr>
          <w:rFonts w:ascii="Times" w:hAnsi="Times" w:cs="Times"/>
          <w:sz w:val="20"/>
          <w:szCs w:val="20"/>
        </w:rPr>
      </w:pPr>
      <w:r w:rsidRPr="00472DB8">
        <w:rPr>
          <w:rStyle w:val="FootnoteReference"/>
          <w:rFonts w:ascii="Times" w:hAnsi="Times" w:cs="Times"/>
          <w:sz w:val="20"/>
          <w:szCs w:val="20"/>
        </w:rPr>
        <w:footnoteRef/>
      </w:r>
      <w:r w:rsidRPr="00472DB8">
        <w:rPr>
          <w:rFonts w:ascii="Times" w:hAnsi="Times" w:cs="Times"/>
          <w:sz w:val="20"/>
          <w:szCs w:val="20"/>
        </w:rPr>
        <w:t xml:space="preserve"> 47 C.F.R. </w:t>
      </w:r>
      <w:r w:rsidRPr="00472DB8">
        <w:rPr>
          <w:rStyle w:val="ptext-1"/>
          <w:rFonts w:ascii="Times" w:hAnsi="Times" w:cs="Times"/>
          <w:sz w:val="20"/>
          <w:szCs w:val="20"/>
        </w:rPr>
        <w:t xml:space="preserve">§ </w:t>
      </w:r>
      <w:r w:rsidRPr="00472DB8">
        <w:rPr>
          <w:rFonts w:ascii="Times" w:hAnsi="Times" w:cs="Times"/>
          <w:sz w:val="20"/>
          <w:szCs w:val="20"/>
        </w:rPr>
        <w:t xml:space="preserve">73.870(d).  </w:t>
      </w:r>
      <w:r w:rsidRPr="00472DB8">
        <w:rPr>
          <w:rStyle w:val="ptext-1"/>
          <w:rFonts w:ascii="Times" w:hAnsi="Times" w:cs="Times"/>
          <w:sz w:val="20"/>
          <w:szCs w:val="20"/>
        </w:rPr>
        <w:t xml:space="preserve">Section </w:t>
      </w:r>
      <w:r w:rsidRPr="00472DB8">
        <w:rPr>
          <w:rFonts w:ascii="Times" w:hAnsi="Times" w:cs="Times"/>
          <w:sz w:val="20"/>
          <w:szCs w:val="20"/>
        </w:rPr>
        <w:t>73.872(c), referenced in the rule, discusses cases involving selectees based on voluntary time-sharing agreements and aggregation of points.  Thus, our Rules require publication of a public notice and an opportunity to file petitions to deny in cases where applicants merge and aggregate their points to prevail over other mutually exclusive applicants.</w:t>
      </w:r>
    </w:p>
  </w:footnote>
  <w:footnote w:id="36">
    <w:p w14:paraId="46119EA5" w14:textId="60561BAF"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C/K Petition at 5-6 (according to C/K, the Commission should select “secondary” grantees after making a selection from a mutually exclusive group and rescreening that group to determine if other authorizations can be made, rather than dismissing the other applications once the selection has been made from the mutually exclusive group).  </w:t>
      </w:r>
      <w:r w:rsidRPr="00472DB8">
        <w:rPr>
          <w:rFonts w:ascii="Times" w:hAnsi="Times" w:cs="Times"/>
          <w:i/>
        </w:rPr>
        <w:t>See supra</w:t>
      </w:r>
      <w:r w:rsidRPr="00472DB8">
        <w:rPr>
          <w:rFonts w:ascii="Times" w:hAnsi="Times" w:cs="Times"/>
        </w:rPr>
        <w:t xml:space="preserve">, note 20, for an explanation of mutually exclusive applications. </w:t>
      </w:r>
    </w:p>
  </w:footnote>
  <w:footnote w:id="37">
    <w:p w14:paraId="2CFFEB9F" w14:textId="77777777" w:rsidR="00C0760C" w:rsidRPr="00472DB8" w:rsidRDefault="00C0760C" w:rsidP="00472DB8">
      <w:pPr>
        <w:spacing w:after="120"/>
        <w:ind w:firstLine="0"/>
        <w:rPr>
          <w:rFonts w:ascii="Times" w:hAnsi="Times" w:cs="Times"/>
          <w:sz w:val="20"/>
          <w:szCs w:val="20"/>
        </w:rPr>
      </w:pPr>
      <w:r w:rsidRPr="00472DB8">
        <w:rPr>
          <w:rStyle w:val="FootnoteReference"/>
          <w:rFonts w:ascii="Times" w:hAnsi="Times" w:cs="Times"/>
          <w:sz w:val="20"/>
          <w:szCs w:val="20"/>
        </w:rPr>
        <w:footnoteRef/>
      </w:r>
      <w:r w:rsidRPr="00472DB8">
        <w:rPr>
          <w:rFonts w:ascii="Times" w:hAnsi="Times" w:cs="Times"/>
          <w:sz w:val="20"/>
          <w:szCs w:val="20"/>
        </w:rPr>
        <w:t xml:space="preserve"> During the last LPFM filing window, the Commission accepted partial “technical” settlements (</w:t>
      </w:r>
      <w:r w:rsidRPr="00472DB8">
        <w:rPr>
          <w:rFonts w:ascii="Times" w:hAnsi="Times" w:cs="Times"/>
          <w:i/>
          <w:iCs/>
          <w:sz w:val="20"/>
          <w:szCs w:val="20"/>
        </w:rPr>
        <w:t>i.e.</w:t>
      </w:r>
      <w:r w:rsidRPr="00472DB8">
        <w:rPr>
          <w:rFonts w:ascii="Times" w:hAnsi="Times" w:cs="Times"/>
          <w:sz w:val="20"/>
          <w:szCs w:val="20"/>
        </w:rPr>
        <w:t xml:space="preserve">, technical amendments that eliminated all conflicts between at least one application and all other applications in the same mutually exclusive group).  Thus, through a technical settlement, the Commission can grant one or more applications immediately, with the remaining applicants in that mutually exclusive group considered separately under the LPFM comparative criteria.  These partial settlements worked well during the 2007 NCE FM filing window, where the Commission granted dozens of settlements that resulted in the disposal of hundreds of applications.  </w:t>
      </w:r>
      <w:r w:rsidRPr="00472DB8">
        <w:rPr>
          <w:rFonts w:ascii="Times" w:hAnsi="Times" w:cs="Times"/>
          <w:i/>
          <w:sz w:val="20"/>
          <w:szCs w:val="20"/>
        </w:rPr>
        <w:t>See Reexamination of the Comparative Standards for Noncommercial Educational Applicants</w:t>
      </w:r>
      <w:r w:rsidRPr="00472DB8">
        <w:rPr>
          <w:rFonts w:ascii="Times" w:hAnsi="Times" w:cs="Times"/>
          <w:sz w:val="20"/>
          <w:szCs w:val="20"/>
        </w:rPr>
        <w:t>, Memorandum Opinion and Order, 16 FCC Rcd 5074, 5107 (2001) (“</w:t>
      </w:r>
      <w:r w:rsidRPr="00472DB8">
        <w:rPr>
          <w:rFonts w:ascii="Times" w:hAnsi="Times" w:cs="Times"/>
          <w:i/>
          <w:iCs/>
          <w:sz w:val="20"/>
          <w:szCs w:val="20"/>
        </w:rPr>
        <w:t>NCE Comparative MO&amp;O</w:t>
      </w:r>
      <w:r w:rsidRPr="00472DB8">
        <w:rPr>
          <w:rFonts w:ascii="Times" w:hAnsi="Times" w:cs="Times"/>
          <w:iCs/>
          <w:sz w:val="20"/>
          <w:szCs w:val="20"/>
        </w:rPr>
        <w:t>”)</w:t>
      </w:r>
      <w:r w:rsidRPr="00472DB8">
        <w:rPr>
          <w:rFonts w:ascii="Times" w:hAnsi="Times" w:cs="Times"/>
          <w:sz w:val="20"/>
          <w:szCs w:val="20"/>
        </w:rPr>
        <w:t xml:space="preserve"> (noting that settlements could be beneficial both to applicants and to the Commission, finding that “applicants are able to achieve a solution that is most acceptable to the parties, and the Commission is able to conserve the resources we would spend to select among them”).  </w:t>
      </w:r>
    </w:p>
  </w:footnote>
  <w:footnote w:id="38">
    <w:p w14:paraId="70FEF7C5"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Sixth Report and Order</w:t>
      </w:r>
      <w:r w:rsidRPr="00472DB8">
        <w:rPr>
          <w:rFonts w:ascii="Times" w:hAnsi="Times" w:cs="Times"/>
        </w:rPr>
        <w:t xml:space="preserve">, 27 FCC Rcd at 15475 ¶ 196.     </w:t>
      </w:r>
      <w:r w:rsidRPr="00472DB8">
        <w:rPr>
          <w:rFonts w:ascii="Times" w:hAnsi="Times" w:cs="Times"/>
          <w:i/>
          <w:iCs/>
        </w:rPr>
        <w:t xml:space="preserve">  </w:t>
      </w:r>
    </w:p>
  </w:footnote>
  <w:footnote w:id="39">
    <w:p w14:paraId="00742593"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Id</w:t>
      </w:r>
      <w:r w:rsidRPr="00472DB8">
        <w:rPr>
          <w:rFonts w:ascii="Times" w:hAnsi="Times" w:cs="Times"/>
        </w:rPr>
        <w:t>.  Amendments proposing new channels will be processed in accordance with established first-come, first-served licensing procedures.</w:t>
      </w:r>
    </w:p>
  </w:footnote>
  <w:footnote w:id="40">
    <w:p w14:paraId="02D22630"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 xml:space="preserve">See </w:t>
      </w:r>
      <w:r w:rsidRPr="00472DB8">
        <w:rPr>
          <w:rFonts w:ascii="Times" w:hAnsi="Times" w:cs="Times"/>
          <w:i/>
          <w:iCs/>
        </w:rPr>
        <w:t>NCE Comparative MO&amp;O</w:t>
      </w:r>
      <w:r w:rsidRPr="00472DB8">
        <w:rPr>
          <w:rFonts w:ascii="Times" w:hAnsi="Times" w:cs="Times"/>
        </w:rPr>
        <w:t xml:space="preserve">, 16 FCC Rcd at 5104-5105.   </w:t>
      </w:r>
    </w:p>
  </w:footnote>
  <w:footnote w:id="41">
    <w:p w14:paraId="1C35B958" w14:textId="352E173F"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Id.</w:t>
      </w:r>
      <w:r w:rsidRPr="00472DB8">
        <w:rPr>
          <w:rFonts w:ascii="Times" w:hAnsi="Times" w:cs="Times"/>
        </w:rPr>
        <w:t xml:space="preserve"> at 5105.  </w:t>
      </w:r>
    </w:p>
  </w:footnote>
  <w:footnote w:id="42">
    <w:p w14:paraId="1A8D2CA2" w14:textId="48A4741E"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LCRA, Section 6.</w:t>
      </w:r>
    </w:p>
  </w:footnote>
  <w:footnote w:id="43">
    <w:p w14:paraId="61E9586C"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 xml:space="preserve">See </w:t>
      </w:r>
      <w:r w:rsidRPr="00472DB8">
        <w:rPr>
          <w:rFonts w:ascii="Times" w:hAnsi="Times" w:cs="Times"/>
        </w:rPr>
        <w:t xml:space="preserve">47 C.F.R. § </w:t>
      </w:r>
      <w:r w:rsidRPr="00472DB8">
        <w:rPr>
          <w:rStyle w:val="searchterm"/>
          <w:rFonts w:ascii="Times" w:hAnsi="Times" w:cs="Times"/>
        </w:rPr>
        <w:t>73.827.</w:t>
      </w:r>
    </w:p>
  </w:footnote>
  <w:footnote w:id="44">
    <w:p w14:paraId="4FF20079"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Sixth Report and Order</w:t>
      </w:r>
      <w:r w:rsidRPr="00472DB8">
        <w:rPr>
          <w:rFonts w:ascii="Times" w:hAnsi="Times" w:cs="Times"/>
        </w:rPr>
        <w:t>, 27 FCC Rcd at 15447 ¶ 127.</w:t>
      </w:r>
    </w:p>
  </w:footnote>
  <w:footnote w:id="45">
    <w:p w14:paraId="1209089D" w14:textId="443E9458" w:rsidR="00C0760C" w:rsidRPr="00472DB8" w:rsidRDefault="00C0760C" w:rsidP="00472DB8">
      <w:pPr>
        <w:spacing w:after="120"/>
        <w:ind w:firstLine="0"/>
        <w:rPr>
          <w:rFonts w:ascii="Times" w:hAnsi="Times" w:cs="Times"/>
          <w:sz w:val="20"/>
          <w:szCs w:val="20"/>
        </w:rPr>
      </w:pPr>
      <w:r w:rsidRPr="00472DB8">
        <w:rPr>
          <w:rStyle w:val="FootnoteReference"/>
          <w:rFonts w:ascii="Times" w:hAnsi="Times" w:cs="Times"/>
          <w:sz w:val="20"/>
          <w:szCs w:val="20"/>
        </w:rPr>
        <w:footnoteRef/>
      </w:r>
      <w:r w:rsidRPr="00472DB8">
        <w:rPr>
          <w:rFonts w:ascii="Times" w:hAnsi="Times" w:cs="Times"/>
          <w:sz w:val="20"/>
          <w:szCs w:val="20"/>
        </w:rPr>
        <w:t xml:space="preserve"> 47 C.F.R. § 73.827(a).  An LPFM applicant can demonstrate no interference by: (1)  demonstrating that no actual interference will occur due to an undesired (LPFM) to desired (station delivering signal to translator station) ratio below 34 dB; (2) complying with the minimum LPFM/FM translator distance separation calculated in accordance with the following formula:  d</w:t>
      </w:r>
      <w:r w:rsidRPr="00472DB8">
        <w:rPr>
          <w:rFonts w:ascii="Times" w:hAnsi="Times" w:cs="Times"/>
          <w:sz w:val="20"/>
          <w:szCs w:val="20"/>
          <w:vertAlign w:val="subscript"/>
        </w:rPr>
        <w:t>u</w:t>
      </w:r>
      <w:r w:rsidRPr="00472DB8">
        <w:rPr>
          <w:rFonts w:ascii="Times" w:hAnsi="Times" w:cs="Times"/>
          <w:sz w:val="20"/>
          <w:szCs w:val="20"/>
        </w:rPr>
        <w:t xml:space="preserve"> = 133.5 antilog [(P</w:t>
      </w:r>
      <w:r w:rsidRPr="00472DB8">
        <w:rPr>
          <w:rFonts w:ascii="Times" w:hAnsi="Times" w:cs="Times"/>
          <w:sz w:val="20"/>
          <w:szCs w:val="20"/>
          <w:vertAlign w:val="subscript"/>
        </w:rPr>
        <w:t>eu</w:t>
      </w:r>
      <w:r w:rsidRPr="00472DB8">
        <w:rPr>
          <w:rFonts w:ascii="Times" w:hAnsi="Times" w:cs="Times"/>
          <w:sz w:val="20"/>
          <w:szCs w:val="20"/>
        </w:rPr>
        <w:t xml:space="preserve"> + G</w:t>
      </w:r>
      <w:r w:rsidRPr="00472DB8">
        <w:rPr>
          <w:rFonts w:ascii="Times" w:hAnsi="Times" w:cs="Times"/>
          <w:sz w:val="20"/>
          <w:szCs w:val="20"/>
          <w:vertAlign w:val="subscript"/>
        </w:rPr>
        <w:t>ru</w:t>
      </w:r>
      <w:r w:rsidRPr="00472DB8">
        <w:rPr>
          <w:rFonts w:ascii="Times" w:hAnsi="Times" w:cs="Times"/>
          <w:sz w:val="20"/>
          <w:szCs w:val="20"/>
        </w:rPr>
        <w:t xml:space="preserve"> – G</w:t>
      </w:r>
      <w:r w:rsidRPr="00472DB8">
        <w:rPr>
          <w:rFonts w:ascii="Times" w:hAnsi="Times" w:cs="Times"/>
          <w:sz w:val="20"/>
          <w:szCs w:val="20"/>
          <w:vertAlign w:val="subscript"/>
        </w:rPr>
        <w:t>rd</w:t>
      </w:r>
      <w:r w:rsidRPr="00472DB8">
        <w:rPr>
          <w:rFonts w:ascii="Times" w:hAnsi="Times" w:cs="Times"/>
          <w:sz w:val="20"/>
          <w:szCs w:val="20"/>
        </w:rPr>
        <w:t xml:space="preserve"> – E</w:t>
      </w:r>
      <w:r w:rsidRPr="00472DB8">
        <w:rPr>
          <w:rFonts w:ascii="Times" w:hAnsi="Times" w:cs="Times"/>
          <w:sz w:val="20"/>
          <w:szCs w:val="20"/>
          <w:vertAlign w:val="subscript"/>
        </w:rPr>
        <w:t>d</w:t>
      </w:r>
      <w:r w:rsidRPr="00472DB8">
        <w:rPr>
          <w:rFonts w:ascii="Times" w:hAnsi="Times" w:cs="Times"/>
          <w:sz w:val="20"/>
          <w:szCs w:val="20"/>
        </w:rPr>
        <w:t>) / 20], where d</w:t>
      </w:r>
      <w:r w:rsidRPr="00472DB8">
        <w:rPr>
          <w:rFonts w:ascii="Times" w:hAnsi="Times" w:cs="Times"/>
          <w:sz w:val="20"/>
          <w:szCs w:val="20"/>
          <w:vertAlign w:val="subscript"/>
        </w:rPr>
        <w:t>u</w:t>
      </w:r>
      <w:r w:rsidRPr="00472DB8">
        <w:rPr>
          <w:rFonts w:ascii="Times" w:hAnsi="Times" w:cs="Times"/>
          <w:sz w:val="20"/>
          <w:szCs w:val="20"/>
        </w:rPr>
        <w:t xml:space="preserve"> = the minimum allowed separation in km, P</w:t>
      </w:r>
      <w:r w:rsidRPr="00472DB8">
        <w:rPr>
          <w:rFonts w:ascii="Times" w:hAnsi="Times" w:cs="Times"/>
          <w:sz w:val="20"/>
          <w:szCs w:val="20"/>
          <w:vertAlign w:val="subscript"/>
        </w:rPr>
        <w:t>eu</w:t>
      </w:r>
      <w:r w:rsidRPr="00472DB8">
        <w:rPr>
          <w:rFonts w:ascii="Times" w:hAnsi="Times" w:cs="Times"/>
          <w:sz w:val="20"/>
          <w:szCs w:val="20"/>
        </w:rPr>
        <w:t xml:space="preserve"> = LPFM ERP in dBW, G</w:t>
      </w:r>
      <w:r w:rsidRPr="00472DB8">
        <w:rPr>
          <w:rFonts w:ascii="Times" w:hAnsi="Times" w:cs="Times"/>
          <w:sz w:val="20"/>
          <w:szCs w:val="20"/>
          <w:vertAlign w:val="subscript"/>
        </w:rPr>
        <w:t>ru</w:t>
      </w:r>
      <w:r w:rsidRPr="00472DB8">
        <w:rPr>
          <w:rFonts w:ascii="Times" w:hAnsi="Times" w:cs="Times"/>
          <w:sz w:val="20"/>
          <w:szCs w:val="20"/>
        </w:rPr>
        <w:t xml:space="preserve"> = gain (dBd) of the FM translator receive antenna in the direction of the LPFM site, G</w:t>
      </w:r>
      <w:r w:rsidRPr="00472DB8">
        <w:rPr>
          <w:rFonts w:ascii="Times" w:hAnsi="Times" w:cs="Times"/>
          <w:sz w:val="20"/>
          <w:szCs w:val="20"/>
          <w:vertAlign w:val="subscript"/>
        </w:rPr>
        <w:t>rd</w:t>
      </w:r>
      <w:r w:rsidRPr="00472DB8">
        <w:rPr>
          <w:rFonts w:ascii="Times" w:hAnsi="Times" w:cs="Times"/>
          <w:sz w:val="20"/>
          <w:szCs w:val="20"/>
        </w:rPr>
        <w:t xml:space="preserve"> = gain (dBd) of the FM translator receive antenna in the direction of the primary station site, E</w:t>
      </w:r>
      <w:r w:rsidRPr="00472DB8">
        <w:rPr>
          <w:rFonts w:ascii="Times" w:hAnsi="Times" w:cs="Times"/>
          <w:sz w:val="20"/>
          <w:szCs w:val="20"/>
          <w:vertAlign w:val="subscript"/>
        </w:rPr>
        <w:t>d</w:t>
      </w:r>
      <w:r w:rsidRPr="00472DB8">
        <w:rPr>
          <w:rFonts w:ascii="Times" w:hAnsi="Times" w:cs="Times"/>
          <w:sz w:val="20"/>
          <w:szCs w:val="20"/>
        </w:rPr>
        <w:t xml:space="preserve"> = predicted field strength (dBu) of the primary station at the translator site; or (3)  reaching an agreement with the licensee of the FM translator regarding an alternative technical solution.  47 C.F.R. § 73.827(a)(1)-(3).  </w:t>
      </w:r>
    </w:p>
  </w:footnote>
  <w:footnote w:id="46">
    <w:p w14:paraId="33BAE6DF"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Sixth Report and Order</w:t>
      </w:r>
      <w:r w:rsidRPr="00472DB8">
        <w:rPr>
          <w:rFonts w:ascii="Times" w:hAnsi="Times" w:cs="Times"/>
        </w:rPr>
        <w:t>, 27 FCC Rcd at 15449 ¶ 131.</w:t>
      </w:r>
    </w:p>
  </w:footnote>
  <w:footnote w:id="47">
    <w:p w14:paraId="2304975A"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Prometheus Petition at 4-5.</w:t>
      </w:r>
    </w:p>
  </w:footnote>
  <w:footnote w:id="48">
    <w:p w14:paraId="022F1943" w14:textId="29237FD2"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 xml:space="preserve">Sixth Report </w:t>
      </w:r>
      <w:r w:rsidRPr="00472DB8">
        <w:rPr>
          <w:rFonts w:ascii="Times" w:hAnsi="Times" w:cs="Times"/>
        </w:rPr>
        <w:t>and</w:t>
      </w:r>
      <w:r w:rsidRPr="00472DB8">
        <w:rPr>
          <w:rFonts w:ascii="Times" w:hAnsi="Times" w:cs="Times"/>
          <w:i/>
        </w:rPr>
        <w:t xml:space="preserve"> Order</w:t>
      </w:r>
      <w:r w:rsidRPr="00472DB8">
        <w:rPr>
          <w:rFonts w:ascii="Times" w:hAnsi="Times" w:cs="Times"/>
        </w:rPr>
        <w:t xml:space="preserve">, 27 FCC Rcd at 15447 ¶ 127. </w:t>
      </w:r>
    </w:p>
  </w:footnote>
  <w:footnote w:id="49">
    <w:p w14:paraId="63E8D057" w14:textId="77777777" w:rsidR="00C0760C" w:rsidRPr="00472DB8" w:rsidRDefault="00C0760C" w:rsidP="00472DB8">
      <w:pPr>
        <w:pStyle w:val="FootnoteText"/>
        <w:widowControl w:val="0"/>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47 C.F.R. § 73.827(a) (emphasis added).</w:t>
      </w:r>
    </w:p>
  </w:footnote>
  <w:footnote w:id="50">
    <w:p w14:paraId="758D91DD" w14:textId="5D629271" w:rsidR="00C0760C" w:rsidRPr="00472DB8" w:rsidRDefault="00C0760C" w:rsidP="00472DB8">
      <w:pPr>
        <w:widowControl w:val="0"/>
        <w:spacing w:after="120"/>
        <w:ind w:firstLine="0"/>
        <w:rPr>
          <w:rFonts w:ascii="Times" w:hAnsi="Times" w:cs="Times"/>
          <w:sz w:val="20"/>
          <w:szCs w:val="20"/>
        </w:rPr>
      </w:pPr>
      <w:r w:rsidRPr="00472DB8">
        <w:rPr>
          <w:rStyle w:val="FootnoteReference"/>
          <w:rFonts w:ascii="Times" w:hAnsi="Times" w:cs="Times"/>
          <w:sz w:val="20"/>
          <w:szCs w:val="20"/>
        </w:rPr>
        <w:footnoteRef/>
      </w:r>
      <w:r w:rsidRPr="00472DB8">
        <w:rPr>
          <w:rFonts w:ascii="Times" w:hAnsi="Times" w:cs="Times"/>
          <w:sz w:val="20"/>
          <w:szCs w:val="20"/>
        </w:rPr>
        <w:t xml:space="preserve"> On this point, NTA argues that while Section 73.827(a) only deals with LPFMs and third adjacent stations, translator receive inputs also should receive protection from all sources of interference, including co-channel, first adjacent, second adjacent, and third adjacent stations.  </w:t>
      </w:r>
      <w:r w:rsidRPr="00472DB8">
        <w:rPr>
          <w:rFonts w:ascii="Times" w:hAnsi="Times" w:cs="Times"/>
          <w:i/>
          <w:sz w:val="20"/>
          <w:szCs w:val="20"/>
        </w:rPr>
        <w:t xml:space="preserve">See </w:t>
      </w:r>
      <w:r w:rsidRPr="00472DB8">
        <w:rPr>
          <w:rFonts w:ascii="Times" w:hAnsi="Times" w:cs="Times"/>
          <w:sz w:val="20"/>
          <w:szCs w:val="20"/>
        </w:rPr>
        <w:t>Reply Comments on the National Translator Association (“NTA Reply”) at 2-3.  This question was not raised in the proceeding.  Thus, it is beyond the scope of this rulemaking and a matter that cannot be addressed in the context of a petition for reconsideration</w:t>
      </w:r>
      <w:r w:rsidRPr="00472DB8">
        <w:rPr>
          <w:rFonts w:ascii="Times" w:hAnsi="Times" w:cs="Times"/>
          <w:i/>
          <w:iCs/>
          <w:sz w:val="20"/>
          <w:szCs w:val="20"/>
        </w:rPr>
        <w:t>.  See, e.g.,</w:t>
      </w:r>
      <w:r w:rsidRPr="00472DB8">
        <w:rPr>
          <w:rFonts w:ascii="Times" w:hAnsi="Times" w:cs="Times"/>
          <w:sz w:val="20"/>
          <w:szCs w:val="20"/>
        </w:rPr>
        <w:t xml:space="preserve"> </w:t>
      </w:r>
      <w:r w:rsidRPr="00472DB8">
        <w:rPr>
          <w:rFonts w:ascii="Times" w:hAnsi="Times" w:cs="Times"/>
          <w:i/>
          <w:sz w:val="20"/>
          <w:szCs w:val="20"/>
        </w:rPr>
        <w:t>Mobile Broadband Access Order,</w:t>
      </w:r>
      <w:r w:rsidRPr="00472DB8">
        <w:rPr>
          <w:rFonts w:ascii="Times" w:hAnsi="Times" w:cs="Times"/>
          <w:sz w:val="20"/>
          <w:szCs w:val="20"/>
        </w:rPr>
        <w:t xml:space="preserve">” 21 FCC Rcd at 5630 ¶ 42 (2006) (dismissing a petition for </w:t>
      </w:r>
      <w:r w:rsidRPr="00472DB8">
        <w:rPr>
          <w:rStyle w:val="searchterm"/>
          <w:rFonts w:ascii="Times" w:hAnsi="Times" w:cs="Times"/>
          <w:sz w:val="20"/>
          <w:szCs w:val="20"/>
        </w:rPr>
        <w:t>reconsideration</w:t>
      </w:r>
      <w:r w:rsidRPr="00472DB8">
        <w:rPr>
          <w:rFonts w:ascii="Times" w:hAnsi="Times" w:cs="Times"/>
          <w:sz w:val="20"/>
          <w:szCs w:val="20"/>
        </w:rPr>
        <w:t xml:space="preserve"> as outside the </w:t>
      </w:r>
      <w:r w:rsidRPr="00472DB8">
        <w:rPr>
          <w:rStyle w:val="searchterm"/>
          <w:rFonts w:ascii="Times" w:hAnsi="Times" w:cs="Times"/>
          <w:sz w:val="20"/>
          <w:szCs w:val="20"/>
        </w:rPr>
        <w:t>scope</w:t>
      </w:r>
      <w:r w:rsidRPr="00472DB8">
        <w:rPr>
          <w:rFonts w:ascii="Times" w:hAnsi="Times" w:cs="Times"/>
          <w:sz w:val="20"/>
          <w:szCs w:val="20"/>
        </w:rPr>
        <w:t xml:space="preserve"> of the </w:t>
      </w:r>
      <w:r w:rsidRPr="00472DB8">
        <w:rPr>
          <w:rStyle w:val="searchterm"/>
          <w:rFonts w:ascii="Times" w:hAnsi="Times" w:cs="Times"/>
          <w:sz w:val="20"/>
          <w:szCs w:val="20"/>
        </w:rPr>
        <w:t>rulemaking</w:t>
      </w:r>
      <w:r w:rsidRPr="00472DB8">
        <w:rPr>
          <w:rFonts w:ascii="Times" w:hAnsi="Times" w:cs="Times"/>
          <w:sz w:val="20"/>
          <w:szCs w:val="20"/>
        </w:rPr>
        <w:t xml:space="preserve"> proceeding).  Moreover, our obligation under the LCRA is “to address the potential for predicted interference to FM translator input signals on </w:t>
      </w:r>
      <w:r w:rsidRPr="00472DB8">
        <w:rPr>
          <w:rFonts w:ascii="Times" w:hAnsi="Times" w:cs="Times"/>
          <w:i/>
          <w:sz w:val="20"/>
          <w:szCs w:val="20"/>
        </w:rPr>
        <w:t>third-adjacent</w:t>
      </w:r>
      <w:r w:rsidRPr="00472DB8">
        <w:rPr>
          <w:rFonts w:ascii="Times" w:hAnsi="Times" w:cs="Times"/>
          <w:sz w:val="20"/>
          <w:szCs w:val="20"/>
        </w:rPr>
        <w:t xml:space="preserve"> channels….” LCRA § 6 (emphasis added). </w:t>
      </w:r>
    </w:p>
  </w:footnote>
  <w:footnote w:id="51">
    <w:p w14:paraId="5321D095"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NTA Reply at 2-3; Educational Media Foundation, Comments on Petition for Reconsideration (“EMF Comments”) at 1-2; Comments of National Public Radio, Inc. on Certain Petitions for Reconsideration (“NPR Comments”) at 2-3.</w:t>
      </w:r>
    </w:p>
  </w:footnote>
  <w:footnote w:id="52">
    <w:p w14:paraId="534BC35D"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 xml:space="preserve">Sixth Report </w:t>
      </w:r>
      <w:r w:rsidRPr="00472DB8">
        <w:rPr>
          <w:rFonts w:ascii="Times" w:hAnsi="Times" w:cs="Times"/>
        </w:rPr>
        <w:t>and</w:t>
      </w:r>
      <w:r w:rsidRPr="00472DB8">
        <w:rPr>
          <w:rFonts w:ascii="Times" w:hAnsi="Times" w:cs="Times"/>
          <w:i/>
        </w:rPr>
        <w:t xml:space="preserve"> Order</w:t>
      </w:r>
      <w:r w:rsidRPr="00472DB8">
        <w:rPr>
          <w:rFonts w:ascii="Times" w:hAnsi="Times" w:cs="Times"/>
        </w:rPr>
        <w:t>, 27 FCC Rcd at 15447 ¶ 127.</w:t>
      </w:r>
    </w:p>
  </w:footnote>
  <w:footnote w:id="53">
    <w:p w14:paraId="1C929B75" w14:textId="5CA4BF18"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47 C.F.R. §73.827(a)(1)(the rule prohibits the signal of a proposed LPFM station to exceed the input station’s signal (at the receive site of the translator) by more than 34 dB).</w:t>
      </w:r>
    </w:p>
  </w:footnote>
  <w:footnote w:id="54">
    <w:p w14:paraId="3F6294B8"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Prometheus Petition at 5-6.</w:t>
      </w:r>
    </w:p>
  </w:footnote>
  <w:footnote w:id="55">
    <w:p w14:paraId="43F0400B"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NPR Comments at 3-4.</w:t>
      </w:r>
    </w:p>
  </w:footnote>
  <w:footnote w:id="56">
    <w:p w14:paraId="72D5C0BB"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NPR Comments at 4.</w:t>
      </w:r>
    </w:p>
  </w:footnote>
  <w:footnote w:id="57">
    <w:p w14:paraId="0D4FC4DE"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NTA Reply at 3.</w:t>
      </w:r>
    </w:p>
  </w:footnote>
  <w:footnote w:id="58">
    <w:p w14:paraId="484020BC"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Reply of Prometheus Radio Project to Oppositions and Comments on Petition for Reconsideration (“Prometheus Reply”) at 2.</w:t>
      </w:r>
    </w:p>
  </w:footnote>
  <w:footnote w:id="59">
    <w:p w14:paraId="02DBF29F" w14:textId="0ED9F708"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Id</w:t>
      </w:r>
      <w:r w:rsidRPr="00472DB8">
        <w:rPr>
          <w:rFonts w:ascii="Times" w:hAnsi="Times" w:cs="Times"/>
        </w:rPr>
        <w:t>.  That is, if the LPFM station does not interfere with the input signal (</w:t>
      </w:r>
      <w:r w:rsidRPr="00472DB8">
        <w:rPr>
          <w:rFonts w:ascii="Times" w:hAnsi="Times" w:cs="Times"/>
          <w:i/>
        </w:rPr>
        <w:t xml:space="preserve"> see</w:t>
      </w:r>
      <w:r w:rsidRPr="00472DB8">
        <w:rPr>
          <w:rFonts w:ascii="Times" w:hAnsi="Times" w:cs="Times"/>
        </w:rPr>
        <w:t xml:space="preserve">, </w:t>
      </w:r>
      <w:r w:rsidRPr="00472DB8">
        <w:rPr>
          <w:rFonts w:ascii="Times" w:hAnsi="Times" w:cs="Times"/>
          <w:i/>
        </w:rPr>
        <w:t xml:space="preserve">supra, </w:t>
      </w:r>
      <w:r w:rsidRPr="00472DB8">
        <w:rPr>
          <w:rFonts w:ascii="Times" w:hAnsi="Times" w:cs="Times"/>
        </w:rPr>
        <w:t>n. 2) at the translator’s receive antenna, then the translator will be able to rebroadcast the clean signal that it receives, regardless of whether the LPFM station interferes with the signal of the input station elsewhere.</w:t>
      </w:r>
    </w:p>
  </w:footnote>
  <w:footnote w:id="60">
    <w:p w14:paraId="4AF77968"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i/>
        </w:rPr>
        <w:t xml:space="preserve"> Id</w:t>
      </w:r>
      <w:r w:rsidRPr="00472DB8">
        <w:rPr>
          <w:rFonts w:ascii="Times" w:hAnsi="Times" w:cs="Times"/>
        </w:rPr>
        <w:t>.</w:t>
      </w:r>
    </w:p>
  </w:footnote>
  <w:footnote w:id="61">
    <w:p w14:paraId="12F954BE"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 xml:space="preserve">See </w:t>
      </w:r>
      <w:r w:rsidRPr="00472DB8">
        <w:rPr>
          <w:rFonts w:ascii="Times" w:hAnsi="Times" w:cs="Times"/>
        </w:rPr>
        <w:t>47 C.F.R. § 1.429(b)(3) (Commission may consider new facts and arguments when required in the public interest).</w:t>
      </w:r>
    </w:p>
  </w:footnote>
  <w:footnote w:id="62">
    <w:p w14:paraId="5473BC6D" w14:textId="01BC56AC"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LCRA, Section 6.</w:t>
      </w:r>
    </w:p>
  </w:footnote>
  <w:footnote w:id="63">
    <w:p w14:paraId="0234ABDC"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Fourth Further Notice</w:t>
      </w:r>
      <w:r w:rsidRPr="00472DB8">
        <w:rPr>
          <w:rFonts w:ascii="Times" w:hAnsi="Times" w:cs="Times"/>
        </w:rPr>
        <w:t>, 27 FCC Rcd at 3333 (emphasis added).</w:t>
      </w:r>
    </w:p>
  </w:footnote>
  <w:footnote w:id="64">
    <w:p w14:paraId="71F3FC27" w14:textId="5D59566B" w:rsidR="00C0760C" w:rsidRPr="00472DB8" w:rsidRDefault="00C0760C" w:rsidP="00472DB8">
      <w:pPr>
        <w:pStyle w:val="FootnoteText"/>
        <w:spacing w:after="120"/>
        <w:ind w:firstLine="0"/>
        <w:rPr>
          <w:rFonts w:ascii="Times" w:hAnsi="Times" w:cs="Times"/>
          <w:i/>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See Mitre Corporation’s Technical Report</w:t>
      </w:r>
      <w:r w:rsidRPr="00472DB8">
        <w:rPr>
          <w:rFonts w:ascii="Times" w:hAnsi="Times" w:cs="Times"/>
        </w:rPr>
        <w:t>, Experimental Measures of the Third-Adjacent-Channel Impacts of Low-Power-FM Stations,” Sec. 2.7 or pp. 2-16, 2-17, 2-18 (emphasis added)</w:t>
      </w:r>
      <w:r w:rsidRPr="00472DB8">
        <w:rPr>
          <w:rFonts w:ascii="Times" w:hAnsi="Times" w:cs="Times"/>
          <w:i/>
        </w:rPr>
        <w:t>.</w:t>
      </w:r>
    </w:p>
  </w:footnote>
  <w:footnote w:id="65">
    <w:p w14:paraId="58DA36B1" w14:textId="3155C1A1"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LCRA, Section 6.</w:t>
      </w:r>
    </w:p>
  </w:footnote>
  <w:footnote w:id="66">
    <w:p w14:paraId="7CABDD8A" w14:textId="4B0C8B76"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47 C.F.R. § 73.810.</w:t>
      </w:r>
    </w:p>
  </w:footnote>
  <w:footnote w:id="67">
    <w:p w14:paraId="4CB30BEE" w14:textId="5AE6AABF"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47 C.F.R. § 73.827(a)(1). </w:t>
      </w:r>
    </w:p>
  </w:footnote>
  <w:footnote w:id="68">
    <w:p w14:paraId="78A4534E"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Sixth Report and Order</w:t>
      </w:r>
      <w:r w:rsidRPr="00472DB8">
        <w:rPr>
          <w:rFonts w:ascii="Times" w:hAnsi="Times" w:cs="Times"/>
        </w:rPr>
        <w:t>, 27 FCC Rcd at 15448-49 ¶ 130.</w:t>
      </w:r>
    </w:p>
  </w:footnote>
  <w:footnote w:id="69">
    <w:p w14:paraId="3684BA68" w14:textId="0D567045"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In this context, input signal data means the identity of the station whose signal is being rebroadcast and the method by which such signal is delivered to the translator station.</w:t>
      </w:r>
    </w:p>
  </w:footnote>
  <w:footnote w:id="70">
    <w:p w14:paraId="155D3142"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Prometheus Petition at 7-10.</w:t>
      </w:r>
    </w:p>
  </w:footnote>
  <w:footnote w:id="71">
    <w:p w14:paraId="33376FC5"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Id</w:t>
      </w:r>
      <w:r w:rsidRPr="00472DB8">
        <w:rPr>
          <w:rFonts w:ascii="Times" w:hAnsi="Times" w:cs="Times"/>
        </w:rPr>
        <w:t>. at 10-11.</w:t>
      </w:r>
    </w:p>
  </w:footnote>
  <w:footnote w:id="72">
    <w:p w14:paraId="70C79448"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NPR Comments at 5-6.</w:t>
      </w:r>
    </w:p>
  </w:footnote>
  <w:footnote w:id="73">
    <w:p w14:paraId="33908571"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NTA Reply at 4-5; EMF Comments at 3-4.</w:t>
      </w:r>
    </w:p>
  </w:footnote>
  <w:footnote w:id="74">
    <w:p w14:paraId="4A5C207C"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NTA Reply at 4-5.</w:t>
      </w:r>
    </w:p>
  </w:footnote>
  <w:footnote w:id="75">
    <w:p w14:paraId="4B57061E" w14:textId="3319594A"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EMF Comments at 3.  </w:t>
      </w:r>
      <w:r w:rsidRPr="00472DB8">
        <w:rPr>
          <w:rFonts w:ascii="Times" w:hAnsi="Times" w:cs="Times"/>
          <w:i/>
        </w:rPr>
        <w:t>See also</w:t>
      </w:r>
      <w:r w:rsidRPr="00472DB8">
        <w:rPr>
          <w:rFonts w:ascii="Times" w:hAnsi="Times" w:cs="Times"/>
        </w:rPr>
        <w:t xml:space="preserve">, </w:t>
      </w:r>
      <w:r w:rsidRPr="00472DB8">
        <w:rPr>
          <w:rFonts w:ascii="Times" w:hAnsi="Times" w:cs="Times"/>
          <w:i/>
        </w:rPr>
        <w:t>infra</w:t>
      </w:r>
      <w:r w:rsidRPr="00472DB8">
        <w:rPr>
          <w:rFonts w:ascii="Times" w:hAnsi="Times" w:cs="Times"/>
        </w:rPr>
        <w:t>, ¶ 29, where we determine that an application for an LPFM station must protect an input signal that is in use or proposed in an application filed with the Commission prior to the release of the public notice announcing the dates for the LPFM filing window.</w:t>
      </w:r>
    </w:p>
  </w:footnote>
  <w:footnote w:id="76">
    <w:p w14:paraId="64929B44"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Prometheus Reply at 6.</w:t>
      </w:r>
    </w:p>
  </w:footnote>
  <w:footnote w:id="77">
    <w:p w14:paraId="675B6EE5" w14:textId="7D72CC6E"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Sixth Report and Order</w:t>
      </w:r>
      <w:r w:rsidRPr="00472DB8">
        <w:rPr>
          <w:rFonts w:ascii="Times" w:hAnsi="Times" w:cs="Times"/>
        </w:rPr>
        <w:t>, 27 FCC Rcd at 15448 ¶ 130.</w:t>
      </w:r>
    </w:p>
  </w:footnote>
  <w:footnote w:id="78">
    <w:p w14:paraId="37C25CDA" w14:textId="5E314E1B"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Prometheus’ review of CDBS records seems to indicate most of the incorrect or missing data concern translator input signal delivery methods.  </w:t>
      </w:r>
      <w:r w:rsidRPr="00472DB8">
        <w:rPr>
          <w:rFonts w:ascii="Times" w:hAnsi="Times" w:cs="Times"/>
          <w:i/>
        </w:rPr>
        <w:t xml:space="preserve">See </w:t>
      </w:r>
      <w:r w:rsidRPr="00472DB8">
        <w:rPr>
          <w:rFonts w:ascii="Times" w:hAnsi="Times" w:cs="Times"/>
        </w:rPr>
        <w:t xml:space="preserve">Prometheus Petition at Appendix, 12-19.  Prometheus’ review indicates only three missing translator records were found regarding input signal designation, which Prometheus notes “does not present much of a problem.”  </w:t>
      </w:r>
      <w:r w:rsidRPr="00472DB8">
        <w:rPr>
          <w:rFonts w:ascii="Times" w:hAnsi="Times" w:cs="Times"/>
          <w:i/>
        </w:rPr>
        <w:t xml:space="preserve">See </w:t>
      </w:r>
      <w:r w:rsidRPr="00472DB8">
        <w:rPr>
          <w:rFonts w:ascii="Times" w:hAnsi="Times" w:cs="Times"/>
        </w:rPr>
        <w:t>Prometheus Petition at 13.</w:t>
      </w:r>
    </w:p>
  </w:footnote>
  <w:footnote w:id="79">
    <w:p w14:paraId="3670DD1B"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47 C.F.R. § 74.1251(c).</w:t>
      </w:r>
    </w:p>
  </w:footnote>
  <w:footnote w:id="80">
    <w:p w14:paraId="22DF1A58"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See Sixth Report and Order</w:t>
      </w:r>
      <w:r w:rsidRPr="00472DB8">
        <w:rPr>
          <w:rFonts w:ascii="Times" w:hAnsi="Times" w:cs="Times"/>
        </w:rPr>
        <w:t xml:space="preserve">, 27 FCC Rcd at 15449 n.313 (input signal complainant must provide proof of timely notice to the Commission of primary station designation); </w:t>
      </w:r>
      <w:r w:rsidRPr="00472DB8">
        <w:rPr>
          <w:rFonts w:ascii="Times" w:hAnsi="Times" w:cs="Times"/>
          <w:i/>
        </w:rPr>
        <w:t>see also</w:t>
      </w:r>
      <w:r w:rsidRPr="00472DB8">
        <w:rPr>
          <w:rFonts w:ascii="Times" w:hAnsi="Times" w:cs="Times"/>
        </w:rPr>
        <w:t xml:space="preserve"> Section III.C.2., </w:t>
      </w:r>
      <w:r w:rsidRPr="00472DB8">
        <w:rPr>
          <w:rFonts w:ascii="Times" w:hAnsi="Times" w:cs="Times"/>
          <w:i/>
        </w:rPr>
        <w:t>infra</w:t>
      </w:r>
      <w:r w:rsidRPr="00472DB8">
        <w:rPr>
          <w:rFonts w:ascii="Times" w:hAnsi="Times" w:cs="Times"/>
        </w:rPr>
        <w:t xml:space="preserve">. </w:t>
      </w:r>
    </w:p>
  </w:footnote>
  <w:footnote w:id="81">
    <w:p w14:paraId="64026B06"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Prometheus Petition at 6.</w:t>
      </w:r>
    </w:p>
  </w:footnote>
  <w:footnote w:id="82">
    <w:p w14:paraId="4BD0A2D7"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Id</w:t>
      </w:r>
      <w:r w:rsidRPr="00472DB8">
        <w:rPr>
          <w:rFonts w:ascii="Times" w:hAnsi="Times" w:cs="Times"/>
        </w:rPr>
        <w:t>. at 7.</w:t>
      </w:r>
    </w:p>
  </w:footnote>
  <w:footnote w:id="83">
    <w:p w14:paraId="1E03EDE5" w14:textId="7F1F2413" w:rsidR="00C0760C" w:rsidRPr="00472DB8" w:rsidRDefault="00C0760C" w:rsidP="00472DB8">
      <w:pPr>
        <w:pStyle w:val="FootnoteText"/>
        <w:spacing w:after="120"/>
        <w:ind w:firstLine="0"/>
        <w:rPr>
          <w:rFonts w:ascii="Times" w:hAnsi="Times" w:cs="Times"/>
          <w:b/>
        </w:rPr>
      </w:pPr>
      <w:r w:rsidRPr="00472DB8">
        <w:rPr>
          <w:rStyle w:val="FootnoteReference"/>
          <w:rFonts w:ascii="Times" w:hAnsi="Times" w:cs="Times"/>
        </w:rPr>
        <w:footnoteRef/>
      </w:r>
      <w:r w:rsidRPr="00472DB8">
        <w:rPr>
          <w:rFonts w:ascii="Times" w:hAnsi="Times" w:cs="Times"/>
        </w:rPr>
        <w:t xml:space="preserve"> NPR Comments at 5.  </w:t>
      </w:r>
    </w:p>
  </w:footnote>
  <w:footnote w:id="84">
    <w:p w14:paraId="17CA313A"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Id</w:t>
      </w:r>
      <w:r w:rsidRPr="00472DB8">
        <w:rPr>
          <w:rFonts w:ascii="Times" w:hAnsi="Times" w:cs="Times"/>
        </w:rPr>
        <w:t>.</w:t>
      </w:r>
    </w:p>
  </w:footnote>
  <w:footnote w:id="85">
    <w:p w14:paraId="42CF390A"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NTA Reply at 3.</w:t>
      </w:r>
    </w:p>
  </w:footnote>
  <w:footnote w:id="86">
    <w:p w14:paraId="22CC0C9A"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Id</w:t>
      </w:r>
      <w:r w:rsidRPr="00472DB8">
        <w:rPr>
          <w:rFonts w:ascii="Times" w:hAnsi="Times" w:cs="Times"/>
        </w:rPr>
        <w:t>. at 4.</w:t>
      </w:r>
    </w:p>
  </w:footnote>
  <w:footnote w:id="87">
    <w:p w14:paraId="090C2CDE"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Prometheus Reply at 5.</w:t>
      </w:r>
    </w:p>
  </w:footnote>
  <w:footnote w:id="88">
    <w:p w14:paraId="1B90CFCA" w14:textId="2B3C761F"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 xml:space="preserve">See </w:t>
      </w:r>
      <w:r w:rsidRPr="00472DB8">
        <w:rPr>
          <w:rFonts w:ascii="Times" w:hAnsi="Times" w:cs="Times"/>
        </w:rPr>
        <w:t>47 C.F.R. § 1.429(b)(3) (Commission may consider new facts and arguments when required in the public interest).</w:t>
      </w:r>
    </w:p>
  </w:footnote>
  <w:footnote w:id="89">
    <w:p w14:paraId="1D804064" w14:textId="77777777" w:rsidR="00C0760C" w:rsidRPr="00472DB8" w:rsidRDefault="00C0760C" w:rsidP="00472DB8">
      <w:pPr>
        <w:spacing w:after="120"/>
        <w:ind w:firstLine="0"/>
        <w:rPr>
          <w:rFonts w:ascii="Times" w:hAnsi="Times" w:cs="Times"/>
          <w:sz w:val="20"/>
          <w:szCs w:val="20"/>
        </w:rPr>
      </w:pPr>
      <w:r w:rsidRPr="00472DB8">
        <w:rPr>
          <w:rStyle w:val="FootnoteReference"/>
          <w:rFonts w:ascii="Times" w:hAnsi="Times" w:cs="Times"/>
          <w:sz w:val="20"/>
          <w:szCs w:val="20"/>
        </w:rPr>
        <w:footnoteRef/>
      </w:r>
      <w:r w:rsidRPr="00472DB8">
        <w:rPr>
          <w:rFonts w:ascii="Times" w:hAnsi="Times" w:cs="Times"/>
          <w:sz w:val="20"/>
          <w:szCs w:val="20"/>
        </w:rPr>
        <w:t xml:space="preserve"> </w:t>
      </w:r>
      <w:r w:rsidRPr="00472DB8">
        <w:rPr>
          <w:rFonts w:ascii="Times" w:hAnsi="Times" w:cs="Times"/>
          <w:i/>
          <w:iCs/>
          <w:sz w:val="20"/>
          <w:szCs w:val="20"/>
        </w:rPr>
        <w:t>See</w:t>
      </w:r>
      <w:r w:rsidRPr="00472DB8">
        <w:rPr>
          <w:rFonts w:ascii="Times" w:hAnsi="Times" w:cs="Times"/>
          <w:sz w:val="20"/>
          <w:szCs w:val="20"/>
        </w:rPr>
        <w:t xml:space="preserve"> 47 C.F.R. §§ 73.807(c) (requiring LPFM application to meet minimum distance separation requirements with respect to FM translator authorizations and applications filed prior to the release of the public notice announcing the LPFM window period) and 74.1204(a) and Note to Paragraph (a)(4) (barring the acceptance of an FM translator application if the proposed operation would involve prohibited overlap to authorized LPFM stations or prior filed LPFM applications).</w:t>
      </w:r>
    </w:p>
  </w:footnote>
  <w:footnote w:id="90">
    <w:p w14:paraId="5C330528"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 xml:space="preserve">See </w:t>
      </w:r>
      <w:r w:rsidRPr="00472DB8">
        <w:rPr>
          <w:rFonts w:ascii="Times" w:hAnsi="Times" w:cs="Times"/>
        </w:rPr>
        <w:t>LPFM PN</w:t>
      </w:r>
      <w:r w:rsidRPr="00472DB8">
        <w:rPr>
          <w:rFonts w:ascii="Times" w:hAnsi="Times" w:cs="Times"/>
          <w:i/>
        </w:rPr>
        <w:t xml:space="preserve"> </w:t>
      </w:r>
      <w:r w:rsidRPr="00472DB8">
        <w:rPr>
          <w:rFonts w:ascii="Times" w:hAnsi="Times" w:cs="Times"/>
        </w:rPr>
        <w:t xml:space="preserve">at 1-2, which establishes the “cut-off” date of June 17, 2013, for purposes of Section 73.807(c) and the October 15 -29, 2013, LPFM filing window.  </w:t>
      </w:r>
    </w:p>
  </w:footnote>
  <w:footnote w:id="91">
    <w:p w14:paraId="2C59BEA7"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 xml:space="preserve">See </w:t>
      </w:r>
      <w:r w:rsidRPr="00472DB8">
        <w:rPr>
          <w:rFonts w:ascii="Times" w:hAnsi="Times" w:cs="Times"/>
        </w:rPr>
        <w:t>LCRA § 6.</w:t>
      </w:r>
    </w:p>
  </w:footnote>
  <w:footnote w:id="92">
    <w:p w14:paraId="4958FE33" w14:textId="77777777" w:rsidR="00C0760C" w:rsidRPr="00472DB8" w:rsidRDefault="00C0760C" w:rsidP="00472DB8">
      <w:pPr>
        <w:spacing w:after="120"/>
        <w:ind w:firstLine="0"/>
        <w:rPr>
          <w:rFonts w:ascii="Times" w:hAnsi="Times" w:cs="Times"/>
          <w:sz w:val="20"/>
          <w:szCs w:val="20"/>
        </w:rPr>
      </w:pPr>
      <w:r w:rsidRPr="00472DB8">
        <w:rPr>
          <w:rStyle w:val="FootnoteReference"/>
          <w:rFonts w:ascii="Times" w:hAnsi="Times" w:cs="Times"/>
          <w:sz w:val="20"/>
          <w:szCs w:val="20"/>
        </w:rPr>
        <w:footnoteRef/>
      </w:r>
      <w:r w:rsidRPr="00472DB8">
        <w:rPr>
          <w:rFonts w:ascii="Times" w:hAnsi="Times" w:cs="Times"/>
          <w:sz w:val="20"/>
          <w:szCs w:val="20"/>
        </w:rPr>
        <w:t xml:space="preserve"> Prometheus Petition at 6.</w:t>
      </w:r>
    </w:p>
  </w:footnote>
  <w:footnote w:id="93">
    <w:p w14:paraId="36F2C90A" w14:textId="5B48CDCD" w:rsidR="00C0760C" w:rsidRPr="0016098A" w:rsidRDefault="00C0760C" w:rsidP="0016098A">
      <w:pPr>
        <w:pStyle w:val="FootnoteText"/>
        <w:ind w:firstLine="0"/>
        <w:rPr>
          <w:rFonts w:ascii="Times" w:hAnsi="Times"/>
        </w:rPr>
      </w:pPr>
      <w:r w:rsidRPr="0016098A">
        <w:rPr>
          <w:rStyle w:val="FootnoteReference"/>
          <w:rFonts w:ascii="Times" w:hAnsi="Times"/>
        </w:rPr>
        <w:footnoteRef/>
      </w:r>
      <w:r w:rsidRPr="0016098A">
        <w:rPr>
          <w:rFonts w:ascii="Times" w:hAnsi="Times"/>
        </w:rPr>
        <w:t xml:space="preserve"> </w:t>
      </w:r>
      <w:r w:rsidRPr="0016098A">
        <w:rPr>
          <w:rFonts w:ascii="Times" w:hAnsi="Times" w:cs="Times"/>
          <w:i/>
        </w:rPr>
        <w:t xml:space="preserve">See </w:t>
      </w:r>
      <w:r w:rsidRPr="0016098A">
        <w:rPr>
          <w:rFonts w:ascii="Times" w:hAnsi="Times" w:cs="Times"/>
        </w:rPr>
        <w:t>LPFM PN</w:t>
      </w:r>
      <w:r w:rsidRPr="0016098A">
        <w:rPr>
          <w:rFonts w:ascii="Times" w:hAnsi="Times" w:cs="Times"/>
          <w:i/>
        </w:rPr>
        <w:t xml:space="preserve"> </w:t>
      </w:r>
      <w:r w:rsidRPr="0016098A">
        <w:rPr>
          <w:rFonts w:ascii="Times" w:hAnsi="Times" w:cs="Times"/>
        </w:rPr>
        <w:t xml:space="preserve">at 1-2.  </w:t>
      </w:r>
      <w:r w:rsidRPr="0016098A">
        <w:rPr>
          <w:rFonts w:ascii="Times" w:hAnsi="Times"/>
        </w:rPr>
        <w:t>Contrary to NTA’s assumption, the Media Bureau will not impose a freeze on the filing of translator amendments and applications prior to the opening of the LPFM window.</w:t>
      </w:r>
    </w:p>
    <w:p w14:paraId="130C13C8" w14:textId="77777777" w:rsidR="00C0760C" w:rsidRDefault="00C0760C">
      <w:pPr>
        <w:pStyle w:val="FootnoteText"/>
      </w:pPr>
    </w:p>
  </w:footnote>
  <w:footnote w:id="94">
    <w:p w14:paraId="39EFBEE3"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 xml:space="preserve">See id. </w:t>
      </w:r>
      <w:r w:rsidRPr="00472DB8">
        <w:rPr>
          <w:rFonts w:ascii="Times" w:hAnsi="Times" w:cs="Times"/>
        </w:rPr>
        <w:t>at § 73.807(e)(1).  A waiver applicant would seek waiver of Sections 73.807(a)-(c) of the Commission’s rules, which set forth the required physical distance in kilometers between an LPFM station and a station on an adjacent channel.  47 C.F.R.</w:t>
      </w:r>
      <w:r w:rsidRPr="00472DB8">
        <w:rPr>
          <w:rFonts w:ascii="Times" w:hAnsi="Times" w:cs="Times"/>
          <w:i/>
        </w:rPr>
        <w:t xml:space="preserve"> </w:t>
      </w:r>
      <w:r w:rsidRPr="00472DB8">
        <w:rPr>
          <w:rFonts w:ascii="Times" w:hAnsi="Times" w:cs="Times"/>
        </w:rPr>
        <w:t xml:space="preserve">§ 73.807(a)-(c); </w:t>
      </w:r>
      <w:r w:rsidRPr="00472DB8">
        <w:rPr>
          <w:rFonts w:ascii="Times" w:hAnsi="Times" w:cs="Times"/>
          <w:i/>
        </w:rPr>
        <w:t xml:space="preserve">see also </w:t>
      </w:r>
      <w:r w:rsidRPr="00472DB8">
        <w:rPr>
          <w:rFonts w:ascii="Times" w:hAnsi="Times" w:cs="Times"/>
        </w:rPr>
        <w:t>47 C.F.R. §§ 73.808, 73.208(c) (setting forth the equations for computing those distances).</w:t>
      </w:r>
    </w:p>
  </w:footnote>
  <w:footnote w:id="95">
    <w:p w14:paraId="3D7AE009"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LCRA § 3(b)(2)(A).</w:t>
      </w:r>
    </w:p>
  </w:footnote>
  <w:footnote w:id="96">
    <w:p w14:paraId="2DF17D61"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Sixth Report and Order</w:t>
      </w:r>
      <w:r w:rsidRPr="00472DB8">
        <w:rPr>
          <w:rFonts w:ascii="Times" w:hAnsi="Times" w:cs="Times"/>
        </w:rPr>
        <w:t xml:space="preserve">, 27 FCC Rcd at 15428-15430 ¶¶ 77-80 (waiver applicants can also demonstrate an absence of interference by proposing lower powers or differing polarizations). </w:t>
      </w:r>
    </w:p>
  </w:footnote>
  <w:footnote w:id="97">
    <w:p w14:paraId="2463D05A"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Id</w:t>
      </w:r>
      <w:r w:rsidRPr="00472DB8">
        <w:rPr>
          <w:rFonts w:ascii="Times" w:hAnsi="Times" w:cs="Times"/>
        </w:rPr>
        <w:t>. at</w:t>
      </w:r>
      <w:r w:rsidRPr="00472DB8">
        <w:rPr>
          <w:rFonts w:ascii="Times" w:hAnsi="Times" w:cs="Times"/>
          <w:i/>
        </w:rPr>
        <w:t xml:space="preserve"> </w:t>
      </w:r>
      <w:r w:rsidRPr="00472DB8">
        <w:rPr>
          <w:rFonts w:ascii="Times" w:hAnsi="Times" w:cs="Times"/>
        </w:rPr>
        <w:t>15430 ¶ 80 (subsequently filed FM translator applications must protect authorized LPFM stations and pending LPFM applications, including applications seeking second-adjacent channel waivers, as operating with non-directional antennas at their authorized power).</w:t>
      </w:r>
    </w:p>
  </w:footnote>
  <w:footnote w:id="98">
    <w:p w14:paraId="243CC591"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Prometheus Petition at 11.</w:t>
      </w:r>
    </w:p>
  </w:footnote>
  <w:footnote w:id="99">
    <w:p w14:paraId="4A742058" w14:textId="48ABA17C"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NTA Reply at 5.  NTA incorrectly states that LPFM stations are not allowed to use directional antennas.  </w:t>
      </w:r>
      <w:r w:rsidRPr="00472DB8">
        <w:rPr>
          <w:rFonts w:ascii="Times" w:hAnsi="Times" w:cs="Times"/>
          <w:i/>
        </w:rPr>
        <w:t>Id</w:t>
      </w:r>
      <w:r w:rsidRPr="00472DB8">
        <w:rPr>
          <w:rFonts w:ascii="Times" w:hAnsi="Times" w:cs="Times"/>
        </w:rPr>
        <w:t xml:space="preserve">.  The </w:t>
      </w:r>
      <w:r w:rsidRPr="00472DB8">
        <w:rPr>
          <w:rFonts w:ascii="Times" w:hAnsi="Times" w:cs="Times"/>
          <w:i/>
        </w:rPr>
        <w:t>Sixth Report and Order</w:t>
      </w:r>
      <w:r w:rsidRPr="00472DB8">
        <w:rPr>
          <w:rFonts w:ascii="Times" w:hAnsi="Times" w:cs="Times"/>
        </w:rPr>
        <w:t xml:space="preserve"> specifically states that we “will permit waiver applicants to propose use of directional antennas in making [interference] showings.” </w:t>
      </w:r>
      <w:r w:rsidRPr="00472DB8">
        <w:rPr>
          <w:rFonts w:ascii="Times" w:hAnsi="Times" w:cs="Times"/>
          <w:i/>
        </w:rPr>
        <w:t>Sixth Report and Order</w:t>
      </w:r>
      <w:r w:rsidRPr="00472DB8">
        <w:rPr>
          <w:rFonts w:ascii="Times" w:hAnsi="Times" w:cs="Times"/>
        </w:rPr>
        <w:t>, 27 FCC Rcd at 15429 ¶ 79.</w:t>
      </w:r>
    </w:p>
  </w:footnote>
  <w:footnote w:id="100">
    <w:p w14:paraId="6409B38C" w14:textId="77777777" w:rsidR="00C0760C" w:rsidRPr="00472DB8" w:rsidRDefault="00C0760C" w:rsidP="00472DB8">
      <w:pPr>
        <w:pStyle w:val="FootnoteText"/>
        <w:tabs>
          <w:tab w:val="left" w:pos="4909"/>
        </w:tabs>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Id.</w:t>
      </w:r>
      <w:r w:rsidRPr="00472DB8">
        <w:rPr>
          <w:rFonts w:ascii="Times" w:hAnsi="Times" w:cs="Times"/>
        </w:rPr>
        <w:t>, 27 FCC Rcd at 15429 n. 160.</w:t>
      </w:r>
      <w:r w:rsidRPr="00472DB8">
        <w:rPr>
          <w:rFonts w:ascii="Times" w:hAnsi="Times" w:cs="Times"/>
        </w:rPr>
        <w:tab/>
      </w:r>
    </w:p>
  </w:footnote>
  <w:footnote w:id="101">
    <w:p w14:paraId="3FFB7930" w14:textId="08DA0E34"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For consistency, future LPFM applicants should also treat LPFM stations using lower powers or differing polarizations as operating non-directionally at their authorized power.   </w:t>
      </w:r>
    </w:p>
  </w:footnote>
  <w:footnote w:id="102">
    <w:p w14:paraId="18085DBE"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See id.</w:t>
      </w:r>
      <w:r w:rsidRPr="00472DB8">
        <w:rPr>
          <w:rFonts w:ascii="Times" w:hAnsi="Times" w:cs="Times"/>
        </w:rPr>
        <w:t xml:space="preserve"> at 15434 n. 207 and accompanying text; </w:t>
      </w:r>
      <w:r w:rsidRPr="00472DB8">
        <w:rPr>
          <w:rFonts w:ascii="Times" w:hAnsi="Times" w:cs="Times"/>
          <w:i/>
        </w:rPr>
        <w:t>Fourth Further Notice</w:t>
      </w:r>
      <w:r w:rsidRPr="00472DB8">
        <w:rPr>
          <w:rFonts w:ascii="Times" w:hAnsi="Times" w:cs="Times"/>
        </w:rPr>
        <w:t>, 27 FCC Rcd</w:t>
      </w:r>
      <w:r w:rsidRPr="00472DB8">
        <w:rPr>
          <w:rFonts w:ascii="Times" w:hAnsi="Times" w:cs="Times"/>
          <w:i/>
        </w:rPr>
        <w:t xml:space="preserve"> </w:t>
      </w:r>
      <w:r w:rsidRPr="00472DB8">
        <w:rPr>
          <w:rFonts w:ascii="Times" w:hAnsi="Times" w:cs="Times"/>
        </w:rPr>
        <w:t>at 3324-3328 ¶¶ 21-30.</w:t>
      </w:r>
    </w:p>
  </w:footnote>
  <w:footnote w:id="103">
    <w:p w14:paraId="1400FDE5" w14:textId="305F9617" w:rsidR="00C0760C" w:rsidRPr="00472DB8" w:rsidRDefault="00C0760C" w:rsidP="00472DB8">
      <w:pPr>
        <w:pStyle w:val="FootnoteText"/>
        <w:tabs>
          <w:tab w:val="left" w:pos="4909"/>
        </w:tabs>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In this context, the phrase “short-spaced” refers to a station that, under our rules, does not satisfy the requisite minimum distance separation to one or more stations broadcasting on a third-adjacent channel.  </w:t>
      </w:r>
      <w:r w:rsidRPr="00472DB8">
        <w:rPr>
          <w:rFonts w:ascii="Times" w:hAnsi="Times" w:cs="Times"/>
          <w:i/>
        </w:rPr>
        <w:t>See</w:t>
      </w:r>
      <w:r w:rsidRPr="00472DB8">
        <w:rPr>
          <w:rFonts w:ascii="Times" w:hAnsi="Times" w:cs="Times"/>
        </w:rPr>
        <w:t xml:space="preserve"> LCRA § 7(1) (citing 47 C.F.R. § 73.807). </w:t>
      </w:r>
    </w:p>
  </w:footnote>
  <w:footnote w:id="104">
    <w:p w14:paraId="0518F2B1" w14:textId="6B55A6D4"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 xml:space="preserve">Sixth Report and Order, </w:t>
      </w:r>
      <w:r w:rsidRPr="00472DB8">
        <w:rPr>
          <w:rFonts w:ascii="Times" w:hAnsi="Times" w:cs="Times"/>
        </w:rPr>
        <w:t>27 FCC Rcd</w:t>
      </w:r>
      <w:r w:rsidRPr="00472DB8">
        <w:rPr>
          <w:rFonts w:ascii="Times" w:hAnsi="Times" w:cs="Times"/>
          <w:i/>
        </w:rPr>
        <w:t xml:space="preserve"> </w:t>
      </w:r>
      <w:r w:rsidRPr="00472DB8">
        <w:rPr>
          <w:rFonts w:ascii="Times" w:hAnsi="Times" w:cs="Times"/>
        </w:rPr>
        <w:t>at 15433- ¶¶ 86-104.</w:t>
      </w:r>
    </w:p>
  </w:footnote>
  <w:footnote w:id="105">
    <w:p w14:paraId="29232221"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Id</w:t>
      </w:r>
      <w:r w:rsidRPr="00472DB8">
        <w:rPr>
          <w:rFonts w:ascii="Times" w:hAnsi="Times" w:cs="Times"/>
        </w:rPr>
        <w:t>. at</w:t>
      </w:r>
      <w:r w:rsidRPr="00472DB8">
        <w:rPr>
          <w:rFonts w:ascii="Times" w:hAnsi="Times" w:cs="Times"/>
          <w:i/>
        </w:rPr>
        <w:t xml:space="preserve"> </w:t>
      </w:r>
      <w:r w:rsidRPr="00472DB8">
        <w:rPr>
          <w:rFonts w:ascii="Times" w:hAnsi="Times" w:cs="Times"/>
        </w:rPr>
        <w:t>15438 ¶ 100; 47 C.F.R. § 73.810(b)(2).</w:t>
      </w:r>
    </w:p>
  </w:footnote>
  <w:footnote w:id="106">
    <w:p w14:paraId="43E11DCF"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REC Petition at 7 (emphasis added).  Although REC claims that all of Section 7, except subsection (6), applies only to stations that would be short-spaced, it also notes that it believes other LPFM stations should be required to comply with revised Section 73.810(b)(1) of the Commission’s rules, which implements the requirements of Section 7(3). REC Petition at 1-2 n.4.</w:t>
      </w:r>
    </w:p>
  </w:footnote>
  <w:footnote w:id="107">
    <w:p w14:paraId="2E417587"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Sixth Report and Order</w:t>
      </w:r>
      <w:r w:rsidRPr="00472DB8">
        <w:rPr>
          <w:rFonts w:ascii="Times" w:hAnsi="Times" w:cs="Times"/>
        </w:rPr>
        <w:t>, 27 FCC Rcd at 15437-38 ¶ 99.</w:t>
      </w:r>
    </w:p>
  </w:footnote>
  <w:footnote w:id="108">
    <w:p w14:paraId="20468207" w14:textId="51DEF42A"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REC Petition at 2-6 (“Based on the overall history of the LCRA through four attempts to pass this legislation into law, REC continues to feel that Congress never intended to create t</w:t>
      </w:r>
      <w:r>
        <w:rPr>
          <w:rFonts w:ascii="Times" w:hAnsi="Times" w:cs="Times"/>
        </w:rPr>
        <w:t>wo regimes….” REC Petition at 6</w:t>
      </w:r>
      <w:r w:rsidRPr="00472DB8">
        <w:rPr>
          <w:rFonts w:ascii="Times" w:hAnsi="Times" w:cs="Times"/>
        </w:rPr>
        <w:t xml:space="preserve">). </w:t>
      </w:r>
    </w:p>
  </w:footnote>
  <w:footnote w:id="109">
    <w:p w14:paraId="4BF7130B"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LCRA § 7(2).</w:t>
      </w:r>
    </w:p>
  </w:footnote>
  <w:footnote w:id="110">
    <w:p w14:paraId="60A2784B"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LCRA § 7(1).</w:t>
      </w:r>
    </w:p>
  </w:footnote>
  <w:footnote w:id="111">
    <w:p w14:paraId="53EDB348"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We do not think there is any plausible basis for limiting</w:t>
      </w:r>
      <w:r w:rsidRPr="00472DB8">
        <w:rPr>
          <w:rFonts w:ascii="Times" w:hAnsi="Times" w:cs="Times"/>
          <w:i/>
        </w:rPr>
        <w:t xml:space="preserve"> </w:t>
      </w:r>
      <w:r w:rsidRPr="00472DB8">
        <w:rPr>
          <w:rFonts w:ascii="Times" w:hAnsi="Times" w:cs="Times"/>
        </w:rPr>
        <w:t>its application only to LPFM stations that are short-spaced.  The text of Section 7 of the LCRA does not support REC’s “belief that Sections 7(1) through 7(5) of the LCRA only apply to LPFM stations that do not satisfy the third-adjacent channel spacing requirements.”  REC Petition at 5.</w:t>
      </w:r>
    </w:p>
  </w:footnote>
  <w:footnote w:id="112">
    <w:p w14:paraId="6103A96C"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Sixth Report and Order</w:t>
      </w:r>
      <w:r w:rsidRPr="00472DB8">
        <w:rPr>
          <w:rFonts w:ascii="Times" w:hAnsi="Times" w:cs="Times"/>
        </w:rPr>
        <w:t>, 27 FCC Rcd at 15436-39 ¶¶ 96-104.</w:t>
      </w:r>
    </w:p>
  </w:footnote>
  <w:footnote w:id="113">
    <w:p w14:paraId="64876D06"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Id.</w:t>
      </w:r>
      <w:r w:rsidRPr="00472DB8">
        <w:rPr>
          <w:rFonts w:ascii="Times" w:hAnsi="Times" w:cs="Times"/>
        </w:rPr>
        <w:t xml:space="preserve">, 27 FCC Rcd at 15438 ¶ 100.  </w:t>
      </w:r>
    </w:p>
  </w:footnote>
  <w:footnote w:id="114">
    <w:p w14:paraId="3A6E6263"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LCRA, Section 7(1).</w:t>
      </w:r>
    </w:p>
  </w:footnote>
  <w:footnote w:id="115">
    <w:p w14:paraId="37C13653"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NPR Comments at 7.</w:t>
      </w:r>
    </w:p>
  </w:footnote>
  <w:footnote w:id="116">
    <w:p w14:paraId="0A4DD723"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Sixth Report and Order</w:t>
      </w:r>
      <w:r w:rsidRPr="00472DB8">
        <w:rPr>
          <w:rFonts w:ascii="Times" w:hAnsi="Times" w:cs="Times"/>
        </w:rPr>
        <w:t>, 27 FCC Rcd at 14438 ¶100.</w:t>
      </w:r>
    </w:p>
  </w:footnote>
  <w:footnote w:id="117">
    <w:p w14:paraId="11E527E8" w14:textId="4FEE000A"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REC Petition at 6.  </w:t>
      </w:r>
    </w:p>
  </w:footnote>
  <w:footnote w:id="118">
    <w:p w14:paraId="5DA89D0A" w14:textId="2FCDC03F"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47 C.F.R. § 73810(b)(2).</w:t>
      </w:r>
    </w:p>
  </w:footnote>
  <w:footnote w:id="119">
    <w:p w14:paraId="3BA62D4C" w14:textId="03550748" w:rsidR="00C0760C" w:rsidRPr="00472DB8" w:rsidRDefault="00C0760C" w:rsidP="00472DB8">
      <w:pPr>
        <w:pStyle w:val="FootnoteText"/>
        <w:spacing w:after="120"/>
        <w:ind w:firstLine="0"/>
        <w:rPr>
          <w:rFonts w:ascii="Times" w:hAnsi="Times" w:cs="Times"/>
          <w:i/>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Id.</w:t>
      </w:r>
    </w:p>
  </w:footnote>
  <w:footnote w:id="120">
    <w:p w14:paraId="247002A8" w14:textId="7884551F"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Id.</w:t>
      </w:r>
      <w:r w:rsidRPr="00472DB8">
        <w:rPr>
          <w:rFonts w:ascii="Times" w:hAnsi="Times" w:cs="Times"/>
        </w:rPr>
        <w:t xml:space="preserve">  </w:t>
      </w:r>
    </w:p>
  </w:footnote>
  <w:footnote w:id="121">
    <w:p w14:paraId="7822B4E1" w14:textId="6186F45B"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 xml:space="preserve">See </w:t>
      </w:r>
      <w:hyperlink r:id="rId1" w:tgtFrame="_top" w:history="1">
        <w:r w:rsidRPr="00472DB8">
          <w:rPr>
            <w:rStyle w:val="searchterm"/>
            <w:rFonts w:ascii="Times" w:hAnsi="Times" w:cs="Times"/>
            <w:i/>
            <w:iCs/>
          </w:rPr>
          <w:t>Creation</w:t>
        </w:r>
        <w:r w:rsidRPr="00472DB8">
          <w:rPr>
            <w:rStyle w:val="Hyperlink"/>
            <w:rFonts w:ascii="Times" w:hAnsi="Times" w:cs="Times"/>
            <w:i/>
            <w:iCs/>
            <w:color w:val="auto"/>
            <w:u w:val="none"/>
          </w:rPr>
          <w:t xml:space="preserve"> </w:t>
        </w:r>
        <w:r w:rsidRPr="00472DB8">
          <w:rPr>
            <w:rStyle w:val="searchterm"/>
            <w:rFonts w:ascii="Times" w:hAnsi="Times" w:cs="Times"/>
            <w:i/>
            <w:iCs/>
          </w:rPr>
          <w:t>of</w:t>
        </w:r>
        <w:r w:rsidRPr="00472DB8">
          <w:rPr>
            <w:rStyle w:val="Hyperlink"/>
            <w:rFonts w:ascii="Times" w:hAnsi="Times" w:cs="Times"/>
            <w:i/>
            <w:iCs/>
            <w:color w:val="auto"/>
            <w:u w:val="none"/>
          </w:rPr>
          <w:t xml:space="preserve"> </w:t>
        </w:r>
        <w:r w:rsidRPr="00472DB8">
          <w:rPr>
            <w:rStyle w:val="searchterm"/>
            <w:rFonts w:ascii="Times" w:hAnsi="Times" w:cs="Times"/>
            <w:i/>
            <w:iCs/>
          </w:rPr>
          <w:t>Low</w:t>
        </w:r>
        <w:r w:rsidRPr="00472DB8">
          <w:rPr>
            <w:rStyle w:val="Hyperlink"/>
            <w:rFonts w:ascii="Times" w:hAnsi="Times" w:cs="Times"/>
            <w:i/>
            <w:iCs/>
            <w:color w:val="auto"/>
            <w:u w:val="none"/>
          </w:rPr>
          <w:t xml:space="preserve"> </w:t>
        </w:r>
        <w:r w:rsidRPr="00472DB8">
          <w:rPr>
            <w:rStyle w:val="searchterm"/>
            <w:rFonts w:ascii="Times" w:hAnsi="Times" w:cs="Times"/>
            <w:i/>
            <w:iCs/>
          </w:rPr>
          <w:t>Power</w:t>
        </w:r>
        <w:r w:rsidRPr="00472DB8">
          <w:rPr>
            <w:rStyle w:val="Hyperlink"/>
            <w:rFonts w:ascii="Times" w:hAnsi="Times" w:cs="Times"/>
            <w:i/>
            <w:iCs/>
            <w:color w:val="auto"/>
            <w:u w:val="none"/>
          </w:rPr>
          <w:t xml:space="preserve"> </w:t>
        </w:r>
        <w:r w:rsidRPr="00472DB8">
          <w:rPr>
            <w:rStyle w:val="searchterm"/>
            <w:rFonts w:ascii="Times" w:hAnsi="Times" w:cs="Times"/>
            <w:i/>
            <w:iCs/>
          </w:rPr>
          <w:t>Radio</w:t>
        </w:r>
        <w:r w:rsidRPr="00472DB8">
          <w:rPr>
            <w:rStyle w:val="Hyperlink"/>
            <w:rFonts w:ascii="Times" w:hAnsi="Times" w:cs="Times"/>
            <w:i/>
            <w:iCs/>
            <w:color w:val="auto"/>
            <w:u w:val="none"/>
          </w:rPr>
          <w:t xml:space="preserve"> </w:t>
        </w:r>
        <w:r w:rsidRPr="00472DB8">
          <w:rPr>
            <w:rStyle w:val="searchterm"/>
            <w:rFonts w:ascii="Times" w:hAnsi="Times" w:cs="Times"/>
            <w:i/>
            <w:iCs/>
          </w:rPr>
          <w:t>Service</w:t>
        </w:r>
        <w:r w:rsidRPr="00472DB8">
          <w:rPr>
            <w:rStyle w:val="Hyperlink"/>
            <w:rFonts w:ascii="Times" w:hAnsi="Times" w:cs="Times"/>
            <w:color w:val="auto"/>
            <w:u w:val="none"/>
          </w:rPr>
          <w:t xml:space="preserve">, </w:t>
        </w:r>
        <w:r w:rsidRPr="00472DB8">
          <w:rPr>
            <w:rStyle w:val="searchterm"/>
            <w:rFonts w:ascii="Times" w:hAnsi="Times" w:cs="Times"/>
          </w:rPr>
          <w:t>Report</w:t>
        </w:r>
        <w:r w:rsidRPr="00472DB8">
          <w:rPr>
            <w:rStyle w:val="Hyperlink"/>
            <w:rFonts w:ascii="Times" w:hAnsi="Times" w:cs="Times"/>
            <w:color w:val="auto"/>
            <w:u w:val="none"/>
          </w:rPr>
          <w:t xml:space="preserve"> </w:t>
        </w:r>
        <w:r w:rsidRPr="00472DB8">
          <w:rPr>
            <w:rStyle w:val="searchterm"/>
            <w:rFonts w:ascii="Times" w:hAnsi="Times" w:cs="Times"/>
          </w:rPr>
          <w:t>and</w:t>
        </w:r>
        <w:r w:rsidRPr="00472DB8">
          <w:rPr>
            <w:rStyle w:val="Hyperlink"/>
            <w:rFonts w:ascii="Times" w:hAnsi="Times" w:cs="Times"/>
            <w:color w:val="auto"/>
            <w:u w:val="none"/>
          </w:rPr>
          <w:t xml:space="preserve"> </w:t>
        </w:r>
        <w:r w:rsidRPr="00472DB8">
          <w:rPr>
            <w:rStyle w:val="searchterm"/>
            <w:rFonts w:ascii="Times" w:hAnsi="Times" w:cs="Times"/>
          </w:rPr>
          <w:t>Order</w:t>
        </w:r>
        <w:r w:rsidRPr="00472DB8">
          <w:rPr>
            <w:rStyle w:val="Hyperlink"/>
            <w:rFonts w:ascii="Times" w:hAnsi="Times" w:cs="Times"/>
            <w:color w:val="auto"/>
            <w:u w:val="none"/>
          </w:rPr>
          <w:t xml:space="preserve">, </w:t>
        </w:r>
        <w:r w:rsidRPr="00472DB8">
          <w:rPr>
            <w:rStyle w:val="searchterm"/>
            <w:rFonts w:ascii="Times" w:hAnsi="Times" w:cs="Times"/>
          </w:rPr>
          <w:t>15</w:t>
        </w:r>
        <w:r w:rsidRPr="00472DB8">
          <w:rPr>
            <w:rStyle w:val="Hyperlink"/>
            <w:rFonts w:ascii="Times" w:hAnsi="Times" w:cs="Times"/>
            <w:color w:val="auto"/>
            <w:u w:val="none"/>
          </w:rPr>
          <w:t xml:space="preserve"> </w:t>
        </w:r>
        <w:r w:rsidRPr="00472DB8">
          <w:rPr>
            <w:rStyle w:val="searchterm"/>
            <w:rFonts w:ascii="Times" w:hAnsi="Times" w:cs="Times"/>
          </w:rPr>
          <w:t>FCC</w:t>
        </w:r>
        <w:r w:rsidRPr="00472DB8">
          <w:rPr>
            <w:rStyle w:val="Hyperlink"/>
            <w:rFonts w:ascii="Times" w:hAnsi="Times" w:cs="Times"/>
            <w:color w:val="auto"/>
            <w:u w:val="none"/>
          </w:rPr>
          <w:t xml:space="preserve"> </w:t>
        </w:r>
        <w:r w:rsidRPr="00472DB8">
          <w:rPr>
            <w:rStyle w:val="searchterm"/>
            <w:rFonts w:ascii="Times" w:hAnsi="Times" w:cs="Times"/>
          </w:rPr>
          <w:t>Rcd</w:t>
        </w:r>
        <w:r w:rsidRPr="00472DB8">
          <w:rPr>
            <w:rStyle w:val="Hyperlink"/>
            <w:rFonts w:ascii="Times" w:hAnsi="Times" w:cs="Times"/>
            <w:color w:val="auto"/>
            <w:u w:val="none"/>
          </w:rPr>
          <w:t xml:space="preserve"> </w:t>
        </w:r>
        <w:r w:rsidRPr="00472DB8">
          <w:rPr>
            <w:rStyle w:val="searchterm"/>
            <w:rFonts w:ascii="Times" w:hAnsi="Times" w:cs="Times"/>
          </w:rPr>
          <w:t>2205</w:t>
        </w:r>
        <w:r w:rsidRPr="00472DB8">
          <w:rPr>
            <w:rStyle w:val="Hyperlink"/>
            <w:rFonts w:ascii="Times" w:hAnsi="Times" w:cs="Times"/>
            <w:color w:val="auto"/>
            <w:u w:val="none"/>
          </w:rPr>
          <w:t xml:space="preserve">, </w:t>
        </w:r>
        <w:r w:rsidRPr="00472DB8">
          <w:rPr>
            <w:rStyle w:val="searchterm"/>
            <w:rFonts w:ascii="Times" w:hAnsi="Times" w:cs="Times"/>
          </w:rPr>
          <w:t>2220</w:t>
        </w:r>
        <w:r w:rsidRPr="00472DB8">
          <w:rPr>
            <w:rStyle w:val="Hyperlink"/>
            <w:rFonts w:ascii="Times" w:hAnsi="Times" w:cs="Times"/>
            <w:color w:val="auto"/>
            <w:u w:val="none"/>
          </w:rPr>
          <w:t xml:space="preserve"> </w:t>
        </w:r>
        <w:r w:rsidRPr="00472DB8">
          <w:rPr>
            <w:rStyle w:val="searchterm"/>
            <w:rFonts w:ascii="Times" w:hAnsi="Times" w:cs="Times"/>
          </w:rPr>
          <w:t>¶</w:t>
        </w:r>
        <w:r w:rsidRPr="00472DB8">
          <w:rPr>
            <w:rStyle w:val="Hyperlink"/>
            <w:rFonts w:ascii="Times" w:hAnsi="Times" w:cs="Times"/>
            <w:color w:val="auto"/>
            <w:u w:val="none"/>
          </w:rPr>
          <w:t xml:space="preserve"> </w:t>
        </w:r>
        <w:r w:rsidRPr="00472DB8">
          <w:rPr>
            <w:rStyle w:val="searchterm"/>
            <w:rFonts w:ascii="Times" w:hAnsi="Times" w:cs="Times"/>
          </w:rPr>
          <w:t>101 (2000</w:t>
        </w:r>
        <w:r w:rsidRPr="00472DB8">
          <w:rPr>
            <w:rStyle w:val="Hyperlink"/>
            <w:rFonts w:ascii="Times" w:hAnsi="Times" w:cs="Times"/>
            <w:color w:val="auto"/>
            <w:u w:val="none"/>
          </w:rPr>
          <w:t>)</w:t>
        </w:r>
      </w:hyperlink>
      <w:r w:rsidRPr="00472DB8">
        <w:rPr>
          <w:rFonts w:ascii="Times" w:hAnsi="Times" w:cs="Times"/>
        </w:rPr>
        <w:t xml:space="preserve"> (“</w:t>
      </w:r>
      <w:r w:rsidRPr="00472DB8">
        <w:rPr>
          <w:rFonts w:ascii="Times" w:hAnsi="Times" w:cs="Times"/>
          <w:i/>
        </w:rPr>
        <w:t>First Report and Order</w:t>
      </w:r>
      <w:r w:rsidRPr="00472DB8">
        <w:rPr>
          <w:rFonts w:ascii="Times" w:hAnsi="Times" w:cs="Times"/>
        </w:rPr>
        <w:t xml:space="preserve">”).  The Court subsequently affirmed this analysis.  </w:t>
      </w:r>
      <w:r w:rsidRPr="00472DB8">
        <w:rPr>
          <w:rFonts w:ascii="Times" w:hAnsi="Times" w:cs="Times"/>
          <w:i/>
        </w:rPr>
        <w:t xml:space="preserve">See </w:t>
      </w:r>
      <w:r w:rsidRPr="00472DB8">
        <w:rPr>
          <w:rFonts w:ascii="Times" w:hAnsi="Times" w:cs="Times"/>
          <w:i/>
          <w:iCs/>
        </w:rPr>
        <w:t>Nat’l Assn. of Broadcasters v. FCC</w:t>
      </w:r>
      <w:r w:rsidRPr="00472DB8">
        <w:rPr>
          <w:rFonts w:ascii="Times" w:hAnsi="Times" w:cs="Times"/>
        </w:rPr>
        <w:t xml:space="preserve">, 569 F.3d 416, 424-26 (D.C. Cir. 2009) (upholding second-adjacent channel spacing waiver policy as consistent with 2000 agency findings regarding the potential for second- and third-adjacent channel interference). </w:t>
      </w:r>
    </w:p>
  </w:footnote>
  <w:footnote w:id="122">
    <w:p w14:paraId="592D811D"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Sixth Report and Order</w:t>
      </w:r>
      <w:r w:rsidRPr="00472DB8">
        <w:rPr>
          <w:rFonts w:ascii="Times" w:hAnsi="Times" w:cs="Times"/>
        </w:rPr>
        <w:t>, 27 FCC Rcd at 15477-78 ¶ 202.</w:t>
      </w:r>
    </w:p>
  </w:footnote>
  <w:footnote w:id="123">
    <w:p w14:paraId="5A5EA04E" w14:textId="19B9C494"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Id.</w:t>
      </w:r>
      <w:r w:rsidRPr="00472DB8">
        <w:rPr>
          <w:rFonts w:ascii="Times" w:hAnsi="Times" w:cs="Times"/>
        </w:rPr>
        <w:t xml:space="preserve"> </w:t>
      </w:r>
    </w:p>
  </w:footnote>
  <w:footnote w:id="124">
    <w:p w14:paraId="7B38A91F"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Id</w:t>
      </w:r>
      <w:r w:rsidRPr="00472DB8">
        <w:rPr>
          <w:rFonts w:ascii="Times" w:hAnsi="Times" w:cs="Times"/>
        </w:rPr>
        <w:t>.</w:t>
      </w:r>
    </w:p>
  </w:footnote>
  <w:footnote w:id="125">
    <w:p w14:paraId="47BD13D4" w14:textId="77777777" w:rsidR="00C0760C" w:rsidRPr="00472DB8" w:rsidRDefault="00C0760C" w:rsidP="00472DB8">
      <w:pPr>
        <w:autoSpaceDE w:val="0"/>
        <w:autoSpaceDN w:val="0"/>
        <w:adjustRightInd w:val="0"/>
        <w:spacing w:after="120"/>
        <w:ind w:firstLine="0"/>
        <w:rPr>
          <w:rFonts w:ascii="Times" w:hAnsi="Times" w:cs="Times"/>
          <w:sz w:val="20"/>
          <w:szCs w:val="20"/>
        </w:rPr>
      </w:pPr>
      <w:r w:rsidRPr="00472DB8">
        <w:rPr>
          <w:rStyle w:val="FootnoteReference"/>
          <w:rFonts w:ascii="Times" w:hAnsi="Times" w:cs="Times"/>
          <w:sz w:val="20"/>
          <w:szCs w:val="20"/>
        </w:rPr>
        <w:footnoteRef/>
      </w:r>
      <w:r w:rsidRPr="00472DB8">
        <w:rPr>
          <w:rFonts w:ascii="Times" w:hAnsi="Times" w:cs="Times"/>
          <w:sz w:val="20"/>
          <w:szCs w:val="20"/>
        </w:rPr>
        <w:t xml:space="preserve"> </w:t>
      </w:r>
      <w:r w:rsidRPr="00472DB8">
        <w:rPr>
          <w:rFonts w:ascii="Times" w:hAnsi="Times" w:cs="Times"/>
          <w:i/>
          <w:sz w:val="20"/>
          <w:szCs w:val="20"/>
        </w:rPr>
        <w:t>Id</w:t>
      </w:r>
      <w:r w:rsidRPr="00472DB8">
        <w:rPr>
          <w:rFonts w:ascii="Times" w:hAnsi="Times" w:cs="Times"/>
          <w:sz w:val="20"/>
          <w:szCs w:val="20"/>
        </w:rPr>
        <w:t>. at 15487</w:t>
      </w:r>
      <w:r w:rsidRPr="00472DB8">
        <w:rPr>
          <w:rFonts w:ascii="Times" w:hAnsi="Times" w:cs="Times"/>
          <w:i/>
          <w:sz w:val="20"/>
          <w:szCs w:val="20"/>
        </w:rPr>
        <w:t xml:space="preserve"> </w:t>
      </w:r>
      <w:r w:rsidRPr="00472DB8">
        <w:rPr>
          <w:rFonts w:ascii="Times" w:hAnsi="Times" w:cs="Times"/>
          <w:sz w:val="20"/>
          <w:szCs w:val="20"/>
        </w:rPr>
        <w:t xml:space="preserve">¶ 203. </w:t>
      </w:r>
    </w:p>
  </w:footnote>
  <w:footnote w:id="126">
    <w:p w14:paraId="3BAE98BD"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Fourth Further Notice</w:t>
      </w:r>
      <w:r w:rsidRPr="00472DB8">
        <w:rPr>
          <w:rFonts w:ascii="Times" w:hAnsi="Times" w:cs="Times"/>
        </w:rPr>
        <w:t>, 27 FCC Rcd</w:t>
      </w:r>
      <w:r w:rsidRPr="00472DB8">
        <w:rPr>
          <w:rFonts w:ascii="Times" w:hAnsi="Times" w:cs="Times"/>
          <w:i/>
        </w:rPr>
        <w:t xml:space="preserve"> </w:t>
      </w:r>
      <w:r w:rsidRPr="00472DB8">
        <w:rPr>
          <w:rFonts w:ascii="Times" w:hAnsi="Times" w:cs="Times"/>
        </w:rPr>
        <w:t>at 3334</w:t>
      </w:r>
      <w:r w:rsidRPr="00472DB8">
        <w:rPr>
          <w:rFonts w:ascii="Times" w:hAnsi="Times" w:cs="Times"/>
          <w:i/>
        </w:rPr>
        <w:t xml:space="preserve"> </w:t>
      </w:r>
      <w:r w:rsidRPr="00472DB8">
        <w:rPr>
          <w:rFonts w:ascii="Times" w:hAnsi="Times" w:cs="Times"/>
        </w:rPr>
        <w:t>¶¶ 48-49.</w:t>
      </w:r>
    </w:p>
  </w:footnote>
  <w:footnote w:id="127">
    <w:p w14:paraId="342653A4"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Sixth Report and Order</w:t>
      </w:r>
      <w:r w:rsidRPr="00472DB8">
        <w:rPr>
          <w:rFonts w:ascii="Times" w:hAnsi="Times" w:cs="Times"/>
        </w:rPr>
        <w:t xml:space="preserve">, 27 FCC Rcd at 15478 ¶ 204.  The Commission also concluded that LP50 stations would suffer many of the same technical deficiencies as LP10 stations.  </w:t>
      </w:r>
    </w:p>
  </w:footnote>
  <w:footnote w:id="128">
    <w:p w14:paraId="3D639145" w14:textId="2041E770"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 xml:space="preserve">See </w:t>
      </w:r>
      <w:r w:rsidRPr="00472DB8">
        <w:rPr>
          <w:rFonts w:ascii="Times" w:hAnsi="Times" w:cs="Times"/>
        </w:rPr>
        <w:t>Comments of REC Networks, Media Alliance In Support of Petitions for Reconsideration (“Media Alliance Reply”), Reply of Public Media of New England, Inc. (d/b/a WHAV) of Massachusetts to the Petition for Reconsideration of Let the Cities In!! (“Public Media Reply”), Reply Comments of Nickolaus E. Leggett to the Petition for Reconsideration from Let the Cities In! (“Leggett Reply”), and Common Frequency Brief Reply Comments (“CF Reply”).</w:t>
      </w:r>
    </w:p>
  </w:footnote>
  <w:footnote w:id="129">
    <w:p w14:paraId="2FC8E3FA"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LTCI Petition at 2.  </w:t>
      </w:r>
    </w:p>
  </w:footnote>
  <w:footnote w:id="130">
    <w:p w14:paraId="22BE912D" w14:textId="06B725E1"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Id.</w:t>
      </w:r>
      <w:r w:rsidRPr="00472DB8">
        <w:rPr>
          <w:rFonts w:ascii="Times" w:hAnsi="Times" w:cs="Times"/>
        </w:rPr>
        <w:t xml:space="preserve"> </w:t>
      </w:r>
    </w:p>
  </w:footnote>
  <w:footnote w:id="131">
    <w:p w14:paraId="03D4318F"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NPR Comments at 7.</w:t>
      </w:r>
    </w:p>
  </w:footnote>
  <w:footnote w:id="132">
    <w:p w14:paraId="7E7DF5FD"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Opposition of the National Association of Broadcasters at 2-4.</w:t>
      </w:r>
    </w:p>
  </w:footnote>
  <w:footnote w:id="133">
    <w:p w14:paraId="4152F035"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LTCI Petition at 8.</w:t>
      </w:r>
    </w:p>
  </w:footnote>
  <w:footnote w:id="134">
    <w:p w14:paraId="25D6007D"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iCs/>
        </w:rPr>
        <w:t>See</w:t>
      </w:r>
      <w:r w:rsidRPr="00472DB8">
        <w:rPr>
          <w:rFonts w:ascii="Times" w:hAnsi="Times" w:cs="Times"/>
        </w:rPr>
        <w:t xml:space="preserve"> 5 U.S.C. §§ 553(b), (c).</w:t>
      </w:r>
    </w:p>
  </w:footnote>
  <w:footnote w:id="135">
    <w:p w14:paraId="1DDD9015"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iCs/>
        </w:rPr>
        <w:t xml:space="preserve">See </w:t>
      </w:r>
      <w:r w:rsidRPr="00472DB8">
        <w:rPr>
          <w:rFonts w:ascii="Times" w:hAnsi="Times" w:cs="Times"/>
          <w:i/>
        </w:rPr>
        <w:t>Transpacific Freight Conference of Japan/Korea v. Federal Maritime Commission</w:t>
      </w:r>
      <w:r w:rsidRPr="00472DB8">
        <w:rPr>
          <w:rFonts w:ascii="Times" w:hAnsi="Times" w:cs="Times"/>
        </w:rPr>
        <w:t>, 650 F.2d 1235, 1248 (D.C. Cir. 1980).</w:t>
      </w:r>
    </w:p>
  </w:footnote>
  <w:footnote w:id="136">
    <w:p w14:paraId="41C471AB" w14:textId="2AFE9679"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Fourth Further Notice</w:t>
      </w:r>
      <w:r w:rsidRPr="00472DB8">
        <w:rPr>
          <w:rFonts w:ascii="Times" w:hAnsi="Times" w:cs="Times"/>
        </w:rPr>
        <w:t>, 27 FCC Rcd</w:t>
      </w:r>
      <w:r w:rsidRPr="00472DB8">
        <w:rPr>
          <w:rFonts w:ascii="Times" w:hAnsi="Times" w:cs="Times"/>
          <w:i/>
        </w:rPr>
        <w:t xml:space="preserve"> </w:t>
      </w:r>
      <w:r w:rsidRPr="00472DB8">
        <w:rPr>
          <w:rFonts w:ascii="Times" w:hAnsi="Times" w:cs="Times"/>
        </w:rPr>
        <w:t>at 3334</w:t>
      </w:r>
      <w:r w:rsidRPr="00472DB8">
        <w:rPr>
          <w:rFonts w:ascii="Times" w:hAnsi="Times" w:cs="Times"/>
          <w:i/>
        </w:rPr>
        <w:t xml:space="preserve"> </w:t>
      </w:r>
      <w:r w:rsidRPr="00472DB8">
        <w:rPr>
          <w:rFonts w:ascii="Times" w:hAnsi="Times" w:cs="Times"/>
        </w:rPr>
        <w:t>¶ 48.</w:t>
      </w:r>
    </w:p>
  </w:footnote>
  <w:footnote w:id="137">
    <w:p w14:paraId="284987DC" w14:textId="77777777" w:rsidR="00C0760C" w:rsidRPr="00472DB8" w:rsidRDefault="00C0760C" w:rsidP="00472DB8">
      <w:pPr>
        <w:pStyle w:val="FootnoteText"/>
        <w:spacing w:after="120"/>
        <w:ind w:firstLine="0"/>
        <w:rPr>
          <w:rFonts w:ascii="Times" w:hAnsi="Times" w:cs="Times"/>
          <w:highlight w:val="yellow"/>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Sixth Report and Order</w:t>
      </w:r>
      <w:r w:rsidRPr="00472DB8">
        <w:rPr>
          <w:rFonts w:ascii="Times" w:hAnsi="Times" w:cs="Times"/>
        </w:rPr>
        <w:t>, 27 FCC Rcd at 15477 ¶ 202 (</w:t>
      </w:r>
      <w:r w:rsidRPr="00472DB8">
        <w:rPr>
          <w:rFonts w:ascii="Times" w:hAnsi="Times" w:cs="Times"/>
          <w:i/>
        </w:rPr>
        <w:t xml:space="preserve">citing </w:t>
      </w:r>
      <w:r w:rsidRPr="00472DB8">
        <w:rPr>
          <w:rFonts w:ascii="Times" w:hAnsi="Times" w:cs="Times"/>
        </w:rPr>
        <w:t xml:space="preserve">Comments by REC Networks, Joint Center for Political and Economic Studies, and Don Schellhardt).  </w:t>
      </w:r>
    </w:p>
  </w:footnote>
  <w:footnote w:id="138">
    <w:p w14:paraId="27EDDB7D"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Id</w:t>
      </w:r>
      <w:r w:rsidRPr="00472DB8">
        <w:rPr>
          <w:rFonts w:ascii="Times" w:hAnsi="Times" w:cs="Times"/>
        </w:rPr>
        <w:t>. (</w:t>
      </w:r>
      <w:r w:rsidRPr="00472DB8">
        <w:rPr>
          <w:rFonts w:ascii="Times" w:hAnsi="Times" w:cs="Times"/>
          <w:i/>
        </w:rPr>
        <w:t xml:space="preserve">citing </w:t>
      </w:r>
      <w:r w:rsidRPr="00472DB8">
        <w:rPr>
          <w:rFonts w:ascii="Times" w:hAnsi="Times" w:cs="Times"/>
        </w:rPr>
        <w:t>Comments by Catholic Radio Association; du Treil, Lundin, &amp; Rackley, Inc.; and William Spry).</w:t>
      </w:r>
    </w:p>
  </w:footnote>
  <w:footnote w:id="139">
    <w:p w14:paraId="7D62D0D6" w14:textId="2583AE0E"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The Commission’s rationale for eliminating the LP10 service is consistent with the positions of several commenters. </w:t>
      </w:r>
      <w:r w:rsidRPr="00472DB8">
        <w:rPr>
          <w:rFonts w:ascii="Times" w:hAnsi="Times" w:cs="Times"/>
          <w:i/>
        </w:rPr>
        <w:t xml:space="preserve">See Sixth Report and Order, </w:t>
      </w:r>
      <w:r w:rsidRPr="00472DB8">
        <w:rPr>
          <w:rFonts w:ascii="Times" w:hAnsi="Times" w:cs="Times"/>
        </w:rPr>
        <w:t xml:space="preserve">27 FCC Rcd at 15477 ¶ 202 (agreeing with commenters that LP10 “is an inefficient utilization of spectrum”). We note that all interested parties had an opportunity to reply to these commenters’ arguments. </w:t>
      </w:r>
    </w:p>
  </w:footnote>
  <w:footnote w:id="140">
    <w:p w14:paraId="52F28FF6"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LTCI defines “urban core” areas as  “within 18 miles of the center of the Top 20 Arbitron Markets…12 miles of the center of Arbitron Markets 21-50…and 6 miles of the center of Arbitron Markets 51-100.”  LTCI Petition at 2.</w:t>
      </w:r>
    </w:p>
  </w:footnote>
  <w:footnote w:id="141">
    <w:p w14:paraId="4372F7FE" w14:textId="4E202438"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LTCI also alleges Chairman Genachowski and Commissioners McDowell, Clyburn, Rosenworcel, and Pai were unaware that the elimination of the LP10 service and decision not to allow another lower class of LPFM service would eliminate the availability of LPFM stations in New York, Detroit, and San Jose, while limiting the number of available LPFM stations in other major cities.  LTCI Petition at 6-7; </w:t>
      </w:r>
      <w:r w:rsidRPr="00472DB8">
        <w:rPr>
          <w:rFonts w:ascii="Times" w:hAnsi="Times" w:cs="Times"/>
          <w:i/>
        </w:rPr>
        <w:t>see also</w:t>
      </w:r>
      <w:r w:rsidRPr="00472DB8">
        <w:rPr>
          <w:rFonts w:ascii="Times" w:hAnsi="Times" w:cs="Times"/>
        </w:rPr>
        <w:t xml:space="preserve">, Letter from Don Schellhardt, Attorney for Let The Cities In!!, to Marlene [Dortch], Secretary, Federal Communications Commission, filed February 20, 2013 (providing an analysis of 50 urban areas with limited or no availability for an LP100 license); Letter from Don Schellhardt, Attorney for Let The Cities In!!, to Commissioner Jessica Rosenworcel, filed April 1, 2013.  However, as discussed below, the </w:t>
      </w:r>
      <w:r w:rsidRPr="00472DB8">
        <w:rPr>
          <w:rFonts w:ascii="Times" w:hAnsi="Times" w:cs="Times"/>
          <w:i/>
        </w:rPr>
        <w:t>Sixth Report and Order</w:t>
      </w:r>
      <w:r w:rsidRPr="00472DB8">
        <w:rPr>
          <w:rFonts w:ascii="Times" w:hAnsi="Times" w:cs="Times"/>
        </w:rPr>
        <w:t xml:space="preserve">, approved by Chairman Genachowski and Commissioners McDowell, Clyburn, Rosenworcel, and Pai, clearly stated the Commission’s rationale for eliminating the LP10 service, </w:t>
      </w:r>
      <w:r w:rsidRPr="00472DB8">
        <w:rPr>
          <w:rFonts w:ascii="Times" w:hAnsi="Times" w:cs="Times"/>
          <w:i/>
        </w:rPr>
        <w:t>see, infra</w:t>
      </w:r>
      <w:r w:rsidRPr="00472DB8">
        <w:rPr>
          <w:rFonts w:ascii="Times" w:hAnsi="Times" w:cs="Times"/>
        </w:rPr>
        <w:t xml:space="preserve">, ¶¶ 44-48, and provided a similar analysis of the availability (including no or limited availability) of LP100 licenses in over 200 markets, </w:t>
      </w:r>
      <w:r w:rsidRPr="00472DB8">
        <w:rPr>
          <w:rFonts w:ascii="Times" w:hAnsi="Times" w:cs="Times"/>
          <w:i/>
        </w:rPr>
        <w:t>see, infra</w:t>
      </w:r>
      <w:r w:rsidRPr="00472DB8">
        <w:rPr>
          <w:rFonts w:ascii="Times" w:hAnsi="Times" w:cs="Times"/>
        </w:rPr>
        <w:t>, ¶ 50.</w:t>
      </w:r>
    </w:p>
  </w:footnote>
  <w:footnote w:id="142">
    <w:p w14:paraId="2CA0AE8E"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LTCI Petition at 13.  </w:t>
      </w:r>
    </w:p>
  </w:footnote>
  <w:footnote w:id="143">
    <w:p w14:paraId="0227B7DF"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Id</w:t>
      </w:r>
      <w:r w:rsidRPr="00472DB8">
        <w:rPr>
          <w:rFonts w:ascii="Times" w:hAnsi="Times" w:cs="Times"/>
        </w:rPr>
        <w:t>. at 14.</w:t>
      </w:r>
    </w:p>
  </w:footnote>
  <w:footnote w:id="144">
    <w:p w14:paraId="5F33C6DE" w14:textId="7694D44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 xml:space="preserve">Id. </w:t>
      </w:r>
      <w:r w:rsidRPr="00472DB8">
        <w:rPr>
          <w:rFonts w:ascii="Times" w:hAnsi="Times" w:cs="Times"/>
        </w:rPr>
        <w:t xml:space="preserve">at 9.  </w:t>
      </w:r>
      <w:r w:rsidRPr="00472DB8">
        <w:rPr>
          <w:rFonts w:ascii="Times" w:hAnsi="Times" w:cs="Times"/>
          <w:i/>
        </w:rPr>
        <w:t xml:space="preserve">See also, </w:t>
      </w:r>
      <w:r w:rsidRPr="00472DB8">
        <w:rPr>
          <w:rFonts w:ascii="Times" w:hAnsi="Times" w:cs="Times"/>
        </w:rPr>
        <w:t>Public Media Reply at 2.</w:t>
      </w:r>
    </w:p>
  </w:footnote>
  <w:footnote w:id="145">
    <w:p w14:paraId="60612211"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Id</w:t>
      </w:r>
      <w:r w:rsidRPr="00472DB8">
        <w:rPr>
          <w:rFonts w:ascii="Times" w:hAnsi="Times" w:cs="Times"/>
        </w:rPr>
        <w:t>.</w:t>
      </w:r>
    </w:p>
  </w:footnote>
  <w:footnote w:id="146">
    <w:p w14:paraId="79B9C487"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Sixth Report and Order</w:t>
      </w:r>
      <w:r w:rsidRPr="00472DB8">
        <w:rPr>
          <w:rFonts w:ascii="Times" w:hAnsi="Times" w:cs="Times"/>
        </w:rPr>
        <w:t>, 27 FCC Rcd at 15477 ¶ 202, n.519.  Several engineering experts noted the spectral inefficiencies of an LP10 service.</w:t>
      </w:r>
    </w:p>
  </w:footnote>
  <w:footnote w:id="147">
    <w:p w14:paraId="56A81605" w14:textId="01DB00D5"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Sixth Report and Order</w:t>
      </w:r>
      <w:r w:rsidRPr="00472DB8">
        <w:rPr>
          <w:rFonts w:ascii="Times" w:hAnsi="Times" w:cs="Times"/>
        </w:rPr>
        <w:t xml:space="preserve">, 27 FCC Rcd at 15477 ¶ 202, n.520.  </w:t>
      </w:r>
    </w:p>
  </w:footnote>
  <w:footnote w:id="148">
    <w:p w14:paraId="7FBBFCEF" w14:textId="75C4166A"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 xml:space="preserve">See, supra, </w:t>
      </w:r>
      <w:r w:rsidRPr="00472DB8">
        <w:rPr>
          <w:rFonts w:ascii="Times" w:hAnsi="Times" w:cs="Times"/>
        </w:rPr>
        <w:t>¶ 33</w:t>
      </w:r>
      <w:r>
        <w:rPr>
          <w:rFonts w:ascii="Times" w:hAnsi="Times" w:cs="Times"/>
        </w:rPr>
        <w:t xml:space="preserve"> </w:t>
      </w:r>
      <w:r w:rsidRPr="00472DB8">
        <w:rPr>
          <w:rFonts w:ascii="Times" w:hAnsi="Times" w:cs="Times"/>
        </w:rPr>
        <w:t>(</w:t>
      </w:r>
      <w:r w:rsidRPr="00472DB8">
        <w:rPr>
          <w:rFonts w:ascii="Times" w:eastAsia="Times New Roman" w:hAnsi="Times" w:cs="Times"/>
        </w:rPr>
        <w:t>directional antennas will have little value in limiting or eliminating the area where interference would be predicted to occur).</w:t>
      </w:r>
    </w:p>
  </w:footnote>
  <w:footnote w:id="149">
    <w:p w14:paraId="5B8E73F3" w14:textId="70051930"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LTCI Petition at 14.</w:t>
      </w:r>
    </w:p>
  </w:footnote>
  <w:footnote w:id="150">
    <w:p w14:paraId="50949CD0" w14:textId="3FBE32BB"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iCs/>
        </w:rPr>
        <w:t>See, e.g.,</w:t>
      </w:r>
      <w:r w:rsidRPr="00472DB8">
        <w:rPr>
          <w:rFonts w:ascii="Times" w:hAnsi="Times" w:cs="Times"/>
        </w:rPr>
        <w:t xml:space="preserve"> </w:t>
      </w:r>
      <w:r w:rsidRPr="00472DB8">
        <w:rPr>
          <w:rFonts w:ascii="Times" w:hAnsi="Times" w:cs="Times"/>
          <w:i/>
        </w:rPr>
        <w:t>Mobile Broadband Access Order</w:t>
      </w:r>
      <w:r w:rsidRPr="00472DB8">
        <w:rPr>
          <w:rFonts w:ascii="Times" w:hAnsi="Times" w:cs="Times"/>
        </w:rPr>
        <w:t xml:space="preserve">, 21 FCC Rcd at 5630 ¶ 42 (dismissing a petition for </w:t>
      </w:r>
      <w:r w:rsidRPr="00472DB8">
        <w:rPr>
          <w:rStyle w:val="searchterm"/>
          <w:rFonts w:ascii="Times" w:hAnsi="Times" w:cs="Times"/>
        </w:rPr>
        <w:t>reconsideration</w:t>
      </w:r>
      <w:r w:rsidRPr="00472DB8">
        <w:rPr>
          <w:rFonts w:ascii="Times" w:hAnsi="Times" w:cs="Times"/>
        </w:rPr>
        <w:t xml:space="preserve"> as outside the </w:t>
      </w:r>
      <w:r w:rsidRPr="00472DB8">
        <w:rPr>
          <w:rStyle w:val="searchterm"/>
          <w:rFonts w:ascii="Times" w:hAnsi="Times" w:cs="Times"/>
        </w:rPr>
        <w:t>scope</w:t>
      </w:r>
      <w:r w:rsidRPr="00472DB8">
        <w:rPr>
          <w:rFonts w:ascii="Times" w:hAnsi="Times" w:cs="Times"/>
        </w:rPr>
        <w:t xml:space="preserve"> of the </w:t>
      </w:r>
      <w:r w:rsidRPr="00472DB8">
        <w:rPr>
          <w:rStyle w:val="searchterm"/>
          <w:rFonts w:ascii="Times" w:hAnsi="Times" w:cs="Times"/>
        </w:rPr>
        <w:t>rulemaking</w:t>
      </w:r>
      <w:r w:rsidRPr="00472DB8">
        <w:rPr>
          <w:rFonts w:ascii="Times" w:hAnsi="Times" w:cs="Times"/>
        </w:rPr>
        <w:t xml:space="preserve"> proceeding).</w:t>
      </w:r>
    </w:p>
  </w:footnote>
  <w:footnote w:id="151">
    <w:p w14:paraId="7B69A43A" w14:textId="0EA443F3"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See also</w:t>
      </w:r>
      <w:r w:rsidRPr="00472DB8">
        <w:rPr>
          <w:rFonts w:ascii="Times" w:hAnsi="Times" w:cs="Times"/>
        </w:rPr>
        <w:t xml:space="preserve">, Public Media Reply at 2.  Public Media believes the Commission should allow an LP10 or LP50 class of service because the Commission already allows for 10 and 50 Watt translators in urban areas.  </w:t>
      </w:r>
    </w:p>
  </w:footnote>
  <w:footnote w:id="152">
    <w:p w14:paraId="57B08BD5" w14:textId="77777777" w:rsidR="00C0760C" w:rsidRPr="00472DB8" w:rsidRDefault="00C0760C" w:rsidP="00472DB8">
      <w:pPr>
        <w:pStyle w:val="FootnoteText"/>
        <w:spacing w:after="120"/>
        <w:ind w:firstLine="0"/>
        <w:rPr>
          <w:rStyle w:val="searchterm"/>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Style w:val="searchterm"/>
          <w:rFonts w:ascii="Times" w:hAnsi="Times" w:cs="Times"/>
        </w:rPr>
        <w:t xml:space="preserve">Daytime-only Class D AM stations may originate programming over fill-in FM translators during the hours that their stations are not authorized to operate at their daytime power levels, subject to certain operating restrictions. </w:t>
      </w:r>
      <w:r w:rsidRPr="00472DB8">
        <w:rPr>
          <w:rStyle w:val="searchterm"/>
          <w:rFonts w:ascii="Times" w:hAnsi="Times" w:cs="Times"/>
          <w:i/>
        </w:rPr>
        <w:t>See</w:t>
      </w:r>
      <w:r w:rsidRPr="00472DB8">
        <w:rPr>
          <w:rStyle w:val="searchterm"/>
          <w:rFonts w:ascii="Times" w:hAnsi="Times" w:cs="Times"/>
        </w:rPr>
        <w:t xml:space="preserve"> 47 C.F.R. 74.1231(h).</w:t>
      </w:r>
    </w:p>
  </w:footnote>
  <w:footnote w:id="153">
    <w:p w14:paraId="18780A5D" w14:textId="3E7DE116"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 xml:space="preserve">See </w:t>
      </w:r>
      <w:r w:rsidRPr="00472DB8">
        <w:rPr>
          <w:rFonts w:ascii="Times" w:hAnsi="Times" w:cs="Times"/>
        </w:rPr>
        <w:t>47 C.F.R. § 74.1201(g) (only requiring the “FM translator’s coverage contour [to] be contained within the primary station’s coverage contour.”  This requirement does not place a limit on the antenna height above average terrain (“HAAT”), effectively allowing a 60 dBu contour of 12-15 kilometers.)</w:t>
      </w:r>
    </w:p>
  </w:footnote>
  <w:footnote w:id="154">
    <w:p w14:paraId="7C2743B5" w14:textId="21CA1166" w:rsidR="00C0760C" w:rsidRPr="00472DB8" w:rsidRDefault="00C0760C" w:rsidP="00472DB8">
      <w:pPr>
        <w:pStyle w:val="FootnoteText"/>
        <w:spacing w:after="120"/>
        <w:ind w:firstLine="0"/>
        <w:rPr>
          <w:rFonts w:ascii="Times" w:hAnsi="Times" w:cs="Times"/>
          <w:i/>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 xml:space="preserve">See </w:t>
      </w:r>
      <w:r w:rsidRPr="00472DB8">
        <w:rPr>
          <w:rFonts w:ascii="Times" w:hAnsi="Times" w:cs="Times"/>
        </w:rPr>
        <w:t>47 C.F.R. § 73.811(b) (limiting an LP10 station ERP to that which results in a 60 dBu contour of 3.2 kilometers).</w:t>
      </w:r>
    </w:p>
  </w:footnote>
  <w:footnote w:id="155">
    <w:p w14:paraId="06D493DE" w14:textId="3474EF3D" w:rsidR="00C0760C" w:rsidRPr="00472DB8" w:rsidRDefault="00C0760C" w:rsidP="00472DB8">
      <w:pPr>
        <w:pStyle w:val="FootnoteText"/>
        <w:spacing w:after="120"/>
        <w:ind w:firstLine="0"/>
        <w:rPr>
          <w:rFonts w:ascii="Times" w:hAnsi="Times" w:cs="Times"/>
          <w:b/>
          <w:i/>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Sixth Report and Order</w:t>
      </w:r>
      <w:r w:rsidRPr="00472DB8">
        <w:rPr>
          <w:rFonts w:ascii="Times" w:hAnsi="Times" w:cs="Times"/>
        </w:rPr>
        <w:t xml:space="preserve">, 27 FCC Rcd at 15477 ¶ 202, n.521.  </w:t>
      </w:r>
    </w:p>
  </w:footnote>
  <w:footnote w:id="156">
    <w:p w14:paraId="4AFCDE06" w14:textId="033C38ED" w:rsidR="00C0760C" w:rsidRPr="00472DB8" w:rsidRDefault="00C0760C" w:rsidP="00472DB8">
      <w:pPr>
        <w:pStyle w:val="FootnoteText"/>
        <w:spacing w:after="120"/>
        <w:ind w:firstLine="0"/>
        <w:rPr>
          <w:rFonts w:ascii="Times" w:hAnsi="Times" w:cs="Times"/>
          <w:snapToGrid w:val="0"/>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snapToGrid w:val="0"/>
        </w:rPr>
        <w:t xml:space="preserve">Id. </w:t>
      </w:r>
      <w:r w:rsidRPr="00472DB8">
        <w:rPr>
          <w:rFonts w:ascii="Times" w:hAnsi="Times" w:cs="Times"/>
          <w:snapToGrid w:val="0"/>
        </w:rPr>
        <w:t xml:space="preserve">quoting </w:t>
      </w:r>
      <w:r w:rsidRPr="00472DB8">
        <w:rPr>
          <w:rFonts w:ascii="Times" w:hAnsi="Times" w:cs="Times"/>
          <w:i/>
          <w:iCs/>
          <w:snapToGrid w:val="0"/>
        </w:rPr>
        <w:t>Economic Impact of Low-Power FM Stations on Commercial FM Radio: Report to Congress Pursuant to Section 8 of the Local Community Radio Act of 2010</w:t>
      </w:r>
      <w:r w:rsidRPr="00472DB8">
        <w:rPr>
          <w:rFonts w:ascii="Times" w:hAnsi="Times" w:cs="Times"/>
          <w:snapToGrid w:val="0"/>
        </w:rPr>
        <w:t xml:space="preserve">, Report, 27 FCC Rcd 3 at 64 ¶ 5 (2012).  </w:t>
      </w:r>
    </w:p>
  </w:footnote>
  <w:footnote w:id="157">
    <w:p w14:paraId="7A9E0463" w14:textId="4ECF6EE8"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Over 100 LPFM licenses have either been abandoned or cancelled.  </w:t>
      </w:r>
      <w:r w:rsidRPr="00472DB8">
        <w:rPr>
          <w:rFonts w:ascii="Times" w:hAnsi="Times" w:cs="Times"/>
          <w:i/>
        </w:rPr>
        <w:t>See, e.g.,</w:t>
      </w:r>
      <w:r w:rsidRPr="00472DB8">
        <w:rPr>
          <w:rFonts w:ascii="Times" w:hAnsi="Times" w:cs="Times"/>
        </w:rPr>
        <w:t xml:space="preserve"> WNMI-LP, Facility ID No. 132503 (licensee terminated its operations and cancelled its license); KPIE-LP, Facility ID No. 133024 (licensee cancelled its license); and KMDM-LP, Facility ID No. 133196 (licensee terminated its operations and cancelled its license).</w:t>
      </w:r>
    </w:p>
  </w:footnote>
  <w:footnote w:id="158">
    <w:p w14:paraId="26D23B4E" w14:textId="77777777" w:rsidR="00C0760C" w:rsidRPr="00472DB8" w:rsidRDefault="00C0760C" w:rsidP="00472DB8">
      <w:pPr>
        <w:pStyle w:val="FootnoteText"/>
        <w:spacing w:after="120"/>
        <w:ind w:firstLine="0"/>
        <w:rPr>
          <w:rFonts w:ascii="Times" w:hAnsi="Times" w:cs="Times"/>
          <w:i/>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See, e.g., Sixth Report and Order</w:t>
      </w:r>
      <w:r w:rsidRPr="00472DB8">
        <w:rPr>
          <w:rFonts w:ascii="Times" w:hAnsi="Times" w:cs="Times"/>
        </w:rPr>
        <w:t>, 27 FCC Rcd at 15477 ¶ 202, n.519-521.  The Commission also noted that LP50 stations would suffer many of the same technical deficiencies as LP10 stations.</w:t>
      </w:r>
    </w:p>
  </w:footnote>
  <w:footnote w:id="159">
    <w:p w14:paraId="6A39DBA7" w14:textId="20DDE16B" w:rsidR="00C0760C" w:rsidRPr="00472DB8" w:rsidRDefault="00C0760C" w:rsidP="00472DB8">
      <w:pPr>
        <w:pStyle w:val="ParaNum"/>
        <w:widowControl/>
        <w:numPr>
          <w:ilvl w:val="0"/>
          <w:numId w:val="0"/>
        </w:numPr>
        <w:rPr>
          <w:rFonts w:ascii="Times" w:hAnsi="Times" w:cs="Times"/>
          <w:sz w:val="20"/>
        </w:rPr>
      </w:pPr>
      <w:r w:rsidRPr="00472DB8">
        <w:rPr>
          <w:rStyle w:val="FootnoteReference"/>
          <w:rFonts w:ascii="Times" w:hAnsi="Times" w:cs="Times"/>
          <w:sz w:val="20"/>
        </w:rPr>
        <w:footnoteRef/>
      </w:r>
      <w:r w:rsidRPr="00472DB8">
        <w:rPr>
          <w:rFonts w:ascii="Times" w:hAnsi="Times" w:cs="Times"/>
          <w:sz w:val="20"/>
        </w:rPr>
        <w:t xml:space="preserve"> The Supreme Court has stated that “[n]ormally, an agency rule would be </w:t>
      </w:r>
      <w:bookmarkStart w:id="6" w:name="SR;8464"/>
      <w:bookmarkEnd w:id="6"/>
      <w:r w:rsidRPr="00472DB8">
        <w:rPr>
          <w:rStyle w:val="searchterm"/>
          <w:rFonts w:ascii="Times" w:hAnsi="Times" w:cs="Times"/>
          <w:sz w:val="20"/>
        </w:rPr>
        <w:t>arbitrary</w:t>
      </w:r>
      <w:r w:rsidRPr="00472DB8">
        <w:rPr>
          <w:rFonts w:ascii="Times" w:hAnsi="Times" w:cs="Times"/>
          <w:sz w:val="20"/>
        </w:rPr>
        <w:t xml:space="preserve"> and </w:t>
      </w:r>
      <w:bookmarkStart w:id="7" w:name="SR;8466"/>
      <w:bookmarkEnd w:id="7"/>
      <w:r w:rsidRPr="00472DB8">
        <w:rPr>
          <w:rStyle w:val="searchterm"/>
          <w:rFonts w:ascii="Times" w:hAnsi="Times" w:cs="Times"/>
          <w:sz w:val="20"/>
        </w:rPr>
        <w:t>capricious</w:t>
      </w:r>
      <w:r w:rsidRPr="00472DB8">
        <w:rPr>
          <w:rFonts w:ascii="Times" w:hAnsi="Times" w:cs="Times"/>
          <w:sz w:val="20"/>
        </w:rPr>
        <w:t xml:space="preserve"> if the agency has relied on factors which Congress has not intended it to consider, entirely failed to consider an important aspect of the problem, offered an explanation for its decision that runs counter to the evidence before the agency, or is so implausible that it could not be ascribed to a difference in view or the product of agency </w:t>
      </w:r>
      <w:bookmarkStart w:id="8" w:name="SR;8527"/>
      <w:bookmarkEnd w:id="8"/>
      <w:r w:rsidRPr="00472DB8">
        <w:rPr>
          <w:rStyle w:val="searchterm"/>
          <w:rFonts w:ascii="Times" w:hAnsi="Times" w:cs="Times"/>
          <w:sz w:val="20"/>
        </w:rPr>
        <w:t>expertise</w:t>
      </w:r>
      <w:r w:rsidRPr="00472DB8">
        <w:rPr>
          <w:rFonts w:ascii="Times" w:hAnsi="Times" w:cs="Times"/>
          <w:sz w:val="20"/>
        </w:rPr>
        <w:t xml:space="preserve">.” </w:t>
      </w:r>
      <w:r w:rsidRPr="00472DB8">
        <w:rPr>
          <w:rFonts w:ascii="Times" w:hAnsi="Times" w:cs="Times"/>
          <w:i/>
          <w:iCs/>
          <w:sz w:val="20"/>
        </w:rPr>
        <w:t xml:space="preserve">See </w:t>
      </w:r>
      <w:hyperlink r:id="rId2" w:tgtFrame="_top" w:history="1">
        <w:r w:rsidRPr="00472DB8">
          <w:rPr>
            <w:rStyle w:val="Hyperlink"/>
            <w:rFonts w:ascii="Times" w:hAnsi="Times" w:cs="Times"/>
            <w:i/>
            <w:iCs/>
            <w:color w:val="auto"/>
            <w:sz w:val="20"/>
            <w:u w:val="none"/>
          </w:rPr>
          <w:t>Motor Vehicle Manufacturers Ass'n v. State Farm Mutual Automobile Ins. Co.</w:t>
        </w:r>
        <w:r w:rsidRPr="00472DB8">
          <w:rPr>
            <w:rStyle w:val="Hyperlink"/>
            <w:rFonts w:ascii="Times" w:hAnsi="Times" w:cs="Times"/>
            <w:color w:val="auto"/>
            <w:sz w:val="20"/>
            <w:u w:val="none"/>
          </w:rPr>
          <w:t>, 463 U.S. 29, 43 (1983)</w:t>
        </w:r>
      </w:hyperlink>
      <w:r w:rsidRPr="00472DB8">
        <w:rPr>
          <w:rFonts w:ascii="Times" w:hAnsi="Times" w:cs="Times"/>
          <w:sz w:val="20"/>
        </w:rPr>
        <w:t>.</w:t>
      </w:r>
    </w:p>
  </w:footnote>
  <w:footnote w:id="160">
    <w:p w14:paraId="48AC77F9"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Sixth Report and Order</w:t>
      </w:r>
      <w:r w:rsidRPr="00472DB8">
        <w:rPr>
          <w:rFonts w:ascii="Times" w:hAnsi="Times" w:cs="Times"/>
        </w:rPr>
        <w:t xml:space="preserve">, 27 FCC Rcd at 15478 ¶ 204.  </w:t>
      </w:r>
    </w:p>
  </w:footnote>
  <w:footnote w:id="161">
    <w:p w14:paraId="1C9DD197" w14:textId="4B5373C3"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vertAlign w:val="superscript"/>
        </w:rPr>
        <w:t xml:space="preserve">  </w:t>
      </w:r>
      <w:r w:rsidRPr="00472DB8">
        <w:rPr>
          <w:rFonts w:ascii="Times" w:hAnsi="Times" w:cs="Times"/>
        </w:rPr>
        <w:t xml:space="preserve">In its Comments, REC </w:t>
      </w:r>
      <w:r w:rsidRPr="00472DB8">
        <w:rPr>
          <w:rFonts w:ascii="Times" w:hAnsi="Times" w:cs="Times"/>
          <w:kern w:val="28"/>
        </w:rPr>
        <w:t>urges</w:t>
      </w:r>
      <w:r w:rsidRPr="00472DB8">
        <w:rPr>
          <w:rFonts w:ascii="Times" w:hAnsi="Times" w:cs="Times"/>
        </w:rPr>
        <w:t xml:space="preserve"> that, if the establishment of an LP50 service is to be considered, the Commission should consider it in a separate rulemaking proceeding in which a complete record </w:t>
      </w:r>
      <w:r w:rsidRPr="00472DB8">
        <w:rPr>
          <w:rFonts w:ascii="Times" w:hAnsi="Times" w:cs="Times"/>
          <w:kern w:val="28"/>
        </w:rPr>
        <w:t>can</w:t>
      </w:r>
      <w:r w:rsidRPr="00472DB8">
        <w:rPr>
          <w:rFonts w:ascii="Times" w:hAnsi="Times" w:cs="Times"/>
        </w:rPr>
        <w:t xml:space="preserve"> be assembled. REC Comments at 4.  Any party, including LTCI, may petition the Commission to change the rule in the manner that LTCI has advocated.  47 C.F.R. § 1.401.</w:t>
      </w:r>
    </w:p>
  </w:footnote>
  <w:footnote w:id="162">
    <w:p w14:paraId="6D7E600D" w14:textId="73E96A56"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LTCI Petition at 10.  To buttress this contention, in its Reply to the Replies of the Media Alliance, REC Networks, Common Frequency and Public Media of New England d/b/a WHAV, LTCI submitted a study by its counsel that purports to demonstrate the extent to which Commission authorization of LPFM facilities operating at less than 50 Watts would increase the number of new facilities technically available in various cities. </w:t>
      </w:r>
      <w:r w:rsidRPr="00472DB8">
        <w:rPr>
          <w:rFonts w:ascii="Times" w:hAnsi="Times" w:cs="Times"/>
          <w:i/>
        </w:rPr>
        <w:t xml:space="preserve">See also </w:t>
      </w:r>
      <w:r w:rsidRPr="00472DB8">
        <w:rPr>
          <w:rFonts w:ascii="Times" w:hAnsi="Times" w:cs="Times"/>
        </w:rPr>
        <w:t xml:space="preserve">Public Media Reply at 2-4; Comments of REC Networks at 3-5, Appendix A.  </w:t>
      </w:r>
    </w:p>
  </w:footnote>
  <w:footnote w:id="163">
    <w:p w14:paraId="2437B687" w14:textId="3EC2FB51"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Creation of a Low Power Radio Service and Amendment of Service and Eligibility Rules for FM Broadcast Translator Stations</w:t>
      </w:r>
      <w:r w:rsidRPr="00472DB8">
        <w:rPr>
          <w:rFonts w:ascii="Times" w:hAnsi="Times" w:cs="Times"/>
        </w:rPr>
        <w:t>, Fourth Report and Order and Third Order on Reconsideration, 27 FCC Rcd 3364, 3372-73 ¶ 18 (2012) (“</w:t>
      </w:r>
      <w:r w:rsidRPr="00472DB8">
        <w:rPr>
          <w:rFonts w:ascii="Times" w:hAnsi="Times" w:cs="Times"/>
          <w:i/>
        </w:rPr>
        <w:t>Fourth Report and Order</w:t>
      </w:r>
      <w:r w:rsidRPr="00472DB8">
        <w:rPr>
          <w:rFonts w:ascii="Times" w:hAnsi="Times" w:cs="Times"/>
        </w:rPr>
        <w:t>”).</w:t>
      </w:r>
    </w:p>
  </w:footnote>
  <w:footnote w:id="164">
    <w:p w14:paraId="086230CA"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Id</w:t>
      </w:r>
      <w:r w:rsidRPr="00472DB8">
        <w:rPr>
          <w:rFonts w:ascii="Times" w:hAnsi="Times" w:cs="Times"/>
        </w:rPr>
        <w:t>. 27 FCC Rcd at 3373-74 ¶ 19.</w:t>
      </w:r>
    </w:p>
  </w:footnote>
  <w:footnote w:id="165">
    <w:p w14:paraId="39F65D65" w14:textId="1622E870" w:rsidR="00C0760C" w:rsidRPr="00472DB8" w:rsidRDefault="00C0760C" w:rsidP="00472DB8">
      <w:pPr>
        <w:pStyle w:val="FootnoteText"/>
        <w:spacing w:after="120"/>
        <w:ind w:firstLine="0"/>
        <w:rPr>
          <w:rFonts w:ascii="Times" w:hAnsi="Times" w:cs="Times"/>
          <w:b/>
        </w:rPr>
      </w:pPr>
      <w:r w:rsidRPr="00472DB8">
        <w:rPr>
          <w:rStyle w:val="FootnoteReference"/>
          <w:rFonts w:ascii="Times" w:hAnsi="Times" w:cs="Times"/>
        </w:rPr>
        <w:footnoteRef/>
      </w:r>
      <w:r w:rsidRPr="00472DB8">
        <w:rPr>
          <w:rFonts w:ascii="Times" w:hAnsi="Times" w:cs="Times"/>
          <w:i/>
        </w:rPr>
        <w:t>See id.</w:t>
      </w:r>
      <w:r w:rsidRPr="00472DB8">
        <w:rPr>
          <w:rFonts w:ascii="Times" w:hAnsi="Times" w:cs="Times"/>
        </w:rPr>
        <w:t xml:space="preserve">, 27 FCC Rcd at 3373-74 ¶ 19 and 3398-3402, Appendix A. </w:t>
      </w:r>
    </w:p>
  </w:footnote>
  <w:footnote w:id="166">
    <w:p w14:paraId="3B69C562"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Sixth Report and Order</w:t>
      </w:r>
      <w:r w:rsidRPr="00472DB8">
        <w:rPr>
          <w:rFonts w:ascii="Times" w:hAnsi="Times" w:cs="Times"/>
        </w:rPr>
        <w:t>, 27 FCC Rcd at 15478 ¶ 204.</w:t>
      </w:r>
    </w:p>
  </w:footnote>
  <w:footnote w:id="167">
    <w:p w14:paraId="63C60456" w14:textId="61ACA60F"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LTCI Petition at 11.  Media Alliance, Common Frequency, and Nickolaus E. Leggett also raise concerns about the impact on the poor and racial and ethnic minorities.  Media Alliance Reply at 3, CF Reply at 1, Leggett Reply at 3.</w:t>
      </w:r>
    </w:p>
  </w:footnote>
  <w:footnote w:id="168">
    <w:p w14:paraId="57E69BFD" w14:textId="68CC26D1" w:rsidR="00C0760C" w:rsidRPr="00472DB8" w:rsidRDefault="00C0760C" w:rsidP="00472DB8">
      <w:pPr>
        <w:spacing w:after="120"/>
        <w:ind w:firstLine="0"/>
        <w:rPr>
          <w:rFonts w:ascii="Times" w:hAnsi="Times" w:cs="Times"/>
          <w:sz w:val="20"/>
          <w:szCs w:val="20"/>
        </w:rPr>
      </w:pPr>
      <w:r w:rsidRPr="00472DB8">
        <w:rPr>
          <w:rStyle w:val="FootnoteReference"/>
          <w:rFonts w:ascii="Times" w:hAnsi="Times" w:cs="Times"/>
          <w:sz w:val="20"/>
          <w:szCs w:val="20"/>
        </w:rPr>
        <w:footnoteRef/>
      </w:r>
      <w:r w:rsidRPr="00472DB8">
        <w:rPr>
          <w:rFonts w:ascii="Times" w:hAnsi="Times" w:cs="Times"/>
          <w:sz w:val="20"/>
          <w:szCs w:val="20"/>
        </w:rPr>
        <w:t xml:space="preserve"> </w:t>
      </w:r>
      <w:r w:rsidRPr="00472DB8">
        <w:rPr>
          <w:rFonts w:ascii="Times" w:hAnsi="Times" w:cs="Times"/>
          <w:i/>
          <w:iCs/>
          <w:sz w:val="20"/>
          <w:szCs w:val="20"/>
        </w:rPr>
        <w:t>Washington v. Davis</w:t>
      </w:r>
      <w:r w:rsidRPr="00472DB8">
        <w:rPr>
          <w:rFonts w:ascii="Times" w:hAnsi="Times" w:cs="Times"/>
          <w:sz w:val="20"/>
          <w:szCs w:val="20"/>
        </w:rPr>
        <w:t>, 426 U.S. 229, 242 (1976) (where a law is neutral on its face, disproportionate impact alone does not render it unconstitutional);</w:t>
      </w:r>
      <w:r w:rsidRPr="00472DB8">
        <w:rPr>
          <w:rFonts w:ascii="Times" w:hAnsi="Times" w:cs="Times"/>
          <w:i/>
          <w:iCs/>
          <w:sz w:val="20"/>
          <w:szCs w:val="20"/>
        </w:rPr>
        <w:t xml:space="preserve"> Village of Arlington Heights v. Metro. Hous. Dev. Corp.</w:t>
      </w:r>
      <w:r w:rsidRPr="00472DB8">
        <w:rPr>
          <w:rFonts w:ascii="Times" w:hAnsi="Times" w:cs="Times"/>
          <w:sz w:val="20"/>
          <w:szCs w:val="20"/>
        </w:rPr>
        <w:t>, 429 U.S. 252, 265 (1977) (“Proof of racially discriminatory intent or purpose is required to show a violation of the Equal Protection Clause [of the 14</w:t>
      </w:r>
      <w:r w:rsidRPr="00472DB8">
        <w:rPr>
          <w:rFonts w:ascii="Times" w:hAnsi="Times" w:cs="Times"/>
          <w:sz w:val="20"/>
          <w:szCs w:val="20"/>
          <w:vertAlign w:val="superscript"/>
        </w:rPr>
        <w:t>th</w:t>
      </w:r>
      <w:r w:rsidRPr="00472DB8">
        <w:rPr>
          <w:rFonts w:ascii="Times" w:hAnsi="Times" w:cs="Times"/>
          <w:sz w:val="20"/>
          <w:szCs w:val="20"/>
        </w:rPr>
        <w:t xml:space="preserve"> Amendment].”).</w:t>
      </w:r>
    </w:p>
  </w:footnote>
  <w:footnote w:id="169">
    <w:p w14:paraId="73245237" w14:textId="7AFA022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First Report and Order</w:t>
      </w:r>
      <w:r w:rsidRPr="00472DB8">
        <w:rPr>
          <w:rFonts w:ascii="Times" w:hAnsi="Times" w:cs="Times"/>
        </w:rPr>
        <w:t>, 15 FCC Rcd at 2206  ¶ 4 (2000).</w:t>
      </w:r>
    </w:p>
  </w:footnote>
  <w:footnote w:id="170">
    <w:p w14:paraId="7DC8F382" w14:textId="64319763"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 xml:space="preserve">Id. </w:t>
      </w:r>
      <w:r w:rsidRPr="00472DB8">
        <w:rPr>
          <w:rFonts w:ascii="Times" w:hAnsi="Times" w:cs="Times"/>
        </w:rPr>
        <w:t>at ¶ 6.</w:t>
      </w:r>
    </w:p>
  </w:footnote>
  <w:footnote w:id="171">
    <w:p w14:paraId="2132AEE0"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The RFA, </w:t>
      </w:r>
      <w:r w:rsidRPr="00472DB8">
        <w:rPr>
          <w:rFonts w:ascii="Times" w:hAnsi="Times" w:cs="Times"/>
          <w:i/>
        </w:rPr>
        <w:t>see</w:t>
      </w:r>
      <w:r w:rsidRPr="00472DB8">
        <w:rPr>
          <w:rFonts w:ascii="Times" w:hAnsi="Times" w:cs="Times"/>
        </w:rPr>
        <w:t xml:space="preserve"> 5 U.S.C. § 601 </w:t>
      </w:r>
      <w:r w:rsidRPr="00472DB8">
        <w:rPr>
          <w:rFonts w:ascii="Times" w:hAnsi="Times" w:cs="Times"/>
          <w:i/>
        </w:rPr>
        <w:t>et. seq</w:t>
      </w:r>
      <w:r w:rsidRPr="00472DB8">
        <w:rPr>
          <w:rFonts w:ascii="Times" w:hAnsi="Times" w:cs="Times"/>
        </w:rPr>
        <w:t>., has been amended by the Contract With America Advancement Act of 1996, Pub. L. No. 104-121, 110 Stat. 847 (1996) (“CWAAA”). Title II of the CWAAA is the Small Business Regulatory Enforcement Fairness Act of 1996 (“SBREFA”).</w:t>
      </w:r>
    </w:p>
  </w:footnote>
  <w:footnote w:id="172">
    <w:p w14:paraId="306B898A"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5 U.S.C. § 605(b).</w:t>
      </w:r>
    </w:p>
  </w:footnote>
  <w:footnote w:id="173">
    <w:p w14:paraId="28883585"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Id.</w:t>
      </w:r>
      <w:r w:rsidRPr="00472DB8">
        <w:rPr>
          <w:rFonts w:ascii="Times" w:hAnsi="Times" w:cs="Times"/>
        </w:rPr>
        <w:t xml:space="preserve"> § 601(6).</w:t>
      </w:r>
    </w:p>
  </w:footnote>
  <w:footnote w:id="174">
    <w:p w14:paraId="0C7A069D" w14:textId="77777777" w:rsidR="00C0760C" w:rsidRPr="00472DB8" w:rsidRDefault="00C0760C" w:rsidP="00472DB8">
      <w:pPr>
        <w:spacing w:after="120"/>
        <w:ind w:firstLine="0"/>
        <w:rPr>
          <w:rFonts w:ascii="Times" w:hAnsi="Times" w:cs="Times"/>
          <w:sz w:val="20"/>
          <w:szCs w:val="20"/>
        </w:rPr>
      </w:pPr>
      <w:r w:rsidRPr="00472DB8">
        <w:rPr>
          <w:rStyle w:val="FootnoteReference"/>
          <w:rFonts w:ascii="Times" w:hAnsi="Times" w:cs="Times"/>
          <w:sz w:val="20"/>
          <w:szCs w:val="20"/>
        </w:rPr>
        <w:footnoteRef/>
      </w:r>
      <w:r w:rsidRPr="00472DB8">
        <w:rPr>
          <w:rFonts w:ascii="Times" w:hAnsi="Times" w:cs="Times"/>
          <w:sz w:val="20"/>
          <w:szCs w:val="20"/>
        </w:rPr>
        <w:t xml:space="preserve"> </w:t>
      </w:r>
      <w:r w:rsidRPr="00472DB8">
        <w:rPr>
          <w:rFonts w:ascii="Times" w:hAnsi="Times" w:cs="Times"/>
          <w:i/>
          <w:sz w:val="20"/>
          <w:szCs w:val="20"/>
        </w:rPr>
        <w:t>Id.</w:t>
      </w:r>
      <w:r w:rsidRPr="00472DB8">
        <w:rPr>
          <w:rFonts w:ascii="Times" w:hAnsi="Times" w:cs="Times"/>
          <w:sz w:val="20"/>
          <w:szCs w:val="20"/>
        </w:rPr>
        <w:t xml:space="preserve"> § 601(3) (incorporating by reference the definition of “small business concern” in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75">
    <w:p w14:paraId="405C599A"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Small Business Act, § 15 U.S.C. § 632. </w:t>
      </w:r>
    </w:p>
  </w:footnote>
  <w:footnote w:id="176">
    <w:p w14:paraId="31E63500" w14:textId="77777777"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See Sixth Report and Order</w:t>
      </w:r>
      <w:r w:rsidRPr="00472DB8">
        <w:rPr>
          <w:rFonts w:ascii="Times" w:hAnsi="Times" w:cs="Times"/>
        </w:rPr>
        <w:t>, 27 FCC Rcd at 15489-94.</w:t>
      </w:r>
    </w:p>
  </w:footnote>
  <w:footnote w:id="177">
    <w:p w14:paraId="678C027C" w14:textId="4B70DF44" w:rsidR="00C0760C" w:rsidRPr="00472DB8" w:rsidRDefault="00C0760C" w:rsidP="00472DB8">
      <w:pPr>
        <w:pStyle w:val="FootnoteText"/>
        <w:spacing w:after="120"/>
        <w:ind w:firstLine="0"/>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 xml:space="preserve">See, supra, </w:t>
      </w:r>
      <w:r w:rsidRPr="00472DB8">
        <w:rPr>
          <w:rFonts w:ascii="Times" w:hAnsi="Times" w:cs="Times"/>
        </w:rPr>
        <w:t>¶ 17.</w:t>
      </w:r>
    </w:p>
  </w:footnote>
  <w:footnote w:id="178">
    <w:p w14:paraId="014845D0" w14:textId="51076A9B" w:rsidR="00C0760C" w:rsidRPr="00472DB8" w:rsidRDefault="00C0760C" w:rsidP="00472DB8">
      <w:pPr>
        <w:pStyle w:val="FootnoteText"/>
        <w:spacing w:after="120"/>
        <w:ind w:firstLine="0"/>
        <w:rPr>
          <w:rFonts w:ascii="Times" w:hAnsi="Times" w:cs="Times"/>
          <w:i/>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 xml:space="preserve">See, supra, </w:t>
      </w:r>
      <w:r w:rsidRPr="00472DB8">
        <w:rPr>
          <w:rFonts w:ascii="Times" w:hAnsi="Times" w:cs="Times"/>
        </w:rPr>
        <w:t>¶ 30.</w:t>
      </w:r>
    </w:p>
  </w:footnote>
  <w:footnote w:id="179">
    <w:p w14:paraId="5434E7E7" w14:textId="06DEABE0" w:rsidR="00C0760C" w:rsidRPr="00472DB8" w:rsidRDefault="00C0760C" w:rsidP="00472DB8">
      <w:pPr>
        <w:spacing w:after="120"/>
        <w:ind w:firstLine="0"/>
        <w:rPr>
          <w:rFonts w:ascii="Times" w:hAnsi="Times" w:cs="Times"/>
          <w:sz w:val="20"/>
          <w:szCs w:val="20"/>
        </w:rPr>
      </w:pPr>
      <w:r w:rsidRPr="00472DB8">
        <w:rPr>
          <w:rStyle w:val="FootnoteReference"/>
          <w:rFonts w:ascii="Times" w:hAnsi="Times" w:cs="Times"/>
          <w:sz w:val="20"/>
          <w:szCs w:val="20"/>
        </w:rPr>
        <w:footnoteRef/>
      </w:r>
      <w:r w:rsidRPr="00472DB8">
        <w:rPr>
          <w:rFonts w:ascii="Times" w:hAnsi="Times" w:cs="Times"/>
          <w:sz w:val="20"/>
          <w:szCs w:val="20"/>
        </w:rPr>
        <w:t xml:space="preserve"> In addition to demonstrating that no actual interference will occur at the translator station’s receive antenna, </w:t>
      </w:r>
      <w:r w:rsidRPr="00472DB8">
        <w:rPr>
          <w:rFonts w:ascii="Times" w:hAnsi="Times" w:cs="Times"/>
          <w:i/>
          <w:sz w:val="20"/>
          <w:szCs w:val="20"/>
        </w:rPr>
        <w:t xml:space="preserve">see supra </w:t>
      </w:r>
      <w:r w:rsidRPr="00472DB8">
        <w:rPr>
          <w:rFonts w:ascii="Times" w:hAnsi="Times" w:cs="Times"/>
          <w:sz w:val="20"/>
          <w:szCs w:val="20"/>
        </w:rPr>
        <w:t xml:space="preserve">¶¶ 21-22, Section </w:t>
      </w:r>
      <w:r w:rsidRPr="00472DB8">
        <w:rPr>
          <w:rFonts w:ascii="Times" w:eastAsia="Calibri" w:hAnsi="Times" w:cs="Times"/>
          <w:sz w:val="20"/>
          <w:szCs w:val="20"/>
        </w:rPr>
        <w:t xml:space="preserve">73.827(a) also allows an LPFM station to operate near an FM translator station if it: </w:t>
      </w:r>
      <w:r w:rsidRPr="00472DB8">
        <w:rPr>
          <w:rFonts w:ascii="Times" w:hAnsi="Times" w:cs="Times"/>
          <w:sz w:val="20"/>
          <w:szCs w:val="20"/>
        </w:rPr>
        <w:t xml:space="preserve"> (a) complies with the minimum LPFM/FM translator distance separation calculated in accordance with the following formula:  d</w:t>
      </w:r>
      <w:r w:rsidRPr="00472DB8">
        <w:rPr>
          <w:rFonts w:ascii="Times" w:hAnsi="Times" w:cs="Times"/>
          <w:sz w:val="20"/>
          <w:szCs w:val="20"/>
          <w:vertAlign w:val="subscript"/>
        </w:rPr>
        <w:t>u</w:t>
      </w:r>
      <w:r w:rsidRPr="00472DB8">
        <w:rPr>
          <w:rFonts w:ascii="Times" w:hAnsi="Times" w:cs="Times"/>
          <w:sz w:val="20"/>
          <w:szCs w:val="20"/>
        </w:rPr>
        <w:t xml:space="preserve"> = 133.5 antilog [(P</w:t>
      </w:r>
      <w:r w:rsidRPr="00472DB8">
        <w:rPr>
          <w:rFonts w:ascii="Times" w:hAnsi="Times" w:cs="Times"/>
          <w:sz w:val="20"/>
          <w:szCs w:val="20"/>
          <w:vertAlign w:val="subscript"/>
        </w:rPr>
        <w:t>eu</w:t>
      </w:r>
      <w:r w:rsidRPr="00472DB8">
        <w:rPr>
          <w:rFonts w:ascii="Times" w:hAnsi="Times" w:cs="Times"/>
          <w:sz w:val="20"/>
          <w:szCs w:val="20"/>
        </w:rPr>
        <w:t xml:space="preserve"> + G</w:t>
      </w:r>
      <w:r w:rsidRPr="00472DB8">
        <w:rPr>
          <w:rFonts w:ascii="Times" w:hAnsi="Times" w:cs="Times"/>
          <w:sz w:val="20"/>
          <w:szCs w:val="20"/>
          <w:vertAlign w:val="subscript"/>
        </w:rPr>
        <w:t>ru</w:t>
      </w:r>
      <w:r w:rsidRPr="00472DB8">
        <w:rPr>
          <w:rFonts w:ascii="Times" w:hAnsi="Times" w:cs="Times"/>
          <w:sz w:val="20"/>
          <w:szCs w:val="20"/>
        </w:rPr>
        <w:t xml:space="preserve"> – G</w:t>
      </w:r>
      <w:r w:rsidRPr="00472DB8">
        <w:rPr>
          <w:rFonts w:ascii="Times" w:hAnsi="Times" w:cs="Times"/>
          <w:sz w:val="20"/>
          <w:szCs w:val="20"/>
          <w:vertAlign w:val="subscript"/>
        </w:rPr>
        <w:t>rd</w:t>
      </w:r>
      <w:r w:rsidRPr="00472DB8">
        <w:rPr>
          <w:rFonts w:ascii="Times" w:hAnsi="Times" w:cs="Times"/>
          <w:sz w:val="20"/>
          <w:szCs w:val="20"/>
        </w:rPr>
        <w:t xml:space="preserve"> – E</w:t>
      </w:r>
      <w:r w:rsidRPr="00472DB8">
        <w:rPr>
          <w:rFonts w:ascii="Times" w:hAnsi="Times" w:cs="Times"/>
          <w:sz w:val="20"/>
          <w:szCs w:val="20"/>
          <w:vertAlign w:val="subscript"/>
        </w:rPr>
        <w:t>d</w:t>
      </w:r>
      <w:r w:rsidRPr="00472DB8">
        <w:rPr>
          <w:rFonts w:ascii="Times" w:hAnsi="Times" w:cs="Times"/>
          <w:sz w:val="20"/>
          <w:szCs w:val="20"/>
        </w:rPr>
        <w:t>) / 20], where d</w:t>
      </w:r>
      <w:r w:rsidRPr="00472DB8">
        <w:rPr>
          <w:rFonts w:ascii="Times" w:hAnsi="Times" w:cs="Times"/>
          <w:sz w:val="20"/>
          <w:szCs w:val="20"/>
          <w:vertAlign w:val="subscript"/>
        </w:rPr>
        <w:t>u</w:t>
      </w:r>
      <w:r w:rsidRPr="00472DB8">
        <w:rPr>
          <w:rFonts w:ascii="Times" w:hAnsi="Times" w:cs="Times"/>
          <w:sz w:val="20"/>
          <w:szCs w:val="20"/>
        </w:rPr>
        <w:t xml:space="preserve"> = the minimum allowed separation in km, P</w:t>
      </w:r>
      <w:r w:rsidRPr="00472DB8">
        <w:rPr>
          <w:rFonts w:ascii="Times" w:hAnsi="Times" w:cs="Times"/>
          <w:sz w:val="20"/>
          <w:szCs w:val="20"/>
          <w:vertAlign w:val="subscript"/>
        </w:rPr>
        <w:t>eu</w:t>
      </w:r>
      <w:r w:rsidRPr="00472DB8">
        <w:rPr>
          <w:rFonts w:ascii="Times" w:hAnsi="Times" w:cs="Times"/>
          <w:sz w:val="20"/>
          <w:szCs w:val="20"/>
        </w:rPr>
        <w:t xml:space="preserve"> = LPFM ERP in dBW, G</w:t>
      </w:r>
      <w:r w:rsidRPr="00472DB8">
        <w:rPr>
          <w:rFonts w:ascii="Times" w:hAnsi="Times" w:cs="Times"/>
          <w:sz w:val="20"/>
          <w:szCs w:val="20"/>
          <w:vertAlign w:val="subscript"/>
        </w:rPr>
        <w:t>ru</w:t>
      </w:r>
      <w:r w:rsidRPr="00472DB8">
        <w:rPr>
          <w:rFonts w:ascii="Times" w:hAnsi="Times" w:cs="Times"/>
          <w:sz w:val="20"/>
          <w:szCs w:val="20"/>
        </w:rPr>
        <w:t xml:space="preserve"> = gain (dBd) of the FM translator receive antenna in the direction of the LPFM site, G</w:t>
      </w:r>
      <w:r w:rsidRPr="00472DB8">
        <w:rPr>
          <w:rFonts w:ascii="Times" w:hAnsi="Times" w:cs="Times"/>
          <w:sz w:val="20"/>
          <w:szCs w:val="20"/>
          <w:vertAlign w:val="subscript"/>
        </w:rPr>
        <w:t>rd</w:t>
      </w:r>
      <w:r w:rsidRPr="00472DB8">
        <w:rPr>
          <w:rFonts w:ascii="Times" w:hAnsi="Times" w:cs="Times"/>
          <w:sz w:val="20"/>
          <w:szCs w:val="20"/>
        </w:rPr>
        <w:t xml:space="preserve"> = gain (dBd) of the FM translator receive antenna in the direction of the primary station site, E</w:t>
      </w:r>
      <w:r w:rsidRPr="00472DB8">
        <w:rPr>
          <w:rFonts w:ascii="Times" w:hAnsi="Times" w:cs="Times"/>
          <w:sz w:val="20"/>
          <w:szCs w:val="20"/>
          <w:vertAlign w:val="subscript"/>
        </w:rPr>
        <w:t>d</w:t>
      </w:r>
      <w:r w:rsidRPr="00472DB8">
        <w:rPr>
          <w:rFonts w:ascii="Times" w:hAnsi="Times" w:cs="Times"/>
          <w:sz w:val="20"/>
          <w:szCs w:val="20"/>
        </w:rPr>
        <w:t xml:space="preserve"> = predicted field strength (dBu) of the primary station at the translator site;  or (b) reaches an agreement with the licensee of the FM translator regarding an alternative technical solution.  47 C.F.R. § </w:t>
      </w:r>
      <w:r w:rsidRPr="00472DB8">
        <w:rPr>
          <w:rFonts w:ascii="Times" w:eastAsia="Calibri" w:hAnsi="Times" w:cs="Times"/>
          <w:sz w:val="20"/>
          <w:szCs w:val="20"/>
        </w:rPr>
        <w:t>73.827(a)(1)-(3).</w:t>
      </w:r>
    </w:p>
  </w:footnote>
  <w:footnote w:id="180">
    <w:p w14:paraId="0CB159C5" w14:textId="77777777" w:rsidR="00C0760C" w:rsidRPr="00472DB8" w:rsidRDefault="00C0760C" w:rsidP="00472DB8">
      <w:pPr>
        <w:pStyle w:val="PlainText"/>
        <w:spacing w:after="120"/>
        <w:jc w:val="both"/>
        <w:rPr>
          <w:rFonts w:ascii="Times" w:hAnsi="Times" w:cs="Times"/>
          <w:sz w:val="20"/>
          <w:szCs w:val="20"/>
        </w:rPr>
      </w:pPr>
      <w:r w:rsidRPr="00472DB8">
        <w:rPr>
          <w:rStyle w:val="FootnoteReference"/>
          <w:rFonts w:ascii="Times" w:hAnsi="Times" w:cs="Times"/>
          <w:sz w:val="20"/>
          <w:szCs w:val="20"/>
        </w:rPr>
        <w:footnoteRef/>
      </w:r>
      <w:r w:rsidRPr="00472DB8">
        <w:rPr>
          <w:rFonts w:ascii="Times" w:hAnsi="Times" w:cs="Times"/>
          <w:sz w:val="20"/>
          <w:szCs w:val="20"/>
        </w:rPr>
        <w:t xml:space="preserve"> The Office of Management and Budget approved the information collection requirements for collection 3060-0920 on April 12, 2013.  The Commission made a minor change to 47 C.F.R. § 73.827(a)(1) which resulted in a reduction in the burden hours for the collection.   A non-substantive change request will be submitted to the Office of Management and Budget for this minor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1CB9D" w14:textId="77777777" w:rsidR="00893A09" w:rsidRDefault="00893A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C210F" w14:textId="1ED8BA92" w:rsidR="00C0760C" w:rsidRPr="008A3E11" w:rsidRDefault="00C0760C" w:rsidP="008A3E11">
    <w:pPr>
      <w:pStyle w:val="Header"/>
      <w:pBdr>
        <w:bottom w:val="single" w:sz="12" w:space="1" w:color="auto"/>
      </w:pBdr>
      <w:rPr>
        <w:rFonts w:ascii="Times New Roman" w:hAnsi="Times New Roman" w:cs="Times New Roman"/>
        <w:b/>
        <w:spacing w:val="-2"/>
      </w:rPr>
    </w:pPr>
    <w:r w:rsidRPr="008A3E11">
      <w:rPr>
        <w:rFonts w:ascii="Times New Roman" w:hAnsi="Times New Roman" w:cs="Times New Roman"/>
        <w:b/>
      </w:rPr>
      <w:tab/>
      <w:t>Federal Communications Commission</w:t>
    </w:r>
    <w:r w:rsidRPr="008A3E11">
      <w:rPr>
        <w:rFonts w:ascii="Times New Roman" w:hAnsi="Times New Roman" w:cs="Times New Roman"/>
        <w:b/>
      </w:rPr>
      <w:tab/>
    </w:r>
    <w:r w:rsidRPr="008A3E11">
      <w:rPr>
        <w:rFonts w:ascii="Times New Roman" w:hAnsi="Times New Roman" w:cs="Times New Roman"/>
        <w:b/>
        <w:spacing w:val="-2"/>
      </w:rPr>
      <w:t xml:space="preserve">FCC </w:t>
    </w:r>
    <w:r>
      <w:rPr>
        <w:rFonts w:ascii="Times New Roman" w:hAnsi="Times New Roman" w:cs="Times New Roman"/>
        <w:b/>
        <w:spacing w:val="-2"/>
      </w:rPr>
      <w:t>13-</w:t>
    </w:r>
    <w:r w:rsidR="00576523">
      <w:rPr>
        <w:rFonts w:ascii="Times New Roman" w:hAnsi="Times New Roman" w:cs="Times New Roman"/>
        <w:b/>
        <w:spacing w:val="-2"/>
      </w:rPr>
      <w:t>134</w:t>
    </w:r>
  </w:p>
  <w:p w14:paraId="29BD08CE" w14:textId="77777777" w:rsidR="00C0760C" w:rsidRDefault="00C076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4010F" w14:textId="2F6C69F5" w:rsidR="00C0760C" w:rsidRPr="007645F6" w:rsidRDefault="00C0760C" w:rsidP="008A3E11">
    <w:pPr>
      <w:pStyle w:val="Header"/>
      <w:pBdr>
        <w:bottom w:val="single" w:sz="12" w:space="1" w:color="auto"/>
      </w:pBdr>
      <w:rPr>
        <w:rFonts w:ascii="Times" w:hAnsi="Times" w:cs="Times"/>
        <w:b/>
        <w:spacing w:val="-2"/>
      </w:rPr>
    </w:pPr>
    <w:r w:rsidRPr="007645F6">
      <w:rPr>
        <w:rFonts w:ascii="Times" w:hAnsi="Times" w:cs="Times"/>
        <w:b/>
      </w:rPr>
      <w:tab/>
      <w:t>Federal Communications Commission</w:t>
    </w:r>
    <w:r w:rsidRPr="007645F6">
      <w:rPr>
        <w:rFonts w:ascii="Times" w:hAnsi="Times" w:cs="Times"/>
        <w:b/>
      </w:rPr>
      <w:tab/>
    </w:r>
    <w:r w:rsidRPr="007645F6">
      <w:rPr>
        <w:rFonts w:ascii="Times" w:hAnsi="Times" w:cs="Times"/>
        <w:b/>
        <w:spacing w:val="-2"/>
      </w:rPr>
      <w:t>FCC 13-</w:t>
    </w:r>
    <w:r w:rsidR="00214C40">
      <w:rPr>
        <w:rFonts w:ascii="Times" w:hAnsi="Times" w:cs="Times"/>
        <w:b/>
        <w:spacing w:val="-2"/>
      </w:rPr>
      <w:t>134</w:t>
    </w:r>
  </w:p>
  <w:p w14:paraId="29B97923" w14:textId="77777777" w:rsidR="00C0760C" w:rsidRPr="007645F6" w:rsidRDefault="00C0760C">
    <w:pPr>
      <w:pStyle w:val="Header"/>
      <w:rPr>
        <w:rFonts w:ascii="Times" w:hAnsi="Times" w:cs="Times"/>
        <w:b/>
      </w:rPr>
    </w:pPr>
  </w:p>
  <w:p w14:paraId="4B6901A4" w14:textId="77777777" w:rsidR="00C0760C" w:rsidRPr="007645F6" w:rsidRDefault="00C0760C">
    <w:pPr>
      <w:pStyle w:val="Header"/>
      <w:rPr>
        <w:rFonts w:ascii="Times" w:hAnsi="Times" w:cs="Times"/>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330E"/>
    <w:multiLevelType w:val="hybridMultilevel"/>
    <w:tmpl w:val="BA62BE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1">
    <w:nsid w:val="0BB41E8E"/>
    <w:multiLevelType w:val="hybridMultilevel"/>
    <w:tmpl w:val="5E7E72D8"/>
    <w:lvl w:ilvl="0" w:tplc="F690A1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145CFC"/>
    <w:multiLevelType w:val="hybridMultilevel"/>
    <w:tmpl w:val="024ECC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0C31A0"/>
    <w:multiLevelType w:val="hybridMultilevel"/>
    <w:tmpl w:val="6BBA5CFC"/>
    <w:lvl w:ilvl="0" w:tplc="CD6E978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C57ECD"/>
    <w:multiLevelType w:val="hybridMultilevel"/>
    <w:tmpl w:val="95FC7F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5">
    <w:nsid w:val="21C41F6C"/>
    <w:multiLevelType w:val="hybridMultilevel"/>
    <w:tmpl w:val="FC8878CE"/>
    <w:lvl w:ilvl="0" w:tplc="D640F5E6">
      <w:start w:val="1"/>
      <w:numFmt w:val="decimal"/>
      <w:lvlText w:val="%1."/>
      <w:lvlJc w:val="left"/>
      <w:pPr>
        <w:ind w:left="-720" w:firstLine="720"/>
      </w:pPr>
      <w:rPr>
        <w:rFonts w:hint="default"/>
        <w:b w:val="0"/>
        <w:i w:val="0"/>
      </w:rPr>
    </w:lvl>
    <w:lvl w:ilvl="1" w:tplc="04090019">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A485965"/>
    <w:multiLevelType w:val="hybridMultilevel"/>
    <w:tmpl w:val="1E18E592"/>
    <w:lvl w:ilvl="0" w:tplc="088C5F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9A30AF"/>
    <w:multiLevelType w:val="hybridMultilevel"/>
    <w:tmpl w:val="F1CE35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9">
    <w:nsid w:val="2DEA1FFA"/>
    <w:multiLevelType w:val="hybridMultilevel"/>
    <w:tmpl w:val="582281EE"/>
    <w:lvl w:ilvl="0" w:tplc="9F5E85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1D6F14"/>
    <w:multiLevelType w:val="hybridMultilevel"/>
    <w:tmpl w:val="C2F843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11">
    <w:nsid w:val="318B4C33"/>
    <w:multiLevelType w:val="hybridMultilevel"/>
    <w:tmpl w:val="F21EE8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12">
    <w:nsid w:val="3D0F1B3D"/>
    <w:multiLevelType w:val="singleLevel"/>
    <w:tmpl w:val="4DCCE696"/>
    <w:lvl w:ilvl="0">
      <w:start w:val="1"/>
      <w:numFmt w:val="decimal"/>
      <w:lvlText w:val="%1."/>
      <w:lvlJc w:val="left"/>
      <w:pPr>
        <w:tabs>
          <w:tab w:val="num" w:pos="900"/>
        </w:tabs>
        <w:ind w:left="-180" w:firstLine="720"/>
      </w:pPr>
      <w:rPr>
        <w:rFonts w:ascii="Times New Roman" w:hAnsi="Times New Roman" w:hint="default"/>
        <w:b w:val="0"/>
        <w:i w:val="0"/>
        <w:caps w:val="0"/>
        <w:strike w:val="0"/>
        <w:dstrike w:val="0"/>
        <w:vanish w:val="0"/>
        <w:sz w:val="22"/>
        <w:u w:val="none"/>
        <w:vertAlign w:val="baseline"/>
      </w:rPr>
    </w:lvl>
  </w:abstractNum>
  <w:abstractNum w:abstractNumId="13">
    <w:nsid w:val="48AD5617"/>
    <w:multiLevelType w:val="hybridMultilevel"/>
    <w:tmpl w:val="32E84D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14">
    <w:nsid w:val="4E7E7F75"/>
    <w:multiLevelType w:val="hybridMultilevel"/>
    <w:tmpl w:val="50FC4DE6"/>
    <w:lvl w:ilvl="0" w:tplc="04090015">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5">
    <w:nsid w:val="4F400FB7"/>
    <w:multiLevelType w:val="hybridMultilevel"/>
    <w:tmpl w:val="88220A24"/>
    <w:lvl w:ilvl="0" w:tplc="77A0964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58144850"/>
    <w:multiLevelType w:val="hybridMultilevel"/>
    <w:tmpl w:val="C0784460"/>
    <w:lvl w:ilvl="0" w:tplc="ACFE42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A275AE"/>
    <w:multiLevelType w:val="hybridMultilevel"/>
    <w:tmpl w:val="E8581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CE5F36"/>
    <w:multiLevelType w:val="hybridMultilevel"/>
    <w:tmpl w:val="9D3A5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19">
    <w:nsid w:val="5FE81CED"/>
    <w:multiLevelType w:val="hybridMultilevel"/>
    <w:tmpl w:val="83D2A798"/>
    <w:lvl w:ilvl="0" w:tplc="AF8E8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182925"/>
    <w:multiLevelType w:val="singleLevel"/>
    <w:tmpl w:val="33CC8962"/>
    <w:lvl w:ilvl="0">
      <w:start w:val="1"/>
      <w:numFmt w:val="decimal"/>
      <w:pStyle w:val="ParaNum"/>
      <w:lvlText w:val="%1."/>
      <w:lvlJc w:val="left"/>
      <w:pPr>
        <w:tabs>
          <w:tab w:val="num" w:pos="1080"/>
        </w:tabs>
        <w:ind w:left="0" w:firstLine="720"/>
      </w:pPr>
      <w:rPr>
        <w:b w:val="0"/>
        <w:i w:val="0"/>
        <w:sz w:val="22"/>
        <w:szCs w:val="22"/>
      </w:rPr>
    </w:lvl>
  </w:abstractNum>
  <w:abstractNum w:abstractNumId="21">
    <w:nsid w:val="74386826"/>
    <w:multiLevelType w:val="hybridMultilevel"/>
    <w:tmpl w:val="85601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8"/>
  </w:num>
  <w:num w:numId="6">
    <w:abstractNumId w:val="18"/>
  </w:num>
  <w:num w:numId="7">
    <w:abstractNumId w:val="13"/>
  </w:num>
  <w:num w:numId="8">
    <w:abstractNumId w:val="11"/>
  </w:num>
  <w:num w:numId="9">
    <w:abstractNumId w:val="4"/>
  </w:num>
  <w:num w:numId="10">
    <w:abstractNumId w:val="4"/>
  </w:num>
  <w:num w:numId="11">
    <w:abstractNumId w:val="17"/>
  </w:num>
  <w:num w:numId="12">
    <w:abstractNumId w:val="0"/>
  </w:num>
  <w:num w:numId="13">
    <w:abstractNumId w:val="13"/>
  </w:num>
  <w:num w:numId="14">
    <w:abstractNumId w:val="0"/>
  </w:num>
  <w:num w:numId="15">
    <w:abstractNumId w:val="21"/>
  </w:num>
  <w:num w:numId="16">
    <w:abstractNumId w:val="5"/>
  </w:num>
  <w:num w:numId="17">
    <w:abstractNumId w:val="12"/>
  </w:num>
  <w:num w:numId="18">
    <w:abstractNumId w:val="14"/>
  </w:num>
  <w:num w:numId="19">
    <w:abstractNumId w:val="7"/>
  </w:num>
  <w:num w:numId="20">
    <w:abstractNumId w:val="19"/>
  </w:num>
  <w:num w:numId="21">
    <w:abstractNumId w:val="9"/>
  </w:num>
  <w:num w:numId="22">
    <w:abstractNumId w:val="1"/>
  </w:num>
  <w:num w:numId="23">
    <w:abstractNumId w:val="16"/>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5CF"/>
    <w:rsid w:val="00000DA8"/>
    <w:rsid w:val="00001D80"/>
    <w:rsid w:val="000037BE"/>
    <w:rsid w:val="00004D15"/>
    <w:rsid w:val="00004FFB"/>
    <w:rsid w:val="0000528E"/>
    <w:rsid w:val="00006E55"/>
    <w:rsid w:val="00007372"/>
    <w:rsid w:val="00007EAB"/>
    <w:rsid w:val="00014834"/>
    <w:rsid w:val="00014F9A"/>
    <w:rsid w:val="00015C85"/>
    <w:rsid w:val="00020FCA"/>
    <w:rsid w:val="000235CB"/>
    <w:rsid w:val="00023C32"/>
    <w:rsid w:val="000245CF"/>
    <w:rsid w:val="00024C8E"/>
    <w:rsid w:val="00024CDB"/>
    <w:rsid w:val="00024D98"/>
    <w:rsid w:val="0002502B"/>
    <w:rsid w:val="00025DAF"/>
    <w:rsid w:val="0002703D"/>
    <w:rsid w:val="000277DA"/>
    <w:rsid w:val="0003066C"/>
    <w:rsid w:val="00031F9E"/>
    <w:rsid w:val="000324D9"/>
    <w:rsid w:val="00032715"/>
    <w:rsid w:val="000335E8"/>
    <w:rsid w:val="00033681"/>
    <w:rsid w:val="00033BD0"/>
    <w:rsid w:val="0003467C"/>
    <w:rsid w:val="000356D3"/>
    <w:rsid w:val="0003619C"/>
    <w:rsid w:val="00036827"/>
    <w:rsid w:val="000369C4"/>
    <w:rsid w:val="00036D1D"/>
    <w:rsid w:val="0003771B"/>
    <w:rsid w:val="00037AB1"/>
    <w:rsid w:val="00042E5B"/>
    <w:rsid w:val="00042F1A"/>
    <w:rsid w:val="00043275"/>
    <w:rsid w:val="00043827"/>
    <w:rsid w:val="00043856"/>
    <w:rsid w:val="000440C0"/>
    <w:rsid w:val="00044FA8"/>
    <w:rsid w:val="00050967"/>
    <w:rsid w:val="00052394"/>
    <w:rsid w:val="000527EC"/>
    <w:rsid w:val="0005365E"/>
    <w:rsid w:val="00054111"/>
    <w:rsid w:val="0005542A"/>
    <w:rsid w:val="00055633"/>
    <w:rsid w:val="00056347"/>
    <w:rsid w:val="00057AF6"/>
    <w:rsid w:val="00060130"/>
    <w:rsid w:val="000605B7"/>
    <w:rsid w:val="00060D55"/>
    <w:rsid w:val="0006107A"/>
    <w:rsid w:val="000617A7"/>
    <w:rsid w:val="00062F9B"/>
    <w:rsid w:val="00064026"/>
    <w:rsid w:val="0006418E"/>
    <w:rsid w:val="00065997"/>
    <w:rsid w:val="00066722"/>
    <w:rsid w:val="0006745A"/>
    <w:rsid w:val="000718D6"/>
    <w:rsid w:val="00071C9A"/>
    <w:rsid w:val="00073F93"/>
    <w:rsid w:val="00077893"/>
    <w:rsid w:val="00080D1B"/>
    <w:rsid w:val="00081A0B"/>
    <w:rsid w:val="00081D34"/>
    <w:rsid w:val="00084941"/>
    <w:rsid w:val="0008498C"/>
    <w:rsid w:val="00085EEB"/>
    <w:rsid w:val="00090A43"/>
    <w:rsid w:val="00090E88"/>
    <w:rsid w:val="000913CA"/>
    <w:rsid w:val="00094191"/>
    <w:rsid w:val="00095D6E"/>
    <w:rsid w:val="0009678F"/>
    <w:rsid w:val="0009789C"/>
    <w:rsid w:val="00097EC8"/>
    <w:rsid w:val="000A101E"/>
    <w:rsid w:val="000A199E"/>
    <w:rsid w:val="000A1B94"/>
    <w:rsid w:val="000A1D1B"/>
    <w:rsid w:val="000A48AF"/>
    <w:rsid w:val="000A4E9E"/>
    <w:rsid w:val="000A4EB3"/>
    <w:rsid w:val="000A68CA"/>
    <w:rsid w:val="000B08B9"/>
    <w:rsid w:val="000B3345"/>
    <w:rsid w:val="000B4775"/>
    <w:rsid w:val="000B56D0"/>
    <w:rsid w:val="000B5F4E"/>
    <w:rsid w:val="000B6DCA"/>
    <w:rsid w:val="000C0A24"/>
    <w:rsid w:val="000C155C"/>
    <w:rsid w:val="000C20B3"/>
    <w:rsid w:val="000C6E9E"/>
    <w:rsid w:val="000C7798"/>
    <w:rsid w:val="000C77D2"/>
    <w:rsid w:val="000C780E"/>
    <w:rsid w:val="000D2AC7"/>
    <w:rsid w:val="000D2E99"/>
    <w:rsid w:val="000D4E0C"/>
    <w:rsid w:val="000D64E6"/>
    <w:rsid w:val="000E0743"/>
    <w:rsid w:val="000E2AC3"/>
    <w:rsid w:val="000E37E0"/>
    <w:rsid w:val="000E3935"/>
    <w:rsid w:val="000E3C47"/>
    <w:rsid w:val="000E6499"/>
    <w:rsid w:val="000E6CA2"/>
    <w:rsid w:val="000E7532"/>
    <w:rsid w:val="000E7571"/>
    <w:rsid w:val="000E7AE9"/>
    <w:rsid w:val="000F077A"/>
    <w:rsid w:val="000F0C77"/>
    <w:rsid w:val="000F1183"/>
    <w:rsid w:val="000F2749"/>
    <w:rsid w:val="000F2B42"/>
    <w:rsid w:val="000F50E1"/>
    <w:rsid w:val="000F7B34"/>
    <w:rsid w:val="00100169"/>
    <w:rsid w:val="00103915"/>
    <w:rsid w:val="00103DE8"/>
    <w:rsid w:val="001045C1"/>
    <w:rsid w:val="00104CB8"/>
    <w:rsid w:val="00104D93"/>
    <w:rsid w:val="0010529A"/>
    <w:rsid w:val="00105F48"/>
    <w:rsid w:val="00106DAD"/>
    <w:rsid w:val="00106DBB"/>
    <w:rsid w:val="00106F87"/>
    <w:rsid w:val="001076D5"/>
    <w:rsid w:val="00107E94"/>
    <w:rsid w:val="00110708"/>
    <w:rsid w:val="00112000"/>
    <w:rsid w:val="00113A89"/>
    <w:rsid w:val="00113B15"/>
    <w:rsid w:val="001156C5"/>
    <w:rsid w:val="00115B39"/>
    <w:rsid w:val="00115C2F"/>
    <w:rsid w:val="00117658"/>
    <w:rsid w:val="001201E8"/>
    <w:rsid w:val="001205F8"/>
    <w:rsid w:val="00122DE3"/>
    <w:rsid w:val="00126C86"/>
    <w:rsid w:val="0012730A"/>
    <w:rsid w:val="001275EB"/>
    <w:rsid w:val="001277E5"/>
    <w:rsid w:val="001306D1"/>
    <w:rsid w:val="001348CB"/>
    <w:rsid w:val="00135557"/>
    <w:rsid w:val="00137A0B"/>
    <w:rsid w:val="00137DD6"/>
    <w:rsid w:val="00140ED9"/>
    <w:rsid w:val="00140F63"/>
    <w:rsid w:val="001434DA"/>
    <w:rsid w:val="00144E45"/>
    <w:rsid w:val="00146FB0"/>
    <w:rsid w:val="00150268"/>
    <w:rsid w:val="001531F3"/>
    <w:rsid w:val="0015375B"/>
    <w:rsid w:val="00153777"/>
    <w:rsid w:val="00155289"/>
    <w:rsid w:val="001600A7"/>
    <w:rsid w:val="0016098A"/>
    <w:rsid w:val="00160FD4"/>
    <w:rsid w:val="001624C1"/>
    <w:rsid w:val="00162718"/>
    <w:rsid w:val="00162B0A"/>
    <w:rsid w:val="001664FD"/>
    <w:rsid w:val="00166741"/>
    <w:rsid w:val="00166F3C"/>
    <w:rsid w:val="001708D2"/>
    <w:rsid w:val="00170C69"/>
    <w:rsid w:val="00172C6C"/>
    <w:rsid w:val="001749B3"/>
    <w:rsid w:val="00175905"/>
    <w:rsid w:val="001765F6"/>
    <w:rsid w:val="00176BD9"/>
    <w:rsid w:val="001778D8"/>
    <w:rsid w:val="00177FFE"/>
    <w:rsid w:val="00183BC9"/>
    <w:rsid w:val="00190BEE"/>
    <w:rsid w:val="00191BEA"/>
    <w:rsid w:val="00192B95"/>
    <w:rsid w:val="00193B39"/>
    <w:rsid w:val="00193DB0"/>
    <w:rsid w:val="0019445A"/>
    <w:rsid w:val="00195784"/>
    <w:rsid w:val="00195968"/>
    <w:rsid w:val="001969B6"/>
    <w:rsid w:val="00196F0A"/>
    <w:rsid w:val="00197E43"/>
    <w:rsid w:val="001A0144"/>
    <w:rsid w:val="001A10B0"/>
    <w:rsid w:val="001A2D6C"/>
    <w:rsid w:val="001A2ECB"/>
    <w:rsid w:val="001A302C"/>
    <w:rsid w:val="001A34A1"/>
    <w:rsid w:val="001A410F"/>
    <w:rsid w:val="001A48E1"/>
    <w:rsid w:val="001A4AEE"/>
    <w:rsid w:val="001A6F8D"/>
    <w:rsid w:val="001A70C1"/>
    <w:rsid w:val="001B01A8"/>
    <w:rsid w:val="001B1239"/>
    <w:rsid w:val="001B1682"/>
    <w:rsid w:val="001B1743"/>
    <w:rsid w:val="001B1C9F"/>
    <w:rsid w:val="001B2760"/>
    <w:rsid w:val="001B2E0B"/>
    <w:rsid w:val="001B3AEF"/>
    <w:rsid w:val="001B545F"/>
    <w:rsid w:val="001B7526"/>
    <w:rsid w:val="001B76DE"/>
    <w:rsid w:val="001B7833"/>
    <w:rsid w:val="001C0AD4"/>
    <w:rsid w:val="001C262C"/>
    <w:rsid w:val="001C4BAF"/>
    <w:rsid w:val="001C4C51"/>
    <w:rsid w:val="001C585D"/>
    <w:rsid w:val="001C5F4E"/>
    <w:rsid w:val="001D51FA"/>
    <w:rsid w:val="001D5946"/>
    <w:rsid w:val="001D7503"/>
    <w:rsid w:val="001E0061"/>
    <w:rsid w:val="001E6BFD"/>
    <w:rsid w:val="001E7B90"/>
    <w:rsid w:val="001F0BCF"/>
    <w:rsid w:val="001F2E1C"/>
    <w:rsid w:val="001F2E50"/>
    <w:rsid w:val="001F5D69"/>
    <w:rsid w:val="001F6CB4"/>
    <w:rsid w:val="001F7A11"/>
    <w:rsid w:val="00202487"/>
    <w:rsid w:val="00204ECF"/>
    <w:rsid w:val="00211214"/>
    <w:rsid w:val="002149E9"/>
    <w:rsid w:val="00214A4D"/>
    <w:rsid w:val="00214C40"/>
    <w:rsid w:val="00217E9F"/>
    <w:rsid w:val="00220D7B"/>
    <w:rsid w:val="00221474"/>
    <w:rsid w:val="00221884"/>
    <w:rsid w:val="00222233"/>
    <w:rsid w:val="002243FB"/>
    <w:rsid w:val="00232648"/>
    <w:rsid w:val="00232922"/>
    <w:rsid w:val="00232DBC"/>
    <w:rsid w:val="00233524"/>
    <w:rsid w:val="00233C74"/>
    <w:rsid w:val="00234760"/>
    <w:rsid w:val="00234B43"/>
    <w:rsid w:val="00236D7F"/>
    <w:rsid w:val="002404B4"/>
    <w:rsid w:val="00241296"/>
    <w:rsid w:val="002424FC"/>
    <w:rsid w:val="00244FA3"/>
    <w:rsid w:val="00246D80"/>
    <w:rsid w:val="00250151"/>
    <w:rsid w:val="00253177"/>
    <w:rsid w:val="00253F64"/>
    <w:rsid w:val="00254188"/>
    <w:rsid w:val="00254693"/>
    <w:rsid w:val="00254CDF"/>
    <w:rsid w:val="00256BEE"/>
    <w:rsid w:val="002615AE"/>
    <w:rsid w:val="00263460"/>
    <w:rsid w:val="002637F6"/>
    <w:rsid w:val="00270D71"/>
    <w:rsid w:val="002711A9"/>
    <w:rsid w:val="00272770"/>
    <w:rsid w:val="00272899"/>
    <w:rsid w:val="00272C56"/>
    <w:rsid w:val="00275190"/>
    <w:rsid w:val="00277157"/>
    <w:rsid w:val="002804F0"/>
    <w:rsid w:val="002812AF"/>
    <w:rsid w:val="0028340F"/>
    <w:rsid w:val="00284E9D"/>
    <w:rsid w:val="00284F82"/>
    <w:rsid w:val="00290A33"/>
    <w:rsid w:val="00290AAE"/>
    <w:rsid w:val="00290D7D"/>
    <w:rsid w:val="0029396B"/>
    <w:rsid w:val="0029404B"/>
    <w:rsid w:val="002957CE"/>
    <w:rsid w:val="002960DC"/>
    <w:rsid w:val="00296EE9"/>
    <w:rsid w:val="002A05EA"/>
    <w:rsid w:val="002A074F"/>
    <w:rsid w:val="002A34C9"/>
    <w:rsid w:val="002A610F"/>
    <w:rsid w:val="002A6C6A"/>
    <w:rsid w:val="002A751D"/>
    <w:rsid w:val="002B1A29"/>
    <w:rsid w:val="002B1E13"/>
    <w:rsid w:val="002B2A74"/>
    <w:rsid w:val="002B3E12"/>
    <w:rsid w:val="002B5593"/>
    <w:rsid w:val="002C55B1"/>
    <w:rsid w:val="002C5EF4"/>
    <w:rsid w:val="002C60F6"/>
    <w:rsid w:val="002D08C4"/>
    <w:rsid w:val="002D0E6C"/>
    <w:rsid w:val="002D237F"/>
    <w:rsid w:val="002D3EFB"/>
    <w:rsid w:val="002E08AD"/>
    <w:rsid w:val="002E0B00"/>
    <w:rsid w:val="002E2298"/>
    <w:rsid w:val="002E3E95"/>
    <w:rsid w:val="002E75A3"/>
    <w:rsid w:val="002F0144"/>
    <w:rsid w:val="002F2D04"/>
    <w:rsid w:val="002F6D1A"/>
    <w:rsid w:val="002F70DD"/>
    <w:rsid w:val="002F7FB8"/>
    <w:rsid w:val="00302BBC"/>
    <w:rsid w:val="00303076"/>
    <w:rsid w:val="0030704D"/>
    <w:rsid w:val="00307E4E"/>
    <w:rsid w:val="003124B6"/>
    <w:rsid w:val="00313071"/>
    <w:rsid w:val="00320811"/>
    <w:rsid w:val="003218DB"/>
    <w:rsid w:val="00322C37"/>
    <w:rsid w:val="00322E0F"/>
    <w:rsid w:val="00324BBF"/>
    <w:rsid w:val="0032685D"/>
    <w:rsid w:val="00327230"/>
    <w:rsid w:val="00327967"/>
    <w:rsid w:val="0033016A"/>
    <w:rsid w:val="00330A7E"/>
    <w:rsid w:val="00330E6E"/>
    <w:rsid w:val="00331A1A"/>
    <w:rsid w:val="00331CA0"/>
    <w:rsid w:val="003320C5"/>
    <w:rsid w:val="00332B33"/>
    <w:rsid w:val="00332FAD"/>
    <w:rsid w:val="003334C4"/>
    <w:rsid w:val="003335D1"/>
    <w:rsid w:val="00334009"/>
    <w:rsid w:val="00336E7F"/>
    <w:rsid w:val="00336F2B"/>
    <w:rsid w:val="0034010A"/>
    <w:rsid w:val="0034236C"/>
    <w:rsid w:val="003476B0"/>
    <w:rsid w:val="003505A3"/>
    <w:rsid w:val="003509CC"/>
    <w:rsid w:val="00350ABF"/>
    <w:rsid w:val="00352BD9"/>
    <w:rsid w:val="003530B5"/>
    <w:rsid w:val="003545A2"/>
    <w:rsid w:val="003632BB"/>
    <w:rsid w:val="00363B4D"/>
    <w:rsid w:val="00363EEB"/>
    <w:rsid w:val="00364FD7"/>
    <w:rsid w:val="0037037E"/>
    <w:rsid w:val="00370B73"/>
    <w:rsid w:val="003712E0"/>
    <w:rsid w:val="003741BA"/>
    <w:rsid w:val="00374D43"/>
    <w:rsid w:val="00375CC6"/>
    <w:rsid w:val="00384188"/>
    <w:rsid w:val="00384EB1"/>
    <w:rsid w:val="00386CD9"/>
    <w:rsid w:val="00387758"/>
    <w:rsid w:val="00390AF5"/>
    <w:rsid w:val="003926BB"/>
    <w:rsid w:val="0039332F"/>
    <w:rsid w:val="003953B2"/>
    <w:rsid w:val="00395B7C"/>
    <w:rsid w:val="00395D07"/>
    <w:rsid w:val="00396150"/>
    <w:rsid w:val="003A1E6E"/>
    <w:rsid w:val="003A38A9"/>
    <w:rsid w:val="003A565D"/>
    <w:rsid w:val="003A70A5"/>
    <w:rsid w:val="003A725B"/>
    <w:rsid w:val="003A7715"/>
    <w:rsid w:val="003B1CE3"/>
    <w:rsid w:val="003B5E8A"/>
    <w:rsid w:val="003B634D"/>
    <w:rsid w:val="003B72F8"/>
    <w:rsid w:val="003C1216"/>
    <w:rsid w:val="003C22ED"/>
    <w:rsid w:val="003C2311"/>
    <w:rsid w:val="003C2415"/>
    <w:rsid w:val="003C32F3"/>
    <w:rsid w:val="003C43A4"/>
    <w:rsid w:val="003C6010"/>
    <w:rsid w:val="003C6A93"/>
    <w:rsid w:val="003C7552"/>
    <w:rsid w:val="003D01A1"/>
    <w:rsid w:val="003D0C68"/>
    <w:rsid w:val="003D1635"/>
    <w:rsid w:val="003D1E84"/>
    <w:rsid w:val="003D32DD"/>
    <w:rsid w:val="003D3903"/>
    <w:rsid w:val="003D3AF1"/>
    <w:rsid w:val="003E24CA"/>
    <w:rsid w:val="003E2A04"/>
    <w:rsid w:val="003E34DC"/>
    <w:rsid w:val="003E36AC"/>
    <w:rsid w:val="003E3C4B"/>
    <w:rsid w:val="003E67AD"/>
    <w:rsid w:val="003F25D5"/>
    <w:rsid w:val="003F2D01"/>
    <w:rsid w:val="003F315F"/>
    <w:rsid w:val="003F3626"/>
    <w:rsid w:val="003F71EF"/>
    <w:rsid w:val="003F77DD"/>
    <w:rsid w:val="00402668"/>
    <w:rsid w:val="0040446C"/>
    <w:rsid w:val="0041055B"/>
    <w:rsid w:val="00414EF2"/>
    <w:rsid w:val="00416D42"/>
    <w:rsid w:val="00416E82"/>
    <w:rsid w:val="0042139E"/>
    <w:rsid w:val="0042253C"/>
    <w:rsid w:val="00422D08"/>
    <w:rsid w:val="00422EF5"/>
    <w:rsid w:val="00425E28"/>
    <w:rsid w:val="00426246"/>
    <w:rsid w:val="004262BF"/>
    <w:rsid w:val="00430567"/>
    <w:rsid w:val="0043091C"/>
    <w:rsid w:val="004314DD"/>
    <w:rsid w:val="00432424"/>
    <w:rsid w:val="00433A78"/>
    <w:rsid w:val="004348D8"/>
    <w:rsid w:val="00435C6D"/>
    <w:rsid w:val="004368DA"/>
    <w:rsid w:val="004415A2"/>
    <w:rsid w:val="00443992"/>
    <w:rsid w:val="00443BB0"/>
    <w:rsid w:val="00443C90"/>
    <w:rsid w:val="00446831"/>
    <w:rsid w:val="00446E95"/>
    <w:rsid w:val="00450A46"/>
    <w:rsid w:val="00451246"/>
    <w:rsid w:val="004536E1"/>
    <w:rsid w:val="0045563E"/>
    <w:rsid w:val="004559DD"/>
    <w:rsid w:val="00461635"/>
    <w:rsid w:val="00461DC9"/>
    <w:rsid w:val="00461F5E"/>
    <w:rsid w:val="00462346"/>
    <w:rsid w:val="004634F0"/>
    <w:rsid w:val="00463FC9"/>
    <w:rsid w:val="00464B9D"/>
    <w:rsid w:val="00467BBC"/>
    <w:rsid w:val="00471712"/>
    <w:rsid w:val="004724AD"/>
    <w:rsid w:val="00472DB8"/>
    <w:rsid w:val="00474D22"/>
    <w:rsid w:val="0047537F"/>
    <w:rsid w:val="00476049"/>
    <w:rsid w:val="00482047"/>
    <w:rsid w:val="00482EF5"/>
    <w:rsid w:val="004879EB"/>
    <w:rsid w:val="004921B0"/>
    <w:rsid w:val="004924B4"/>
    <w:rsid w:val="00492B02"/>
    <w:rsid w:val="00492D8A"/>
    <w:rsid w:val="00492F6F"/>
    <w:rsid w:val="00495760"/>
    <w:rsid w:val="00495C03"/>
    <w:rsid w:val="0049715F"/>
    <w:rsid w:val="00497617"/>
    <w:rsid w:val="004A0D15"/>
    <w:rsid w:val="004A5F2C"/>
    <w:rsid w:val="004A624A"/>
    <w:rsid w:val="004A6898"/>
    <w:rsid w:val="004A7231"/>
    <w:rsid w:val="004B0A22"/>
    <w:rsid w:val="004B0C77"/>
    <w:rsid w:val="004B7CD1"/>
    <w:rsid w:val="004C272E"/>
    <w:rsid w:val="004C367C"/>
    <w:rsid w:val="004C3CC8"/>
    <w:rsid w:val="004D0A13"/>
    <w:rsid w:val="004D2256"/>
    <w:rsid w:val="004D41A0"/>
    <w:rsid w:val="004D44DE"/>
    <w:rsid w:val="004D78CF"/>
    <w:rsid w:val="004E0BF9"/>
    <w:rsid w:val="004E25BE"/>
    <w:rsid w:val="004E635E"/>
    <w:rsid w:val="004F00EF"/>
    <w:rsid w:val="004F0592"/>
    <w:rsid w:val="004F0639"/>
    <w:rsid w:val="004F101C"/>
    <w:rsid w:val="004F1288"/>
    <w:rsid w:val="004F165B"/>
    <w:rsid w:val="004F1D1F"/>
    <w:rsid w:val="004F32D8"/>
    <w:rsid w:val="004F3C5E"/>
    <w:rsid w:val="00501E9B"/>
    <w:rsid w:val="005032DC"/>
    <w:rsid w:val="00505572"/>
    <w:rsid w:val="00505654"/>
    <w:rsid w:val="00505C10"/>
    <w:rsid w:val="00506A66"/>
    <w:rsid w:val="00507C66"/>
    <w:rsid w:val="00510F08"/>
    <w:rsid w:val="00512294"/>
    <w:rsid w:val="00512E46"/>
    <w:rsid w:val="005137AC"/>
    <w:rsid w:val="00514ED7"/>
    <w:rsid w:val="005163F8"/>
    <w:rsid w:val="0051679F"/>
    <w:rsid w:val="00517710"/>
    <w:rsid w:val="00523BC4"/>
    <w:rsid w:val="00524D4F"/>
    <w:rsid w:val="005257C1"/>
    <w:rsid w:val="00533D91"/>
    <w:rsid w:val="00535E28"/>
    <w:rsid w:val="00536757"/>
    <w:rsid w:val="00540C4F"/>
    <w:rsid w:val="00541FAE"/>
    <w:rsid w:val="0054615F"/>
    <w:rsid w:val="0054688D"/>
    <w:rsid w:val="0055204C"/>
    <w:rsid w:val="00552E7C"/>
    <w:rsid w:val="0055557D"/>
    <w:rsid w:val="005576AF"/>
    <w:rsid w:val="005644F6"/>
    <w:rsid w:val="005646FD"/>
    <w:rsid w:val="005652CD"/>
    <w:rsid w:val="005668F4"/>
    <w:rsid w:val="00570ACB"/>
    <w:rsid w:val="005718C3"/>
    <w:rsid w:val="005723E1"/>
    <w:rsid w:val="00573555"/>
    <w:rsid w:val="00573F97"/>
    <w:rsid w:val="00574F2B"/>
    <w:rsid w:val="00576487"/>
    <w:rsid w:val="00576523"/>
    <w:rsid w:val="005774EC"/>
    <w:rsid w:val="00581611"/>
    <w:rsid w:val="005819B4"/>
    <w:rsid w:val="00582E84"/>
    <w:rsid w:val="00584139"/>
    <w:rsid w:val="0058476A"/>
    <w:rsid w:val="00584F72"/>
    <w:rsid w:val="00585122"/>
    <w:rsid w:val="0058580D"/>
    <w:rsid w:val="005908F2"/>
    <w:rsid w:val="005939C5"/>
    <w:rsid w:val="00593AF2"/>
    <w:rsid w:val="00593FC9"/>
    <w:rsid w:val="005A3179"/>
    <w:rsid w:val="005A34DF"/>
    <w:rsid w:val="005A478A"/>
    <w:rsid w:val="005A5C9B"/>
    <w:rsid w:val="005A66D7"/>
    <w:rsid w:val="005A744F"/>
    <w:rsid w:val="005A7561"/>
    <w:rsid w:val="005A78AA"/>
    <w:rsid w:val="005B0AC4"/>
    <w:rsid w:val="005B11E3"/>
    <w:rsid w:val="005B1A6A"/>
    <w:rsid w:val="005B3C8C"/>
    <w:rsid w:val="005B4C01"/>
    <w:rsid w:val="005C463A"/>
    <w:rsid w:val="005C53C7"/>
    <w:rsid w:val="005C6A8E"/>
    <w:rsid w:val="005C6DFA"/>
    <w:rsid w:val="005D1625"/>
    <w:rsid w:val="005D40F1"/>
    <w:rsid w:val="005D4D38"/>
    <w:rsid w:val="005D7B73"/>
    <w:rsid w:val="005E3669"/>
    <w:rsid w:val="005E3C78"/>
    <w:rsid w:val="005E626C"/>
    <w:rsid w:val="005E6F95"/>
    <w:rsid w:val="005E70B3"/>
    <w:rsid w:val="005F2810"/>
    <w:rsid w:val="005F3189"/>
    <w:rsid w:val="005F4AB3"/>
    <w:rsid w:val="005F5BC0"/>
    <w:rsid w:val="005F5DC4"/>
    <w:rsid w:val="005F71A0"/>
    <w:rsid w:val="005F73BE"/>
    <w:rsid w:val="00600431"/>
    <w:rsid w:val="00600D26"/>
    <w:rsid w:val="00601E3A"/>
    <w:rsid w:val="00603A7A"/>
    <w:rsid w:val="00613533"/>
    <w:rsid w:val="006137FD"/>
    <w:rsid w:val="00613FEA"/>
    <w:rsid w:val="00615A54"/>
    <w:rsid w:val="00616669"/>
    <w:rsid w:val="00616B88"/>
    <w:rsid w:val="00620D10"/>
    <w:rsid w:val="00620F1A"/>
    <w:rsid w:val="0062186B"/>
    <w:rsid w:val="006218DA"/>
    <w:rsid w:val="00621E5E"/>
    <w:rsid w:val="00622AD7"/>
    <w:rsid w:val="006251DD"/>
    <w:rsid w:val="0062527B"/>
    <w:rsid w:val="0062696D"/>
    <w:rsid w:val="006272A6"/>
    <w:rsid w:val="00627DA8"/>
    <w:rsid w:val="00631135"/>
    <w:rsid w:val="00637AD4"/>
    <w:rsid w:val="0064042A"/>
    <w:rsid w:val="00640B2F"/>
    <w:rsid w:val="0064275D"/>
    <w:rsid w:val="00645061"/>
    <w:rsid w:val="00645EEC"/>
    <w:rsid w:val="00646DA2"/>
    <w:rsid w:val="0065042A"/>
    <w:rsid w:val="00652A86"/>
    <w:rsid w:val="0066044D"/>
    <w:rsid w:val="006619BE"/>
    <w:rsid w:val="00662293"/>
    <w:rsid w:val="0066254C"/>
    <w:rsid w:val="00662677"/>
    <w:rsid w:val="0066274E"/>
    <w:rsid w:val="006627E0"/>
    <w:rsid w:val="00662BE7"/>
    <w:rsid w:val="00662E3B"/>
    <w:rsid w:val="00666087"/>
    <w:rsid w:val="006662DE"/>
    <w:rsid w:val="00667BD7"/>
    <w:rsid w:val="006707A4"/>
    <w:rsid w:val="00670996"/>
    <w:rsid w:val="00671120"/>
    <w:rsid w:val="00675080"/>
    <w:rsid w:val="00677983"/>
    <w:rsid w:val="00680F0C"/>
    <w:rsid w:val="00682950"/>
    <w:rsid w:val="00683E35"/>
    <w:rsid w:val="00687CEE"/>
    <w:rsid w:val="006902C1"/>
    <w:rsid w:val="006909BA"/>
    <w:rsid w:val="006913AB"/>
    <w:rsid w:val="00694167"/>
    <w:rsid w:val="00695EC0"/>
    <w:rsid w:val="006A1A28"/>
    <w:rsid w:val="006A29B3"/>
    <w:rsid w:val="006A49D5"/>
    <w:rsid w:val="006B0932"/>
    <w:rsid w:val="006B0BA9"/>
    <w:rsid w:val="006B22B4"/>
    <w:rsid w:val="006B47A9"/>
    <w:rsid w:val="006B5BB6"/>
    <w:rsid w:val="006C12BC"/>
    <w:rsid w:val="006C3A7A"/>
    <w:rsid w:val="006C411E"/>
    <w:rsid w:val="006C612F"/>
    <w:rsid w:val="006C63CF"/>
    <w:rsid w:val="006C692E"/>
    <w:rsid w:val="006D0EB5"/>
    <w:rsid w:val="006D1BA0"/>
    <w:rsid w:val="006D2172"/>
    <w:rsid w:val="006D2C73"/>
    <w:rsid w:val="006D302A"/>
    <w:rsid w:val="006D3932"/>
    <w:rsid w:val="006D5585"/>
    <w:rsid w:val="006D5AF1"/>
    <w:rsid w:val="006D5E53"/>
    <w:rsid w:val="006D630E"/>
    <w:rsid w:val="006D719A"/>
    <w:rsid w:val="006E0CDC"/>
    <w:rsid w:val="006E1456"/>
    <w:rsid w:val="006E1B7C"/>
    <w:rsid w:val="006E2C0C"/>
    <w:rsid w:val="006E399F"/>
    <w:rsid w:val="006E6F48"/>
    <w:rsid w:val="006F24AF"/>
    <w:rsid w:val="006F3946"/>
    <w:rsid w:val="00700636"/>
    <w:rsid w:val="00700A65"/>
    <w:rsid w:val="007014CD"/>
    <w:rsid w:val="00701DE9"/>
    <w:rsid w:val="00704A71"/>
    <w:rsid w:val="00706444"/>
    <w:rsid w:val="0071002F"/>
    <w:rsid w:val="007156A3"/>
    <w:rsid w:val="00715809"/>
    <w:rsid w:val="00716483"/>
    <w:rsid w:val="007165FD"/>
    <w:rsid w:val="007174C4"/>
    <w:rsid w:val="007176CD"/>
    <w:rsid w:val="007207B1"/>
    <w:rsid w:val="0072641E"/>
    <w:rsid w:val="00727285"/>
    <w:rsid w:val="00727601"/>
    <w:rsid w:val="007305A8"/>
    <w:rsid w:val="00732B00"/>
    <w:rsid w:val="00734095"/>
    <w:rsid w:val="0073500A"/>
    <w:rsid w:val="00735823"/>
    <w:rsid w:val="00737AB2"/>
    <w:rsid w:val="00740391"/>
    <w:rsid w:val="00741005"/>
    <w:rsid w:val="007437D4"/>
    <w:rsid w:val="00743FE7"/>
    <w:rsid w:val="00744028"/>
    <w:rsid w:val="00745A42"/>
    <w:rsid w:val="0074728B"/>
    <w:rsid w:val="0074735D"/>
    <w:rsid w:val="0075013A"/>
    <w:rsid w:val="0075025F"/>
    <w:rsid w:val="0075059A"/>
    <w:rsid w:val="00751AA1"/>
    <w:rsid w:val="00752521"/>
    <w:rsid w:val="00754D4A"/>
    <w:rsid w:val="00756694"/>
    <w:rsid w:val="00756B9F"/>
    <w:rsid w:val="00757ECE"/>
    <w:rsid w:val="00760A86"/>
    <w:rsid w:val="00762283"/>
    <w:rsid w:val="007626E1"/>
    <w:rsid w:val="00762FDC"/>
    <w:rsid w:val="00763B7D"/>
    <w:rsid w:val="007645F6"/>
    <w:rsid w:val="00770350"/>
    <w:rsid w:val="00772345"/>
    <w:rsid w:val="007733D2"/>
    <w:rsid w:val="00774675"/>
    <w:rsid w:val="00774B49"/>
    <w:rsid w:val="00774E9E"/>
    <w:rsid w:val="00775931"/>
    <w:rsid w:val="00775CD0"/>
    <w:rsid w:val="00784AF3"/>
    <w:rsid w:val="00785250"/>
    <w:rsid w:val="00785880"/>
    <w:rsid w:val="007863C9"/>
    <w:rsid w:val="007869ED"/>
    <w:rsid w:val="00787999"/>
    <w:rsid w:val="00787C1B"/>
    <w:rsid w:val="007903C7"/>
    <w:rsid w:val="00790BEB"/>
    <w:rsid w:val="007919B4"/>
    <w:rsid w:val="007933B1"/>
    <w:rsid w:val="0079426F"/>
    <w:rsid w:val="00795000"/>
    <w:rsid w:val="007961CD"/>
    <w:rsid w:val="0079662B"/>
    <w:rsid w:val="007978A9"/>
    <w:rsid w:val="007A08E9"/>
    <w:rsid w:val="007A09F6"/>
    <w:rsid w:val="007A15F5"/>
    <w:rsid w:val="007A2F98"/>
    <w:rsid w:val="007A3342"/>
    <w:rsid w:val="007A6A2E"/>
    <w:rsid w:val="007A727C"/>
    <w:rsid w:val="007B01A2"/>
    <w:rsid w:val="007B0241"/>
    <w:rsid w:val="007B0C55"/>
    <w:rsid w:val="007B1488"/>
    <w:rsid w:val="007B309B"/>
    <w:rsid w:val="007B350D"/>
    <w:rsid w:val="007B3B60"/>
    <w:rsid w:val="007B4027"/>
    <w:rsid w:val="007B56D1"/>
    <w:rsid w:val="007B6454"/>
    <w:rsid w:val="007B740A"/>
    <w:rsid w:val="007B79B6"/>
    <w:rsid w:val="007B79E4"/>
    <w:rsid w:val="007C16A2"/>
    <w:rsid w:val="007C366A"/>
    <w:rsid w:val="007C44F9"/>
    <w:rsid w:val="007C7B2F"/>
    <w:rsid w:val="007D1D62"/>
    <w:rsid w:val="007D37ED"/>
    <w:rsid w:val="007D460E"/>
    <w:rsid w:val="007D6C58"/>
    <w:rsid w:val="007E114D"/>
    <w:rsid w:val="007E2EA9"/>
    <w:rsid w:val="007E31B3"/>
    <w:rsid w:val="007E38A7"/>
    <w:rsid w:val="007E3BC9"/>
    <w:rsid w:val="007E4D52"/>
    <w:rsid w:val="007F2B24"/>
    <w:rsid w:val="007F46D4"/>
    <w:rsid w:val="007F6EED"/>
    <w:rsid w:val="00802DA5"/>
    <w:rsid w:val="00802E21"/>
    <w:rsid w:val="008048E7"/>
    <w:rsid w:val="00805365"/>
    <w:rsid w:val="00806263"/>
    <w:rsid w:val="00807A90"/>
    <w:rsid w:val="00810830"/>
    <w:rsid w:val="0081092C"/>
    <w:rsid w:val="00810B50"/>
    <w:rsid w:val="00812C49"/>
    <w:rsid w:val="008136D5"/>
    <w:rsid w:val="0081476C"/>
    <w:rsid w:val="00814783"/>
    <w:rsid w:val="00814B6B"/>
    <w:rsid w:val="0081728E"/>
    <w:rsid w:val="00820B06"/>
    <w:rsid w:val="00821EEF"/>
    <w:rsid w:val="008231D4"/>
    <w:rsid w:val="008265A7"/>
    <w:rsid w:val="00827260"/>
    <w:rsid w:val="00827D35"/>
    <w:rsid w:val="00831EC9"/>
    <w:rsid w:val="00833C3B"/>
    <w:rsid w:val="008369FF"/>
    <w:rsid w:val="0083799F"/>
    <w:rsid w:val="0084006D"/>
    <w:rsid w:val="00840E6C"/>
    <w:rsid w:val="00841B1C"/>
    <w:rsid w:val="00842F99"/>
    <w:rsid w:val="00845D1F"/>
    <w:rsid w:val="00852CF5"/>
    <w:rsid w:val="00852F30"/>
    <w:rsid w:val="00856838"/>
    <w:rsid w:val="00856A5F"/>
    <w:rsid w:val="00857406"/>
    <w:rsid w:val="00860C0D"/>
    <w:rsid w:val="00862208"/>
    <w:rsid w:val="00862458"/>
    <w:rsid w:val="00862805"/>
    <w:rsid w:val="00863513"/>
    <w:rsid w:val="00864137"/>
    <w:rsid w:val="00864A33"/>
    <w:rsid w:val="00866AFD"/>
    <w:rsid w:val="0087032F"/>
    <w:rsid w:val="00872476"/>
    <w:rsid w:val="008733BC"/>
    <w:rsid w:val="0087594D"/>
    <w:rsid w:val="00875CEC"/>
    <w:rsid w:val="00876B36"/>
    <w:rsid w:val="00880ABC"/>
    <w:rsid w:val="0088705C"/>
    <w:rsid w:val="00891780"/>
    <w:rsid w:val="00892F1C"/>
    <w:rsid w:val="00893A09"/>
    <w:rsid w:val="00895E06"/>
    <w:rsid w:val="00897493"/>
    <w:rsid w:val="008978EB"/>
    <w:rsid w:val="008A084C"/>
    <w:rsid w:val="008A0AC1"/>
    <w:rsid w:val="008A2937"/>
    <w:rsid w:val="008A2F9B"/>
    <w:rsid w:val="008A3212"/>
    <w:rsid w:val="008A3B78"/>
    <w:rsid w:val="008A3E11"/>
    <w:rsid w:val="008A47C1"/>
    <w:rsid w:val="008A6CBD"/>
    <w:rsid w:val="008A7EE3"/>
    <w:rsid w:val="008B20E5"/>
    <w:rsid w:val="008B647D"/>
    <w:rsid w:val="008C1F31"/>
    <w:rsid w:val="008D24E0"/>
    <w:rsid w:val="008D296B"/>
    <w:rsid w:val="008D46D8"/>
    <w:rsid w:val="008D5A05"/>
    <w:rsid w:val="008D6F9B"/>
    <w:rsid w:val="008E3983"/>
    <w:rsid w:val="008E4737"/>
    <w:rsid w:val="008E5C5D"/>
    <w:rsid w:val="008E78EF"/>
    <w:rsid w:val="008F06ED"/>
    <w:rsid w:val="008F3F49"/>
    <w:rsid w:val="008F484A"/>
    <w:rsid w:val="008F4DEC"/>
    <w:rsid w:val="00900A38"/>
    <w:rsid w:val="00900D9D"/>
    <w:rsid w:val="009017E8"/>
    <w:rsid w:val="00907962"/>
    <w:rsid w:val="0091170C"/>
    <w:rsid w:val="009161EE"/>
    <w:rsid w:val="00916EE2"/>
    <w:rsid w:val="009172F1"/>
    <w:rsid w:val="0092153E"/>
    <w:rsid w:val="00922661"/>
    <w:rsid w:val="00923641"/>
    <w:rsid w:val="00923DB6"/>
    <w:rsid w:val="00924D4F"/>
    <w:rsid w:val="00925ADE"/>
    <w:rsid w:val="00925BCA"/>
    <w:rsid w:val="00926750"/>
    <w:rsid w:val="00926E20"/>
    <w:rsid w:val="009310CA"/>
    <w:rsid w:val="00932030"/>
    <w:rsid w:val="00932404"/>
    <w:rsid w:val="00933492"/>
    <w:rsid w:val="00933F3C"/>
    <w:rsid w:val="00937118"/>
    <w:rsid w:val="009377F9"/>
    <w:rsid w:val="009402A8"/>
    <w:rsid w:val="00942455"/>
    <w:rsid w:val="00942FF3"/>
    <w:rsid w:val="00944BCC"/>
    <w:rsid w:val="00945AC1"/>
    <w:rsid w:val="009466A5"/>
    <w:rsid w:val="0094758C"/>
    <w:rsid w:val="00947ED0"/>
    <w:rsid w:val="0095014F"/>
    <w:rsid w:val="00950361"/>
    <w:rsid w:val="00952C4F"/>
    <w:rsid w:val="009533DC"/>
    <w:rsid w:val="00953BF6"/>
    <w:rsid w:val="00954159"/>
    <w:rsid w:val="009541A0"/>
    <w:rsid w:val="00954295"/>
    <w:rsid w:val="009559E9"/>
    <w:rsid w:val="00956D33"/>
    <w:rsid w:val="009614E7"/>
    <w:rsid w:val="0096351B"/>
    <w:rsid w:val="00967EF7"/>
    <w:rsid w:val="00970BC5"/>
    <w:rsid w:val="00970E6E"/>
    <w:rsid w:val="00972600"/>
    <w:rsid w:val="0097293E"/>
    <w:rsid w:val="009729F5"/>
    <w:rsid w:val="00976378"/>
    <w:rsid w:val="00976517"/>
    <w:rsid w:val="00977626"/>
    <w:rsid w:val="009778C0"/>
    <w:rsid w:val="0098052E"/>
    <w:rsid w:val="009808D3"/>
    <w:rsid w:val="00981269"/>
    <w:rsid w:val="00983817"/>
    <w:rsid w:val="00985D89"/>
    <w:rsid w:val="009861B6"/>
    <w:rsid w:val="00987A8A"/>
    <w:rsid w:val="009921DB"/>
    <w:rsid w:val="00994C1F"/>
    <w:rsid w:val="00994CE8"/>
    <w:rsid w:val="00996EB3"/>
    <w:rsid w:val="00997316"/>
    <w:rsid w:val="009A0978"/>
    <w:rsid w:val="009A1AF6"/>
    <w:rsid w:val="009A1F44"/>
    <w:rsid w:val="009A2C4F"/>
    <w:rsid w:val="009A2EC3"/>
    <w:rsid w:val="009A4E65"/>
    <w:rsid w:val="009A6C06"/>
    <w:rsid w:val="009B06E2"/>
    <w:rsid w:val="009B1FED"/>
    <w:rsid w:val="009B2054"/>
    <w:rsid w:val="009B43CE"/>
    <w:rsid w:val="009B702D"/>
    <w:rsid w:val="009C24F5"/>
    <w:rsid w:val="009C2A0C"/>
    <w:rsid w:val="009C6649"/>
    <w:rsid w:val="009D060A"/>
    <w:rsid w:val="009D2187"/>
    <w:rsid w:val="009D229E"/>
    <w:rsid w:val="009D48A1"/>
    <w:rsid w:val="009D7990"/>
    <w:rsid w:val="009E0132"/>
    <w:rsid w:val="009E0890"/>
    <w:rsid w:val="009E0F38"/>
    <w:rsid w:val="009E3D34"/>
    <w:rsid w:val="009E7574"/>
    <w:rsid w:val="009F029D"/>
    <w:rsid w:val="009F48A8"/>
    <w:rsid w:val="009F5EEC"/>
    <w:rsid w:val="00A00061"/>
    <w:rsid w:val="00A0260B"/>
    <w:rsid w:val="00A05B12"/>
    <w:rsid w:val="00A11CA9"/>
    <w:rsid w:val="00A121B0"/>
    <w:rsid w:val="00A14143"/>
    <w:rsid w:val="00A16D18"/>
    <w:rsid w:val="00A17CD9"/>
    <w:rsid w:val="00A2064B"/>
    <w:rsid w:val="00A20882"/>
    <w:rsid w:val="00A2255C"/>
    <w:rsid w:val="00A25D8C"/>
    <w:rsid w:val="00A271A7"/>
    <w:rsid w:val="00A33E3E"/>
    <w:rsid w:val="00A3644D"/>
    <w:rsid w:val="00A36FBD"/>
    <w:rsid w:val="00A37D1D"/>
    <w:rsid w:val="00A41262"/>
    <w:rsid w:val="00A416B2"/>
    <w:rsid w:val="00A425DD"/>
    <w:rsid w:val="00A43F44"/>
    <w:rsid w:val="00A44908"/>
    <w:rsid w:val="00A45A70"/>
    <w:rsid w:val="00A47C95"/>
    <w:rsid w:val="00A50487"/>
    <w:rsid w:val="00A505B3"/>
    <w:rsid w:val="00A5428B"/>
    <w:rsid w:val="00A57030"/>
    <w:rsid w:val="00A57933"/>
    <w:rsid w:val="00A57D5A"/>
    <w:rsid w:val="00A61FE9"/>
    <w:rsid w:val="00A62324"/>
    <w:rsid w:val="00A64A58"/>
    <w:rsid w:val="00A64F36"/>
    <w:rsid w:val="00A671CB"/>
    <w:rsid w:val="00A67795"/>
    <w:rsid w:val="00A70A0F"/>
    <w:rsid w:val="00A70C90"/>
    <w:rsid w:val="00A72D37"/>
    <w:rsid w:val="00A7381E"/>
    <w:rsid w:val="00A742C7"/>
    <w:rsid w:val="00A75E3D"/>
    <w:rsid w:val="00A76B1F"/>
    <w:rsid w:val="00A77F99"/>
    <w:rsid w:val="00A807B6"/>
    <w:rsid w:val="00A80C1F"/>
    <w:rsid w:val="00A812A0"/>
    <w:rsid w:val="00A81307"/>
    <w:rsid w:val="00A81DBC"/>
    <w:rsid w:val="00A827AE"/>
    <w:rsid w:val="00A83BEA"/>
    <w:rsid w:val="00A85A2F"/>
    <w:rsid w:val="00A90A5C"/>
    <w:rsid w:val="00A90E99"/>
    <w:rsid w:val="00A92E31"/>
    <w:rsid w:val="00A94742"/>
    <w:rsid w:val="00A94A15"/>
    <w:rsid w:val="00A95123"/>
    <w:rsid w:val="00A95BB2"/>
    <w:rsid w:val="00AA0773"/>
    <w:rsid w:val="00AA19CD"/>
    <w:rsid w:val="00AA42C8"/>
    <w:rsid w:val="00AA4413"/>
    <w:rsid w:val="00AA6706"/>
    <w:rsid w:val="00AB1EAB"/>
    <w:rsid w:val="00AB3079"/>
    <w:rsid w:val="00AB4CA9"/>
    <w:rsid w:val="00AB4CB4"/>
    <w:rsid w:val="00AB781F"/>
    <w:rsid w:val="00AB7D0C"/>
    <w:rsid w:val="00AB7F9D"/>
    <w:rsid w:val="00AC0F6E"/>
    <w:rsid w:val="00AC1950"/>
    <w:rsid w:val="00AC5111"/>
    <w:rsid w:val="00AC69FD"/>
    <w:rsid w:val="00AC6F91"/>
    <w:rsid w:val="00AD05BD"/>
    <w:rsid w:val="00AD2CA1"/>
    <w:rsid w:val="00AD33AF"/>
    <w:rsid w:val="00AD469A"/>
    <w:rsid w:val="00AD46FD"/>
    <w:rsid w:val="00AD683E"/>
    <w:rsid w:val="00AD7AB3"/>
    <w:rsid w:val="00AE0F17"/>
    <w:rsid w:val="00AE44DA"/>
    <w:rsid w:val="00AE7AE2"/>
    <w:rsid w:val="00AE7EEF"/>
    <w:rsid w:val="00AF0FE2"/>
    <w:rsid w:val="00AF35CF"/>
    <w:rsid w:val="00AF3A22"/>
    <w:rsid w:val="00AF5021"/>
    <w:rsid w:val="00AF5819"/>
    <w:rsid w:val="00AF5E50"/>
    <w:rsid w:val="00AF63E9"/>
    <w:rsid w:val="00AF6596"/>
    <w:rsid w:val="00AF77F2"/>
    <w:rsid w:val="00B01936"/>
    <w:rsid w:val="00B0213E"/>
    <w:rsid w:val="00B06DC2"/>
    <w:rsid w:val="00B1138E"/>
    <w:rsid w:val="00B14285"/>
    <w:rsid w:val="00B15179"/>
    <w:rsid w:val="00B15FB9"/>
    <w:rsid w:val="00B2033E"/>
    <w:rsid w:val="00B234BE"/>
    <w:rsid w:val="00B24943"/>
    <w:rsid w:val="00B25418"/>
    <w:rsid w:val="00B25FB5"/>
    <w:rsid w:val="00B27504"/>
    <w:rsid w:val="00B32F87"/>
    <w:rsid w:val="00B34322"/>
    <w:rsid w:val="00B35846"/>
    <w:rsid w:val="00B35D81"/>
    <w:rsid w:val="00B35F5A"/>
    <w:rsid w:val="00B36F86"/>
    <w:rsid w:val="00B3794F"/>
    <w:rsid w:val="00B40CE7"/>
    <w:rsid w:val="00B41F4E"/>
    <w:rsid w:val="00B43A6B"/>
    <w:rsid w:val="00B44375"/>
    <w:rsid w:val="00B45062"/>
    <w:rsid w:val="00B45A0D"/>
    <w:rsid w:val="00B46913"/>
    <w:rsid w:val="00B4708C"/>
    <w:rsid w:val="00B508A4"/>
    <w:rsid w:val="00B50D45"/>
    <w:rsid w:val="00B51313"/>
    <w:rsid w:val="00B526B1"/>
    <w:rsid w:val="00B542A7"/>
    <w:rsid w:val="00B548FC"/>
    <w:rsid w:val="00B54993"/>
    <w:rsid w:val="00B57615"/>
    <w:rsid w:val="00B60719"/>
    <w:rsid w:val="00B645A8"/>
    <w:rsid w:val="00B646D2"/>
    <w:rsid w:val="00B648FA"/>
    <w:rsid w:val="00B7159D"/>
    <w:rsid w:val="00B71975"/>
    <w:rsid w:val="00B72A09"/>
    <w:rsid w:val="00B7473E"/>
    <w:rsid w:val="00B74A1B"/>
    <w:rsid w:val="00B74BA2"/>
    <w:rsid w:val="00B752EC"/>
    <w:rsid w:val="00B7740A"/>
    <w:rsid w:val="00B80D29"/>
    <w:rsid w:val="00B81156"/>
    <w:rsid w:val="00B82017"/>
    <w:rsid w:val="00B820B2"/>
    <w:rsid w:val="00B828F6"/>
    <w:rsid w:val="00B83D6A"/>
    <w:rsid w:val="00B85463"/>
    <w:rsid w:val="00B873A9"/>
    <w:rsid w:val="00B914E5"/>
    <w:rsid w:val="00B921A6"/>
    <w:rsid w:val="00B93EDB"/>
    <w:rsid w:val="00B95329"/>
    <w:rsid w:val="00B957A0"/>
    <w:rsid w:val="00B9654A"/>
    <w:rsid w:val="00B96E98"/>
    <w:rsid w:val="00B97C5E"/>
    <w:rsid w:val="00B97C74"/>
    <w:rsid w:val="00BA371C"/>
    <w:rsid w:val="00BA3FF0"/>
    <w:rsid w:val="00BA46E5"/>
    <w:rsid w:val="00BA651D"/>
    <w:rsid w:val="00BB1C00"/>
    <w:rsid w:val="00BB20B7"/>
    <w:rsid w:val="00BB3535"/>
    <w:rsid w:val="00BB6EC3"/>
    <w:rsid w:val="00BB7A78"/>
    <w:rsid w:val="00BB7B4D"/>
    <w:rsid w:val="00BC3E57"/>
    <w:rsid w:val="00BC4350"/>
    <w:rsid w:val="00BC45E6"/>
    <w:rsid w:val="00BC4C52"/>
    <w:rsid w:val="00BC69C0"/>
    <w:rsid w:val="00BC72C2"/>
    <w:rsid w:val="00BD0605"/>
    <w:rsid w:val="00BD0ECF"/>
    <w:rsid w:val="00BD2E74"/>
    <w:rsid w:val="00BD33AA"/>
    <w:rsid w:val="00BD3ABC"/>
    <w:rsid w:val="00BD49D1"/>
    <w:rsid w:val="00BD6604"/>
    <w:rsid w:val="00BD7565"/>
    <w:rsid w:val="00BE1ED0"/>
    <w:rsid w:val="00BE3586"/>
    <w:rsid w:val="00BE46C4"/>
    <w:rsid w:val="00BE6BB8"/>
    <w:rsid w:val="00BE6F6C"/>
    <w:rsid w:val="00BF0248"/>
    <w:rsid w:val="00BF1119"/>
    <w:rsid w:val="00BF1E3F"/>
    <w:rsid w:val="00BF24A7"/>
    <w:rsid w:val="00BF2684"/>
    <w:rsid w:val="00BF6D29"/>
    <w:rsid w:val="00C0040D"/>
    <w:rsid w:val="00C01B6F"/>
    <w:rsid w:val="00C03FEB"/>
    <w:rsid w:val="00C06904"/>
    <w:rsid w:val="00C0695F"/>
    <w:rsid w:val="00C0760C"/>
    <w:rsid w:val="00C07B59"/>
    <w:rsid w:val="00C1063D"/>
    <w:rsid w:val="00C11918"/>
    <w:rsid w:val="00C134C4"/>
    <w:rsid w:val="00C1477D"/>
    <w:rsid w:val="00C1577A"/>
    <w:rsid w:val="00C15AF8"/>
    <w:rsid w:val="00C16057"/>
    <w:rsid w:val="00C22B19"/>
    <w:rsid w:val="00C22EF7"/>
    <w:rsid w:val="00C22FBF"/>
    <w:rsid w:val="00C23CD6"/>
    <w:rsid w:val="00C24063"/>
    <w:rsid w:val="00C24493"/>
    <w:rsid w:val="00C25178"/>
    <w:rsid w:val="00C263E8"/>
    <w:rsid w:val="00C26F69"/>
    <w:rsid w:val="00C35A8E"/>
    <w:rsid w:val="00C37E1D"/>
    <w:rsid w:val="00C41E97"/>
    <w:rsid w:val="00C42C0E"/>
    <w:rsid w:val="00C43925"/>
    <w:rsid w:val="00C44E5A"/>
    <w:rsid w:val="00C502B0"/>
    <w:rsid w:val="00C518DE"/>
    <w:rsid w:val="00C53DB5"/>
    <w:rsid w:val="00C55551"/>
    <w:rsid w:val="00C55B69"/>
    <w:rsid w:val="00C5603D"/>
    <w:rsid w:val="00C57830"/>
    <w:rsid w:val="00C614C4"/>
    <w:rsid w:val="00C62ACB"/>
    <w:rsid w:val="00C62B54"/>
    <w:rsid w:val="00C65C90"/>
    <w:rsid w:val="00C75E31"/>
    <w:rsid w:val="00C81427"/>
    <w:rsid w:val="00C81CA4"/>
    <w:rsid w:val="00C83232"/>
    <w:rsid w:val="00C83F20"/>
    <w:rsid w:val="00C9090D"/>
    <w:rsid w:val="00C91962"/>
    <w:rsid w:val="00C925C3"/>
    <w:rsid w:val="00C92D42"/>
    <w:rsid w:val="00C92DF1"/>
    <w:rsid w:val="00C93BFA"/>
    <w:rsid w:val="00C93DBF"/>
    <w:rsid w:val="00CA0568"/>
    <w:rsid w:val="00CA10CE"/>
    <w:rsid w:val="00CA3CE0"/>
    <w:rsid w:val="00CA6921"/>
    <w:rsid w:val="00CB0569"/>
    <w:rsid w:val="00CB17B9"/>
    <w:rsid w:val="00CB180B"/>
    <w:rsid w:val="00CB184E"/>
    <w:rsid w:val="00CB1AE0"/>
    <w:rsid w:val="00CB4E76"/>
    <w:rsid w:val="00CB51FE"/>
    <w:rsid w:val="00CB5F3A"/>
    <w:rsid w:val="00CB65F9"/>
    <w:rsid w:val="00CB775E"/>
    <w:rsid w:val="00CC231A"/>
    <w:rsid w:val="00CC300A"/>
    <w:rsid w:val="00CC3B31"/>
    <w:rsid w:val="00CC3C85"/>
    <w:rsid w:val="00CC4001"/>
    <w:rsid w:val="00CC4C1E"/>
    <w:rsid w:val="00CC6D26"/>
    <w:rsid w:val="00CD12B7"/>
    <w:rsid w:val="00CD1C29"/>
    <w:rsid w:val="00CD317B"/>
    <w:rsid w:val="00CD3619"/>
    <w:rsid w:val="00CD3E4B"/>
    <w:rsid w:val="00CD6F63"/>
    <w:rsid w:val="00CD7684"/>
    <w:rsid w:val="00CE3257"/>
    <w:rsid w:val="00CE3B16"/>
    <w:rsid w:val="00CE5B7D"/>
    <w:rsid w:val="00CE5E55"/>
    <w:rsid w:val="00CE6715"/>
    <w:rsid w:val="00CE6B34"/>
    <w:rsid w:val="00CE6D8D"/>
    <w:rsid w:val="00CE7832"/>
    <w:rsid w:val="00CF0B94"/>
    <w:rsid w:val="00CF32E5"/>
    <w:rsid w:val="00CF34F7"/>
    <w:rsid w:val="00CF3CF2"/>
    <w:rsid w:val="00CF5049"/>
    <w:rsid w:val="00CF5F11"/>
    <w:rsid w:val="00CF697E"/>
    <w:rsid w:val="00CF6E60"/>
    <w:rsid w:val="00D02699"/>
    <w:rsid w:val="00D0670D"/>
    <w:rsid w:val="00D069AE"/>
    <w:rsid w:val="00D10F9F"/>
    <w:rsid w:val="00D11189"/>
    <w:rsid w:val="00D14AB0"/>
    <w:rsid w:val="00D22CEB"/>
    <w:rsid w:val="00D2503B"/>
    <w:rsid w:val="00D2738E"/>
    <w:rsid w:val="00D30E95"/>
    <w:rsid w:val="00D31963"/>
    <w:rsid w:val="00D33003"/>
    <w:rsid w:val="00D36721"/>
    <w:rsid w:val="00D407FE"/>
    <w:rsid w:val="00D41FFE"/>
    <w:rsid w:val="00D4434C"/>
    <w:rsid w:val="00D44408"/>
    <w:rsid w:val="00D44F26"/>
    <w:rsid w:val="00D45BF9"/>
    <w:rsid w:val="00D47AE0"/>
    <w:rsid w:val="00D503BC"/>
    <w:rsid w:val="00D506CF"/>
    <w:rsid w:val="00D50D2A"/>
    <w:rsid w:val="00D5110E"/>
    <w:rsid w:val="00D52F83"/>
    <w:rsid w:val="00D54F51"/>
    <w:rsid w:val="00D554F4"/>
    <w:rsid w:val="00D575F6"/>
    <w:rsid w:val="00D62B5D"/>
    <w:rsid w:val="00D65635"/>
    <w:rsid w:val="00D66B77"/>
    <w:rsid w:val="00D66FC9"/>
    <w:rsid w:val="00D676BA"/>
    <w:rsid w:val="00D70B8C"/>
    <w:rsid w:val="00D71DA7"/>
    <w:rsid w:val="00D738A9"/>
    <w:rsid w:val="00D740F2"/>
    <w:rsid w:val="00D742F5"/>
    <w:rsid w:val="00D83E35"/>
    <w:rsid w:val="00D85093"/>
    <w:rsid w:val="00D85991"/>
    <w:rsid w:val="00D85ADD"/>
    <w:rsid w:val="00D85FDE"/>
    <w:rsid w:val="00D94BFD"/>
    <w:rsid w:val="00D95C12"/>
    <w:rsid w:val="00DA25FC"/>
    <w:rsid w:val="00DA486C"/>
    <w:rsid w:val="00DA5638"/>
    <w:rsid w:val="00DA6EB0"/>
    <w:rsid w:val="00DA7AC7"/>
    <w:rsid w:val="00DB01C4"/>
    <w:rsid w:val="00DB349A"/>
    <w:rsid w:val="00DB727F"/>
    <w:rsid w:val="00DB7946"/>
    <w:rsid w:val="00DC0E14"/>
    <w:rsid w:val="00DC1266"/>
    <w:rsid w:val="00DC53A8"/>
    <w:rsid w:val="00DC6598"/>
    <w:rsid w:val="00DC7C86"/>
    <w:rsid w:val="00DD11CF"/>
    <w:rsid w:val="00DD3916"/>
    <w:rsid w:val="00DD40FC"/>
    <w:rsid w:val="00DD6E79"/>
    <w:rsid w:val="00DE07A4"/>
    <w:rsid w:val="00DE0D78"/>
    <w:rsid w:val="00DE0FC6"/>
    <w:rsid w:val="00DE1B56"/>
    <w:rsid w:val="00DE1E69"/>
    <w:rsid w:val="00DE4B8D"/>
    <w:rsid w:val="00DE4C8B"/>
    <w:rsid w:val="00DE73DA"/>
    <w:rsid w:val="00DF0349"/>
    <w:rsid w:val="00DF0919"/>
    <w:rsid w:val="00DF1314"/>
    <w:rsid w:val="00DF199A"/>
    <w:rsid w:val="00DF2999"/>
    <w:rsid w:val="00DF2DCF"/>
    <w:rsid w:val="00DF424E"/>
    <w:rsid w:val="00DF44A3"/>
    <w:rsid w:val="00DF5C94"/>
    <w:rsid w:val="00E01C5F"/>
    <w:rsid w:val="00E026A6"/>
    <w:rsid w:val="00E049DA"/>
    <w:rsid w:val="00E07050"/>
    <w:rsid w:val="00E07C20"/>
    <w:rsid w:val="00E1196D"/>
    <w:rsid w:val="00E125E9"/>
    <w:rsid w:val="00E14C05"/>
    <w:rsid w:val="00E152A4"/>
    <w:rsid w:val="00E16A74"/>
    <w:rsid w:val="00E170DD"/>
    <w:rsid w:val="00E214E7"/>
    <w:rsid w:val="00E22B2B"/>
    <w:rsid w:val="00E24F07"/>
    <w:rsid w:val="00E25B6E"/>
    <w:rsid w:val="00E25E6A"/>
    <w:rsid w:val="00E2668B"/>
    <w:rsid w:val="00E26889"/>
    <w:rsid w:val="00E27F0F"/>
    <w:rsid w:val="00E3363F"/>
    <w:rsid w:val="00E36C3D"/>
    <w:rsid w:val="00E4013E"/>
    <w:rsid w:val="00E408A6"/>
    <w:rsid w:val="00E40BF6"/>
    <w:rsid w:val="00E427FE"/>
    <w:rsid w:val="00E42C96"/>
    <w:rsid w:val="00E43461"/>
    <w:rsid w:val="00E43C5A"/>
    <w:rsid w:val="00E43DB9"/>
    <w:rsid w:val="00E44A16"/>
    <w:rsid w:val="00E46247"/>
    <w:rsid w:val="00E46D55"/>
    <w:rsid w:val="00E47034"/>
    <w:rsid w:val="00E5052B"/>
    <w:rsid w:val="00E527E7"/>
    <w:rsid w:val="00E54E8F"/>
    <w:rsid w:val="00E558BB"/>
    <w:rsid w:val="00E575A1"/>
    <w:rsid w:val="00E60916"/>
    <w:rsid w:val="00E60D0D"/>
    <w:rsid w:val="00E610D2"/>
    <w:rsid w:val="00E61BCB"/>
    <w:rsid w:val="00E61DCA"/>
    <w:rsid w:val="00E646E6"/>
    <w:rsid w:val="00E65AB8"/>
    <w:rsid w:val="00E660AD"/>
    <w:rsid w:val="00E6698F"/>
    <w:rsid w:val="00E709DA"/>
    <w:rsid w:val="00E71055"/>
    <w:rsid w:val="00E71F46"/>
    <w:rsid w:val="00E72816"/>
    <w:rsid w:val="00E72FAD"/>
    <w:rsid w:val="00E75380"/>
    <w:rsid w:val="00E76881"/>
    <w:rsid w:val="00E80EC9"/>
    <w:rsid w:val="00E81071"/>
    <w:rsid w:val="00E8141D"/>
    <w:rsid w:val="00E8740A"/>
    <w:rsid w:val="00E87767"/>
    <w:rsid w:val="00E919E6"/>
    <w:rsid w:val="00E927A5"/>
    <w:rsid w:val="00E9717D"/>
    <w:rsid w:val="00EA0988"/>
    <w:rsid w:val="00EA1EE6"/>
    <w:rsid w:val="00EA20ED"/>
    <w:rsid w:val="00EA35A2"/>
    <w:rsid w:val="00EA6A48"/>
    <w:rsid w:val="00EB017E"/>
    <w:rsid w:val="00EB2DBB"/>
    <w:rsid w:val="00EB37A1"/>
    <w:rsid w:val="00EB49C1"/>
    <w:rsid w:val="00EB5EFD"/>
    <w:rsid w:val="00EB610B"/>
    <w:rsid w:val="00EB61C9"/>
    <w:rsid w:val="00EB7EFB"/>
    <w:rsid w:val="00EC26DE"/>
    <w:rsid w:val="00EC4728"/>
    <w:rsid w:val="00EC59D0"/>
    <w:rsid w:val="00EC650F"/>
    <w:rsid w:val="00EC6FB3"/>
    <w:rsid w:val="00EC7D15"/>
    <w:rsid w:val="00ED0827"/>
    <w:rsid w:val="00ED148B"/>
    <w:rsid w:val="00ED1769"/>
    <w:rsid w:val="00ED4963"/>
    <w:rsid w:val="00ED50D4"/>
    <w:rsid w:val="00ED567D"/>
    <w:rsid w:val="00ED582A"/>
    <w:rsid w:val="00ED6765"/>
    <w:rsid w:val="00ED6C28"/>
    <w:rsid w:val="00ED7BC3"/>
    <w:rsid w:val="00EE16F2"/>
    <w:rsid w:val="00EE1A6F"/>
    <w:rsid w:val="00EE2AE0"/>
    <w:rsid w:val="00EE44B9"/>
    <w:rsid w:val="00EE6CA5"/>
    <w:rsid w:val="00EF1CDF"/>
    <w:rsid w:val="00EF2703"/>
    <w:rsid w:val="00EF5613"/>
    <w:rsid w:val="00EF638C"/>
    <w:rsid w:val="00EF73E0"/>
    <w:rsid w:val="00F03925"/>
    <w:rsid w:val="00F03EED"/>
    <w:rsid w:val="00F078BD"/>
    <w:rsid w:val="00F07E8C"/>
    <w:rsid w:val="00F1146A"/>
    <w:rsid w:val="00F12907"/>
    <w:rsid w:val="00F160E5"/>
    <w:rsid w:val="00F210EC"/>
    <w:rsid w:val="00F22727"/>
    <w:rsid w:val="00F239AD"/>
    <w:rsid w:val="00F26292"/>
    <w:rsid w:val="00F26AAE"/>
    <w:rsid w:val="00F30A96"/>
    <w:rsid w:val="00F315B5"/>
    <w:rsid w:val="00F318B6"/>
    <w:rsid w:val="00F32505"/>
    <w:rsid w:val="00F326B3"/>
    <w:rsid w:val="00F32ED6"/>
    <w:rsid w:val="00F35EC7"/>
    <w:rsid w:val="00F37DE2"/>
    <w:rsid w:val="00F42418"/>
    <w:rsid w:val="00F43CC3"/>
    <w:rsid w:val="00F45352"/>
    <w:rsid w:val="00F52D1A"/>
    <w:rsid w:val="00F542A6"/>
    <w:rsid w:val="00F55D9E"/>
    <w:rsid w:val="00F57E1A"/>
    <w:rsid w:val="00F61E23"/>
    <w:rsid w:val="00F64317"/>
    <w:rsid w:val="00F6461B"/>
    <w:rsid w:val="00F66E72"/>
    <w:rsid w:val="00F7104C"/>
    <w:rsid w:val="00F71FD5"/>
    <w:rsid w:val="00F727B9"/>
    <w:rsid w:val="00F72EC8"/>
    <w:rsid w:val="00F739A1"/>
    <w:rsid w:val="00F7437A"/>
    <w:rsid w:val="00F7463E"/>
    <w:rsid w:val="00F80537"/>
    <w:rsid w:val="00F80FBC"/>
    <w:rsid w:val="00F81B83"/>
    <w:rsid w:val="00F8225B"/>
    <w:rsid w:val="00F832B0"/>
    <w:rsid w:val="00F83EB6"/>
    <w:rsid w:val="00F86981"/>
    <w:rsid w:val="00F87D45"/>
    <w:rsid w:val="00F92FB2"/>
    <w:rsid w:val="00F93094"/>
    <w:rsid w:val="00F9344A"/>
    <w:rsid w:val="00F94FC5"/>
    <w:rsid w:val="00F95836"/>
    <w:rsid w:val="00FA0B11"/>
    <w:rsid w:val="00FA2F8E"/>
    <w:rsid w:val="00FA3CC2"/>
    <w:rsid w:val="00FA3FF3"/>
    <w:rsid w:val="00FA4750"/>
    <w:rsid w:val="00FA736A"/>
    <w:rsid w:val="00FB02D4"/>
    <w:rsid w:val="00FB6CED"/>
    <w:rsid w:val="00FC1592"/>
    <w:rsid w:val="00FC1670"/>
    <w:rsid w:val="00FC1B9E"/>
    <w:rsid w:val="00FC34D9"/>
    <w:rsid w:val="00FC3BFB"/>
    <w:rsid w:val="00FC3F81"/>
    <w:rsid w:val="00FC511A"/>
    <w:rsid w:val="00FC5A78"/>
    <w:rsid w:val="00FD13CA"/>
    <w:rsid w:val="00FD18DF"/>
    <w:rsid w:val="00FD1F53"/>
    <w:rsid w:val="00FD1FD2"/>
    <w:rsid w:val="00FD4A77"/>
    <w:rsid w:val="00FE00FD"/>
    <w:rsid w:val="00FE17F4"/>
    <w:rsid w:val="00FE2EDE"/>
    <w:rsid w:val="00FE3778"/>
    <w:rsid w:val="00FE38D4"/>
    <w:rsid w:val="00FE3D30"/>
    <w:rsid w:val="00FE5360"/>
    <w:rsid w:val="00FE5452"/>
    <w:rsid w:val="00FE79F6"/>
    <w:rsid w:val="00FE7DB6"/>
    <w:rsid w:val="00FF063A"/>
    <w:rsid w:val="00FF11FF"/>
    <w:rsid w:val="00FF1553"/>
    <w:rsid w:val="00FF3C79"/>
    <w:rsid w:val="00FF6A8A"/>
    <w:rsid w:val="00FF79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75"/>
  </w:style>
  <w:style w:type="paragraph" w:styleId="Heading1">
    <w:name w:val="heading 1"/>
    <w:aliases w:val="H1"/>
    <w:basedOn w:val="Normal"/>
    <w:next w:val="ParaNum"/>
    <w:link w:val="Heading1Char"/>
    <w:qFormat/>
    <w:rsid w:val="007626E1"/>
    <w:pPr>
      <w:keepNext/>
      <w:widowControl w:val="0"/>
      <w:numPr>
        <w:numId w:val="24"/>
      </w:numPr>
      <w:tabs>
        <w:tab w:val="left" w:pos="720"/>
      </w:tabs>
      <w:suppressAutoHyphens/>
      <w:spacing w:after="120"/>
      <w:jc w:val="left"/>
      <w:outlineLvl w:val="0"/>
    </w:pPr>
    <w:rPr>
      <w:rFonts w:ascii="Times New Roman Bold" w:eastAsia="Times New Roman" w:hAnsi="Times New Roman Bold" w:cs="Times New Roman"/>
      <w:b/>
      <w:caps/>
      <w:snapToGrid w:val="0"/>
      <w:kern w:val="28"/>
      <w:szCs w:val="20"/>
    </w:rPr>
  </w:style>
  <w:style w:type="paragraph" w:styleId="Heading2">
    <w:name w:val="heading 2"/>
    <w:aliases w:val="h2,UNDERRUBRIK 1-2"/>
    <w:basedOn w:val="Normal"/>
    <w:next w:val="ParaNum"/>
    <w:link w:val="Heading2Char"/>
    <w:autoRedefine/>
    <w:qFormat/>
    <w:rsid w:val="007626E1"/>
    <w:pPr>
      <w:keepNext/>
      <w:widowControl w:val="0"/>
      <w:numPr>
        <w:ilvl w:val="1"/>
        <w:numId w:val="24"/>
      </w:numPr>
      <w:spacing w:after="120"/>
      <w:jc w:val="left"/>
      <w:outlineLvl w:val="1"/>
    </w:pPr>
    <w:rPr>
      <w:rFonts w:ascii="Times New Roman" w:eastAsia="Times New Roman" w:hAnsi="Times New Roman" w:cs="Times New Roman"/>
      <w:b/>
      <w:snapToGrid w:val="0"/>
      <w:kern w:val="28"/>
      <w:szCs w:val="20"/>
    </w:rPr>
  </w:style>
  <w:style w:type="paragraph" w:styleId="Heading3">
    <w:name w:val="heading 3"/>
    <w:aliases w:val="3,Titre 3,1,31,Titre 31,?? 3"/>
    <w:basedOn w:val="Normal"/>
    <w:next w:val="ParaNum"/>
    <w:link w:val="Heading3Char"/>
    <w:qFormat/>
    <w:rsid w:val="007626E1"/>
    <w:pPr>
      <w:keepNext/>
      <w:widowControl w:val="0"/>
      <w:numPr>
        <w:ilvl w:val="2"/>
        <w:numId w:val="24"/>
      </w:numPr>
      <w:tabs>
        <w:tab w:val="left" w:pos="2160"/>
      </w:tabs>
      <w:spacing w:after="120"/>
      <w:jc w:val="left"/>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7626E1"/>
    <w:pPr>
      <w:keepNext/>
      <w:widowControl w:val="0"/>
      <w:numPr>
        <w:ilvl w:val="3"/>
        <w:numId w:val="24"/>
      </w:numPr>
      <w:tabs>
        <w:tab w:val="left" w:pos="2880"/>
      </w:tabs>
      <w:spacing w:after="120"/>
      <w:jc w:val="left"/>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link w:val="Heading5Char"/>
    <w:qFormat/>
    <w:rsid w:val="007626E1"/>
    <w:pPr>
      <w:keepNext/>
      <w:widowControl w:val="0"/>
      <w:numPr>
        <w:ilvl w:val="4"/>
        <w:numId w:val="24"/>
      </w:numPr>
      <w:tabs>
        <w:tab w:val="left" w:pos="3600"/>
      </w:tabs>
      <w:suppressAutoHyphens/>
      <w:spacing w:after="120"/>
      <w:jc w:val="left"/>
      <w:outlineLvl w:val="4"/>
    </w:pPr>
    <w:rPr>
      <w:rFonts w:ascii="Times New Roman" w:eastAsia="Times New Roman" w:hAnsi="Times New Roman" w:cs="Times New Roman"/>
      <w:b/>
      <w:snapToGrid w:val="0"/>
      <w:kern w:val="28"/>
      <w:szCs w:val="20"/>
    </w:rPr>
  </w:style>
  <w:style w:type="paragraph" w:styleId="Heading6">
    <w:name w:val="heading 6"/>
    <w:basedOn w:val="Normal"/>
    <w:next w:val="ParaNum"/>
    <w:link w:val="Heading6Char"/>
    <w:qFormat/>
    <w:rsid w:val="007626E1"/>
    <w:pPr>
      <w:widowControl w:val="0"/>
      <w:numPr>
        <w:ilvl w:val="5"/>
        <w:numId w:val="24"/>
      </w:numPr>
      <w:tabs>
        <w:tab w:val="left" w:pos="4320"/>
      </w:tabs>
      <w:spacing w:after="120"/>
      <w:jc w:val="left"/>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7626E1"/>
    <w:pPr>
      <w:widowControl w:val="0"/>
      <w:numPr>
        <w:ilvl w:val="6"/>
        <w:numId w:val="24"/>
      </w:numPr>
      <w:tabs>
        <w:tab w:val="left" w:pos="5040"/>
      </w:tabs>
      <w:spacing w:after="120"/>
      <w:ind w:left="5040" w:hanging="720"/>
      <w:jc w:val="left"/>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7626E1"/>
    <w:pPr>
      <w:widowControl w:val="0"/>
      <w:numPr>
        <w:ilvl w:val="7"/>
        <w:numId w:val="24"/>
      </w:numPr>
      <w:tabs>
        <w:tab w:val="clear" w:pos="5400"/>
        <w:tab w:val="left" w:pos="5760"/>
      </w:tabs>
      <w:spacing w:after="120"/>
      <w:ind w:left="5760" w:hanging="720"/>
      <w:jc w:val="left"/>
      <w:outlineLvl w:val="7"/>
    </w:pPr>
    <w:rPr>
      <w:rFonts w:ascii="Times New Roman" w:eastAsia="Times New Roman" w:hAnsi="Times New Roman" w:cs="Times New Roman"/>
      <w:b/>
      <w:snapToGrid w:val="0"/>
      <w:kern w:val="28"/>
      <w:szCs w:val="20"/>
    </w:rPr>
  </w:style>
  <w:style w:type="paragraph" w:styleId="Heading9">
    <w:name w:val="heading 9"/>
    <w:aliases w:val="Topic,table,t,9,Heading 9.table,Titre 9"/>
    <w:basedOn w:val="Normal"/>
    <w:next w:val="ParaNum"/>
    <w:link w:val="Heading9Char"/>
    <w:qFormat/>
    <w:rsid w:val="007626E1"/>
    <w:pPr>
      <w:widowControl w:val="0"/>
      <w:numPr>
        <w:ilvl w:val="8"/>
        <w:numId w:val="24"/>
      </w:numPr>
      <w:tabs>
        <w:tab w:val="clear" w:pos="6120"/>
        <w:tab w:val="left" w:pos="6480"/>
      </w:tabs>
      <w:spacing w:after="120"/>
      <w:ind w:left="6480" w:hanging="720"/>
      <w:jc w:val="left"/>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w:basedOn w:val="Normal"/>
    <w:link w:val="FootnoteTextChar"/>
    <w:uiPriority w:val="99"/>
    <w:unhideWhenUsed/>
    <w:rsid w:val="00043275"/>
    <w:rPr>
      <w:sz w:val="20"/>
      <w:szCs w:val="20"/>
    </w:rPr>
  </w:style>
  <w:style w:type="character" w:customStyle="1" w:styleId="FootnoteTextChar">
    <w:name w:val="Footnote Text Char"/>
    <w:aliases w:val="Footnote Text Char2 Char1,Footnote Text Char1 Char1 Char1,Footnote Text Char Char Char Char1,Footnote Text Char1 Char Char Char Char1,Footnote Text Char Char Char Char Char Char1,Footnote Text Char2 Char Char Char Char Char Char1"/>
    <w:basedOn w:val="DefaultParagraphFont"/>
    <w:link w:val="FootnoteText"/>
    <w:uiPriority w:val="99"/>
    <w:rsid w:val="00827260"/>
    <w:rPr>
      <w:sz w:val="20"/>
      <w:szCs w:val="20"/>
    </w:rPr>
  </w:style>
  <w:style w:type="character" w:styleId="FootnoteReference">
    <w:name w:val="footnote reference"/>
    <w:aliases w:val="Style 12,(NECG) Footnote Reference,Style 13,o,fr,Style 3,Appel note de bas de p,Style 124,Footnote Reference/,Style 17,FR,Style 6"/>
    <w:basedOn w:val="DefaultParagraphFont"/>
    <w:unhideWhenUsed/>
    <w:rsid w:val="00827260"/>
    <w:rPr>
      <w:vertAlign w:val="superscript"/>
    </w:rPr>
  </w:style>
  <w:style w:type="paragraph" w:styleId="ListParagraph">
    <w:name w:val="List Paragraph"/>
    <w:basedOn w:val="Normal"/>
    <w:uiPriority w:val="34"/>
    <w:qFormat/>
    <w:rsid w:val="00043275"/>
    <w:pPr>
      <w:ind w:left="720"/>
      <w:contextualSpacing/>
    </w:pPr>
  </w:style>
  <w:style w:type="paragraph" w:customStyle="1" w:styleId="ParaNum">
    <w:name w:val="ParaNum"/>
    <w:basedOn w:val="Normal"/>
    <w:link w:val="ParaNumChar1"/>
    <w:rsid w:val="00043275"/>
    <w:pPr>
      <w:widowControl w:val="0"/>
      <w:numPr>
        <w:numId w:val="4"/>
      </w:numPr>
      <w:spacing w:after="120"/>
    </w:pPr>
    <w:rPr>
      <w:rFonts w:ascii="Times New Roman" w:eastAsia="Times New Roman" w:hAnsi="Times New Roman" w:cs="Times New Roman"/>
      <w:snapToGrid w:val="0"/>
      <w:kern w:val="28"/>
      <w:szCs w:val="20"/>
    </w:rPr>
  </w:style>
  <w:style w:type="character" w:customStyle="1" w:styleId="ParaNumChar1">
    <w:name w:val="ParaNum Char1"/>
    <w:link w:val="ParaNum"/>
    <w:rsid w:val="008A7EE3"/>
    <w:rPr>
      <w:rFonts w:ascii="Times New Roman" w:eastAsia="Times New Roman" w:hAnsi="Times New Roman" w:cs="Times New Roman"/>
      <w:snapToGrid w:val="0"/>
      <w:kern w:val="28"/>
      <w:szCs w:val="20"/>
    </w:rPr>
  </w:style>
  <w:style w:type="character" w:styleId="Hyperlink">
    <w:name w:val="Hyperlink"/>
    <w:basedOn w:val="DefaultParagraphFont"/>
    <w:uiPriority w:val="99"/>
    <w:unhideWhenUsed/>
    <w:rsid w:val="005819B4"/>
    <w:rPr>
      <w:color w:val="0000FF"/>
      <w:u w:val="single"/>
    </w:rPr>
  </w:style>
  <w:style w:type="character" w:customStyle="1" w:styleId="searchterm">
    <w:name w:val="searchterm"/>
    <w:basedOn w:val="DefaultParagraphFont"/>
    <w:rsid w:val="005819B4"/>
  </w:style>
  <w:style w:type="character" w:customStyle="1" w:styleId="starpage">
    <w:name w:val="starpage"/>
    <w:basedOn w:val="DefaultParagraphFont"/>
    <w:rsid w:val="00875CEC"/>
  </w:style>
  <w:style w:type="character" w:customStyle="1" w:styleId="ptext-1">
    <w:name w:val="ptext-1"/>
    <w:basedOn w:val="DefaultParagraphFont"/>
    <w:rsid w:val="00A416B2"/>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fn Char"/>
    <w:rsid w:val="005A3179"/>
    <w:rPr>
      <w:lang w:val="en-US" w:eastAsia="en-US" w:bidi="ar-SA"/>
    </w:rPr>
  </w:style>
  <w:style w:type="character" w:styleId="Strong">
    <w:name w:val="Strong"/>
    <w:basedOn w:val="DefaultParagraphFont"/>
    <w:uiPriority w:val="22"/>
    <w:qFormat/>
    <w:rsid w:val="00B752EC"/>
    <w:rPr>
      <w:b/>
      <w:bCs/>
    </w:rPr>
  </w:style>
  <w:style w:type="character" w:styleId="FollowedHyperlink">
    <w:name w:val="FollowedHyperlink"/>
    <w:basedOn w:val="DefaultParagraphFont"/>
    <w:uiPriority w:val="99"/>
    <w:semiHidden/>
    <w:unhideWhenUsed/>
    <w:rsid w:val="009D060A"/>
    <w:rPr>
      <w:color w:val="800080" w:themeColor="followedHyperlink"/>
      <w:u w:val="single"/>
    </w:rPr>
  </w:style>
  <w:style w:type="character" w:styleId="PlaceholderText">
    <w:name w:val="Placeholder Text"/>
    <w:basedOn w:val="DefaultParagraphFont"/>
    <w:uiPriority w:val="99"/>
    <w:semiHidden/>
    <w:rsid w:val="00735823"/>
    <w:rPr>
      <w:color w:val="808080"/>
    </w:rPr>
  </w:style>
  <w:style w:type="paragraph" w:styleId="BalloonText">
    <w:name w:val="Balloon Text"/>
    <w:basedOn w:val="Normal"/>
    <w:link w:val="BalloonTextChar"/>
    <w:uiPriority w:val="99"/>
    <w:semiHidden/>
    <w:unhideWhenUsed/>
    <w:rsid w:val="00043275"/>
    <w:rPr>
      <w:rFonts w:ascii="Tahoma" w:hAnsi="Tahoma" w:cs="Tahoma"/>
      <w:sz w:val="16"/>
      <w:szCs w:val="16"/>
    </w:rPr>
  </w:style>
  <w:style w:type="character" w:customStyle="1" w:styleId="BalloonTextChar">
    <w:name w:val="Balloon Text Char"/>
    <w:basedOn w:val="DefaultParagraphFont"/>
    <w:link w:val="BalloonText"/>
    <w:uiPriority w:val="99"/>
    <w:semiHidden/>
    <w:rsid w:val="00735823"/>
    <w:rPr>
      <w:rFonts w:ascii="Tahoma" w:hAnsi="Tahoma" w:cs="Tahoma"/>
      <w:sz w:val="16"/>
      <w:szCs w:val="16"/>
    </w:rPr>
  </w:style>
  <w:style w:type="character" w:styleId="Emphasis">
    <w:name w:val="Emphasis"/>
    <w:uiPriority w:val="20"/>
    <w:qFormat/>
    <w:rsid w:val="00CB775E"/>
    <w:rPr>
      <w:i/>
      <w:iCs/>
    </w:rPr>
  </w:style>
  <w:style w:type="paragraph" w:styleId="TOAHeading">
    <w:name w:val="toa heading"/>
    <w:basedOn w:val="Normal"/>
    <w:next w:val="Normal"/>
    <w:semiHidden/>
    <w:rsid w:val="00043275"/>
    <w:pPr>
      <w:widowControl w:val="0"/>
      <w:tabs>
        <w:tab w:val="right" w:pos="9360"/>
      </w:tabs>
      <w:suppressAutoHyphens/>
    </w:pPr>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043275"/>
    <w:pPr>
      <w:widowControl w:val="0"/>
      <w:jc w:val="center"/>
    </w:pPr>
    <w:rPr>
      <w:rFonts w:ascii="Times New Roman Bold" w:eastAsia="Times New Roman" w:hAnsi="Times New Roman Bold" w:cs="Times New Roman"/>
      <w:b/>
      <w:bCs/>
      <w:caps/>
      <w:snapToGrid w:val="0"/>
      <w:kern w:val="28"/>
    </w:rPr>
  </w:style>
  <w:style w:type="character" w:styleId="CommentReference">
    <w:name w:val="annotation reference"/>
    <w:basedOn w:val="DefaultParagraphFont"/>
    <w:uiPriority w:val="99"/>
    <w:semiHidden/>
    <w:unhideWhenUsed/>
    <w:rsid w:val="00197E43"/>
    <w:rPr>
      <w:sz w:val="16"/>
      <w:szCs w:val="16"/>
    </w:rPr>
  </w:style>
  <w:style w:type="paragraph" w:styleId="CommentText">
    <w:name w:val="annotation text"/>
    <w:basedOn w:val="Normal"/>
    <w:link w:val="CommentTextChar1"/>
    <w:uiPriority w:val="99"/>
    <w:unhideWhenUsed/>
    <w:rsid w:val="008A47C1"/>
    <w:rPr>
      <w:sz w:val="20"/>
      <w:szCs w:val="20"/>
    </w:rPr>
  </w:style>
  <w:style w:type="character" w:customStyle="1" w:styleId="CommentTextChar">
    <w:name w:val="Comment Text Char"/>
    <w:basedOn w:val="DefaultParagraphFont"/>
    <w:uiPriority w:val="99"/>
    <w:rsid w:val="00197E43"/>
    <w:rPr>
      <w:sz w:val="20"/>
      <w:szCs w:val="20"/>
    </w:rPr>
  </w:style>
  <w:style w:type="paragraph" w:styleId="CommentSubject">
    <w:name w:val="annotation subject"/>
    <w:basedOn w:val="Normal"/>
    <w:next w:val="CommentText"/>
    <w:link w:val="CommentSubjectChar"/>
    <w:uiPriority w:val="99"/>
    <w:semiHidden/>
    <w:unhideWhenUsed/>
    <w:rsid w:val="00942FF3"/>
    <w:rPr>
      <w:b/>
      <w:bCs/>
    </w:rPr>
  </w:style>
  <w:style w:type="character" w:customStyle="1" w:styleId="CommentSubjectChar">
    <w:name w:val="Comment Subject Char"/>
    <w:basedOn w:val="CommentTextChar"/>
    <w:link w:val="CommentSubject"/>
    <w:uiPriority w:val="99"/>
    <w:semiHidden/>
    <w:rsid w:val="00197E43"/>
    <w:rPr>
      <w:b/>
      <w:bCs/>
      <w:sz w:val="20"/>
      <w:szCs w:val="20"/>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basedOn w:val="DefaultParagraphFont"/>
    <w:locked/>
    <w:rsid w:val="00926E20"/>
    <w:rPr>
      <w:lang w:val="en-US" w:eastAsia="en-US" w:bidi="ar-SA"/>
    </w:rPr>
  </w:style>
  <w:style w:type="paragraph" w:styleId="Header">
    <w:name w:val="header"/>
    <w:basedOn w:val="Normal"/>
    <w:link w:val="HeaderChar"/>
    <w:unhideWhenUsed/>
    <w:rsid w:val="00043275"/>
    <w:pPr>
      <w:tabs>
        <w:tab w:val="center" w:pos="4680"/>
        <w:tab w:val="right" w:pos="9360"/>
      </w:tabs>
    </w:pPr>
  </w:style>
  <w:style w:type="character" w:customStyle="1" w:styleId="HeaderChar">
    <w:name w:val="Header Char"/>
    <w:basedOn w:val="DefaultParagraphFont"/>
    <w:link w:val="Header"/>
    <w:rsid w:val="002B5593"/>
  </w:style>
  <w:style w:type="paragraph" w:styleId="Footer">
    <w:name w:val="footer"/>
    <w:basedOn w:val="Normal"/>
    <w:link w:val="FooterChar"/>
    <w:uiPriority w:val="99"/>
    <w:unhideWhenUsed/>
    <w:rsid w:val="00043275"/>
    <w:pPr>
      <w:tabs>
        <w:tab w:val="center" w:pos="4680"/>
        <w:tab w:val="right" w:pos="9360"/>
      </w:tabs>
    </w:pPr>
  </w:style>
  <w:style w:type="character" w:customStyle="1" w:styleId="FooterChar">
    <w:name w:val="Footer Char"/>
    <w:basedOn w:val="DefaultParagraphFont"/>
    <w:link w:val="Footer"/>
    <w:uiPriority w:val="99"/>
    <w:rsid w:val="002B5593"/>
  </w:style>
  <w:style w:type="character" w:customStyle="1" w:styleId="cosearchterm">
    <w:name w:val="co_searchterm"/>
    <w:basedOn w:val="DefaultParagraphFont"/>
    <w:rsid w:val="00EC650F"/>
  </w:style>
  <w:style w:type="paragraph" w:styleId="Revision">
    <w:name w:val="Revision"/>
    <w:hidden/>
    <w:uiPriority w:val="99"/>
    <w:semiHidden/>
    <w:rsid w:val="00015C85"/>
    <w:pPr>
      <w:ind w:firstLine="0"/>
      <w:jc w:val="left"/>
    </w:pPr>
  </w:style>
  <w:style w:type="character" w:customStyle="1" w:styleId="Heading1Char">
    <w:name w:val="Heading 1 Char"/>
    <w:aliases w:val="H1 Char"/>
    <w:basedOn w:val="DefaultParagraphFont"/>
    <w:link w:val="Heading1"/>
    <w:rsid w:val="007626E1"/>
    <w:rPr>
      <w:rFonts w:ascii="Times New Roman Bold" w:eastAsia="Times New Roman" w:hAnsi="Times New Roman Bold" w:cs="Times New Roman"/>
      <w:b/>
      <w:caps/>
      <w:snapToGrid w:val="0"/>
      <w:kern w:val="28"/>
      <w:szCs w:val="20"/>
    </w:rPr>
  </w:style>
  <w:style w:type="character" w:customStyle="1" w:styleId="Heading2Char">
    <w:name w:val="Heading 2 Char"/>
    <w:aliases w:val="h2 Char,UNDERRUBRIK 1-2 Char"/>
    <w:basedOn w:val="DefaultParagraphFont"/>
    <w:link w:val="Heading2"/>
    <w:rsid w:val="007626E1"/>
    <w:rPr>
      <w:rFonts w:ascii="Times New Roman" w:eastAsia="Times New Roman" w:hAnsi="Times New Roman" w:cs="Times New Roman"/>
      <w:b/>
      <w:snapToGrid w:val="0"/>
      <w:kern w:val="28"/>
      <w:szCs w:val="20"/>
    </w:rPr>
  </w:style>
  <w:style w:type="character" w:customStyle="1" w:styleId="Heading3Char">
    <w:name w:val="Heading 3 Char"/>
    <w:aliases w:val="3 Char,Titre 3 Char,1 Char,31 Char,Titre 31 Char,?? 3 Char"/>
    <w:basedOn w:val="DefaultParagraphFont"/>
    <w:link w:val="Heading3"/>
    <w:rsid w:val="007626E1"/>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7626E1"/>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7626E1"/>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7626E1"/>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7626E1"/>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7626E1"/>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7626E1"/>
    <w:rPr>
      <w:rFonts w:ascii="Times New Roman" w:eastAsia="Times New Roman" w:hAnsi="Times New Roman" w:cs="Times New Roman"/>
      <w:b/>
      <w:snapToGrid w:val="0"/>
      <w:kern w:val="28"/>
      <w:szCs w:val="20"/>
    </w:rPr>
  </w:style>
  <w:style w:type="paragraph" w:styleId="PlainText">
    <w:name w:val="Plain Text"/>
    <w:basedOn w:val="Normal"/>
    <w:link w:val="PlainTextChar"/>
    <w:uiPriority w:val="99"/>
    <w:unhideWhenUsed/>
    <w:rsid w:val="00C57830"/>
    <w:pPr>
      <w:ind w:firstLine="0"/>
      <w:jc w:val="left"/>
    </w:pPr>
    <w:rPr>
      <w:rFonts w:ascii="Calibri" w:hAnsi="Calibri"/>
      <w:szCs w:val="21"/>
    </w:rPr>
  </w:style>
  <w:style w:type="character" w:customStyle="1" w:styleId="PlainTextChar">
    <w:name w:val="Plain Text Char"/>
    <w:basedOn w:val="DefaultParagraphFont"/>
    <w:link w:val="PlainText"/>
    <w:uiPriority w:val="99"/>
    <w:rsid w:val="00C57830"/>
    <w:rPr>
      <w:rFonts w:ascii="Calibri" w:hAnsi="Calibri"/>
      <w:szCs w:val="21"/>
    </w:rPr>
  </w:style>
  <w:style w:type="character" w:customStyle="1" w:styleId="CommentTextChar1">
    <w:name w:val="Comment Text Char1"/>
    <w:basedOn w:val="DefaultParagraphFont"/>
    <w:link w:val="CommentText"/>
    <w:uiPriority w:val="99"/>
    <w:semiHidden/>
    <w:rsid w:val="008A47C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75"/>
  </w:style>
  <w:style w:type="paragraph" w:styleId="Heading1">
    <w:name w:val="heading 1"/>
    <w:aliases w:val="H1"/>
    <w:basedOn w:val="Normal"/>
    <w:next w:val="ParaNum"/>
    <w:link w:val="Heading1Char"/>
    <w:qFormat/>
    <w:rsid w:val="007626E1"/>
    <w:pPr>
      <w:keepNext/>
      <w:widowControl w:val="0"/>
      <w:numPr>
        <w:numId w:val="24"/>
      </w:numPr>
      <w:tabs>
        <w:tab w:val="left" w:pos="720"/>
      </w:tabs>
      <w:suppressAutoHyphens/>
      <w:spacing w:after="120"/>
      <w:jc w:val="left"/>
      <w:outlineLvl w:val="0"/>
    </w:pPr>
    <w:rPr>
      <w:rFonts w:ascii="Times New Roman Bold" w:eastAsia="Times New Roman" w:hAnsi="Times New Roman Bold" w:cs="Times New Roman"/>
      <w:b/>
      <w:caps/>
      <w:snapToGrid w:val="0"/>
      <w:kern w:val="28"/>
      <w:szCs w:val="20"/>
    </w:rPr>
  </w:style>
  <w:style w:type="paragraph" w:styleId="Heading2">
    <w:name w:val="heading 2"/>
    <w:aliases w:val="h2,UNDERRUBRIK 1-2"/>
    <w:basedOn w:val="Normal"/>
    <w:next w:val="ParaNum"/>
    <w:link w:val="Heading2Char"/>
    <w:autoRedefine/>
    <w:qFormat/>
    <w:rsid w:val="007626E1"/>
    <w:pPr>
      <w:keepNext/>
      <w:widowControl w:val="0"/>
      <w:numPr>
        <w:ilvl w:val="1"/>
        <w:numId w:val="24"/>
      </w:numPr>
      <w:spacing w:after="120"/>
      <w:jc w:val="left"/>
      <w:outlineLvl w:val="1"/>
    </w:pPr>
    <w:rPr>
      <w:rFonts w:ascii="Times New Roman" w:eastAsia="Times New Roman" w:hAnsi="Times New Roman" w:cs="Times New Roman"/>
      <w:b/>
      <w:snapToGrid w:val="0"/>
      <w:kern w:val="28"/>
      <w:szCs w:val="20"/>
    </w:rPr>
  </w:style>
  <w:style w:type="paragraph" w:styleId="Heading3">
    <w:name w:val="heading 3"/>
    <w:aliases w:val="3,Titre 3,1,31,Titre 31,?? 3"/>
    <w:basedOn w:val="Normal"/>
    <w:next w:val="ParaNum"/>
    <w:link w:val="Heading3Char"/>
    <w:qFormat/>
    <w:rsid w:val="007626E1"/>
    <w:pPr>
      <w:keepNext/>
      <w:widowControl w:val="0"/>
      <w:numPr>
        <w:ilvl w:val="2"/>
        <w:numId w:val="24"/>
      </w:numPr>
      <w:tabs>
        <w:tab w:val="left" w:pos="2160"/>
      </w:tabs>
      <w:spacing w:after="120"/>
      <w:jc w:val="left"/>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7626E1"/>
    <w:pPr>
      <w:keepNext/>
      <w:widowControl w:val="0"/>
      <w:numPr>
        <w:ilvl w:val="3"/>
        <w:numId w:val="24"/>
      </w:numPr>
      <w:tabs>
        <w:tab w:val="left" w:pos="2880"/>
      </w:tabs>
      <w:spacing w:after="120"/>
      <w:jc w:val="left"/>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link w:val="Heading5Char"/>
    <w:qFormat/>
    <w:rsid w:val="007626E1"/>
    <w:pPr>
      <w:keepNext/>
      <w:widowControl w:val="0"/>
      <w:numPr>
        <w:ilvl w:val="4"/>
        <w:numId w:val="24"/>
      </w:numPr>
      <w:tabs>
        <w:tab w:val="left" w:pos="3600"/>
      </w:tabs>
      <w:suppressAutoHyphens/>
      <w:spacing w:after="120"/>
      <w:jc w:val="left"/>
      <w:outlineLvl w:val="4"/>
    </w:pPr>
    <w:rPr>
      <w:rFonts w:ascii="Times New Roman" w:eastAsia="Times New Roman" w:hAnsi="Times New Roman" w:cs="Times New Roman"/>
      <w:b/>
      <w:snapToGrid w:val="0"/>
      <w:kern w:val="28"/>
      <w:szCs w:val="20"/>
    </w:rPr>
  </w:style>
  <w:style w:type="paragraph" w:styleId="Heading6">
    <w:name w:val="heading 6"/>
    <w:basedOn w:val="Normal"/>
    <w:next w:val="ParaNum"/>
    <w:link w:val="Heading6Char"/>
    <w:qFormat/>
    <w:rsid w:val="007626E1"/>
    <w:pPr>
      <w:widowControl w:val="0"/>
      <w:numPr>
        <w:ilvl w:val="5"/>
        <w:numId w:val="24"/>
      </w:numPr>
      <w:tabs>
        <w:tab w:val="left" w:pos="4320"/>
      </w:tabs>
      <w:spacing w:after="120"/>
      <w:jc w:val="left"/>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7626E1"/>
    <w:pPr>
      <w:widowControl w:val="0"/>
      <w:numPr>
        <w:ilvl w:val="6"/>
        <w:numId w:val="24"/>
      </w:numPr>
      <w:tabs>
        <w:tab w:val="left" w:pos="5040"/>
      </w:tabs>
      <w:spacing w:after="120"/>
      <w:ind w:left="5040" w:hanging="720"/>
      <w:jc w:val="left"/>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7626E1"/>
    <w:pPr>
      <w:widowControl w:val="0"/>
      <w:numPr>
        <w:ilvl w:val="7"/>
        <w:numId w:val="24"/>
      </w:numPr>
      <w:tabs>
        <w:tab w:val="clear" w:pos="5400"/>
        <w:tab w:val="left" w:pos="5760"/>
      </w:tabs>
      <w:spacing w:after="120"/>
      <w:ind w:left="5760" w:hanging="720"/>
      <w:jc w:val="left"/>
      <w:outlineLvl w:val="7"/>
    </w:pPr>
    <w:rPr>
      <w:rFonts w:ascii="Times New Roman" w:eastAsia="Times New Roman" w:hAnsi="Times New Roman" w:cs="Times New Roman"/>
      <w:b/>
      <w:snapToGrid w:val="0"/>
      <w:kern w:val="28"/>
      <w:szCs w:val="20"/>
    </w:rPr>
  </w:style>
  <w:style w:type="paragraph" w:styleId="Heading9">
    <w:name w:val="heading 9"/>
    <w:aliases w:val="Topic,table,t,9,Heading 9.table,Titre 9"/>
    <w:basedOn w:val="Normal"/>
    <w:next w:val="ParaNum"/>
    <w:link w:val="Heading9Char"/>
    <w:qFormat/>
    <w:rsid w:val="007626E1"/>
    <w:pPr>
      <w:widowControl w:val="0"/>
      <w:numPr>
        <w:ilvl w:val="8"/>
        <w:numId w:val="24"/>
      </w:numPr>
      <w:tabs>
        <w:tab w:val="clear" w:pos="6120"/>
        <w:tab w:val="left" w:pos="6480"/>
      </w:tabs>
      <w:spacing w:after="120"/>
      <w:ind w:left="6480" w:hanging="720"/>
      <w:jc w:val="left"/>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w:basedOn w:val="Normal"/>
    <w:link w:val="FootnoteTextChar"/>
    <w:uiPriority w:val="99"/>
    <w:unhideWhenUsed/>
    <w:rsid w:val="00043275"/>
    <w:rPr>
      <w:sz w:val="20"/>
      <w:szCs w:val="20"/>
    </w:rPr>
  </w:style>
  <w:style w:type="character" w:customStyle="1" w:styleId="FootnoteTextChar">
    <w:name w:val="Footnote Text Char"/>
    <w:aliases w:val="Footnote Text Char2 Char1,Footnote Text Char1 Char1 Char1,Footnote Text Char Char Char Char1,Footnote Text Char1 Char Char Char Char1,Footnote Text Char Char Char Char Char Char1,Footnote Text Char2 Char Char Char Char Char Char1"/>
    <w:basedOn w:val="DefaultParagraphFont"/>
    <w:link w:val="FootnoteText"/>
    <w:uiPriority w:val="99"/>
    <w:rsid w:val="00827260"/>
    <w:rPr>
      <w:sz w:val="20"/>
      <w:szCs w:val="20"/>
    </w:rPr>
  </w:style>
  <w:style w:type="character" w:styleId="FootnoteReference">
    <w:name w:val="footnote reference"/>
    <w:aliases w:val="Style 12,(NECG) Footnote Reference,Style 13,o,fr,Style 3,Appel note de bas de p,Style 124,Footnote Reference/,Style 17,FR,Style 6"/>
    <w:basedOn w:val="DefaultParagraphFont"/>
    <w:unhideWhenUsed/>
    <w:rsid w:val="00827260"/>
    <w:rPr>
      <w:vertAlign w:val="superscript"/>
    </w:rPr>
  </w:style>
  <w:style w:type="paragraph" w:styleId="ListParagraph">
    <w:name w:val="List Paragraph"/>
    <w:basedOn w:val="Normal"/>
    <w:uiPriority w:val="34"/>
    <w:qFormat/>
    <w:rsid w:val="00043275"/>
    <w:pPr>
      <w:ind w:left="720"/>
      <w:contextualSpacing/>
    </w:pPr>
  </w:style>
  <w:style w:type="paragraph" w:customStyle="1" w:styleId="ParaNum">
    <w:name w:val="ParaNum"/>
    <w:basedOn w:val="Normal"/>
    <w:link w:val="ParaNumChar1"/>
    <w:rsid w:val="00043275"/>
    <w:pPr>
      <w:widowControl w:val="0"/>
      <w:numPr>
        <w:numId w:val="4"/>
      </w:numPr>
      <w:spacing w:after="120"/>
    </w:pPr>
    <w:rPr>
      <w:rFonts w:ascii="Times New Roman" w:eastAsia="Times New Roman" w:hAnsi="Times New Roman" w:cs="Times New Roman"/>
      <w:snapToGrid w:val="0"/>
      <w:kern w:val="28"/>
      <w:szCs w:val="20"/>
    </w:rPr>
  </w:style>
  <w:style w:type="character" w:customStyle="1" w:styleId="ParaNumChar1">
    <w:name w:val="ParaNum Char1"/>
    <w:link w:val="ParaNum"/>
    <w:rsid w:val="008A7EE3"/>
    <w:rPr>
      <w:rFonts w:ascii="Times New Roman" w:eastAsia="Times New Roman" w:hAnsi="Times New Roman" w:cs="Times New Roman"/>
      <w:snapToGrid w:val="0"/>
      <w:kern w:val="28"/>
      <w:szCs w:val="20"/>
    </w:rPr>
  </w:style>
  <w:style w:type="character" w:styleId="Hyperlink">
    <w:name w:val="Hyperlink"/>
    <w:basedOn w:val="DefaultParagraphFont"/>
    <w:uiPriority w:val="99"/>
    <w:unhideWhenUsed/>
    <w:rsid w:val="005819B4"/>
    <w:rPr>
      <w:color w:val="0000FF"/>
      <w:u w:val="single"/>
    </w:rPr>
  </w:style>
  <w:style w:type="character" w:customStyle="1" w:styleId="searchterm">
    <w:name w:val="searchterm"/>
    <w:basedOn w:val="DefaultParagraphFont"/>
    <w:rsid w:val="005819B4"/>
  </w:style>
  <w:style w:type="character" w:customStyle="1" w:styleId="starpage">
    <w:name w:val="starpage"/>
    <w:basedOn w:val="DefaultParagraphFont"/>
    <w:rsid w:val="00875CEC"/>
  </w:style>
  <w:style w:type="character" w:customStyle="1" w:styleId="ptext-1">
    <w:name w:val="ptext-1"/>
    <w:basedOn w:val="DefaultParagraphFont"/>
    <w:rsid w:val="00A416B2"/>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fn Char"/>
    <w:rsid w:val="005A3179"/>
    <w:rPr>
      <w:lang w:val="en-US" w:eastAsia="en-US" w:bidi="ar-SA"/>
    </w:rPr>
  </w:style>
  <w:style w:type="character" w:styleId="Strong">
    <w:name w:val="Strong"/>
    <w:basedOn w:val="DefaultParagraphFont"/>
    <w:uiPriority w:val="22"/>
    <w:qFormat/>
    <w:rsid w:val="00B752EC"/>
    <w:rPr>
      <w:b/>
      <w:bCs/>
    </w:rPr>
  </w:style>
  <w:style w:type="character" w:styleId="FollowedHyperlink">
    <w:name w:val="FollowedHyperlink"/>
    <w:basedOn w:val="DefaultParagraphFont"/>
    <w:uiPriority w:val="99"/>
    <w:semiHidden/>
    <w:unhideWhenUsed/>
    <w:rsid w:val="009D060A"/>
    <w:rPr>
      <w:color w:val="800080" w:themeColor="followedHyperlink"/>
      <w:u w:val="single"/>
    </w:rPr>
  </w:style>
  <w:style w:type="character" w:styleId="PlaceholderText">
    <w:name w:val="Placeholder Text"/>
    <w:basedOn w:val="DefaultParagraphFont"/>
    <w:uiPriority w:val="99"/>
    <w:semiHidden/>
    <w:rsid w:val="00735823"/>
    <w:rPr>
      <w:color w:val="808080"/>
    </w:rPr>
  </w:style>
  <w:style w:type="paragraph" w:styleId="BalloonText">
    <w:name w:val="Balloon Text"/>
    <w:basedOn w:val="Normal"/>
    <w:link w:val="BalloonTextChar"/>
    <w:uiPriority w:val="99"/>
    <w:semiHidden/>
    <w:unhideWhenUsed/>
    <w:rsid w:val="00043275"/>
    <w:rPr>
      <w:rFonts w:ascii="Tahoma" w:hAnsi="Tahoma" w:cs="Tahoma"/>
      <w:sz w:val="16"/>
      <w:szCs w:val="16"/>
    </w:rPr>
  </w:style>
  <w:style w:type="character" w:customStyle="1" w:styleId="BalloonTextChar">
    <w:name w:val="Balloon Text Char"/>
    <w:basedOn w:val="DefaultParagraphFont"/>
    <w:link w:val="BalloonText"/>
    <w:uiPriority w:val="99"/>
    <w:semiHidden/>
    <w:rsid w:val="00735823"/>
    <w:rPr>
      <w:rFonts w:ascii="Tahoma" w:hAnsi="Tahoma" w:cs="Tahoma"/>
      <w:sz w:val="16"/>
      <w:szCs w:val="16"/>
    </w:rPr>
  </w:style>
  <w:style w:type="character" w:styleId="Emphasis">
    <w:name w:val="Emphasis"/>
    <w:uiPriority w:val="20"/>
    <w:qFormat/>
    <w:rsid w:val="00CB775E"/>
    <w:rPr>
      <w:i/>
      <w:iCs/>
    </w:rPr>
  </w:style>
  <w:style w:type="paragraph" w:styleId="TOAHeading">
    <w:name w:val="toa heading"/>
    <w:basedOn w:val="Normal"/>
    <w:next w:val="Normal"/>
    <w:semiHidden/>
    <w:rsid w:val="00043275"/>
    <w:pPr>
      <w:widowControl w:val="0"/>
      <w:tabs>
        <w:tab w:val="right" w:pos="9360"/>
      </w:tabs>
      <w:suppressAutoHyphens/>
    </w:pPr>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043275"/>
    <w:pPr>
      <w:widowControl w:val="0"/>
      <w:jc w:val="center"/>
    </w:pPr>
    <w:rPr>
      <w:rFonts w:ascii="Times New Roman Bold" w:eastAsia="Times New Roman" w:hAnsi="Times New Roman Bold" w:cs="Times New Roman"/>
      <w:b/>
      <w:bCs/>
      <w:caps/>
      <w:snapToGrid w:val="0"/>
      <w:kern w:val="28"/>
    </w:rPr>
  </w:style>
  <w:style w:type="character" w:styleId="CommentReference">
    <w:name w:val="annotation reference"/>
    <w:basedOn w:val="DefaultParagraphFont"/>
    <w:uiPriority w:val="99"/>
    <w:semiHidden/>
    <w:unhideWhenUsed/>
    <w:rsid w:val="00197E43"/>
    <w:rPr>
      <w:sz w:val="16"/>
      <w:szCs w:val="16"/>
    </w:rPr>
  </w:style>
  <w:style w:type="paragraph" w:styleId="CommentText">
    <w:name w:val="annotation text"/>
    <w:basedOn w:val="Normal"/>
    <w:link w:val="CommentTextChar1"/>
    <w:uiPriority w:val="99"/>
    <w:unhideWhenUsed/>
    <w:rsid w:val="008A47C1"/>
    <w:rPr>
      <w:sz w:val="20"/>
      <w:szCs w:val="20"/>
    </w:rPr>
  </w:style>
  <w:style w:type="character" w:customStyle="1" w:styleId="CommentTextChar">
    <w:name w:val="Comment Text Char"/>
    <w:basedOn w:val="DefaultParagraphFont"/>
    <w:uiPriority w:val="99"/>
    <w:rsid w:val="00197E43"/>
    <w:rPr>
      <w:sz w:val="20"/>
      <w:szCs w:val="20"/>
    </w:rPr>
  </w:style>
  <w:style w:type="paragraph" w:styleId="CommentSubject">
    <w:name w:val="annotation subject"/>
    <w:basedOn w:val="Normal"/>
    <w:next w:val="CommentText"/>
    <w:link w:val="CommentSubjectChar"/>
    <w:uiPriority w:val="99"/>
    <w:semiHidden/>
    <w:unhideWhenUsed/>
    <w:rsid w:val="00942FF3"/>
    <w:rPr>
      <w:b/>
      <w:bCs/>
    </w:rPr>
  </w:style>
  <w:style w:type="character" w:customStyle="1" w:styleId="CommentSubjectChar">
    <w:name w:val="Comment Subject Char"/>
    <w:basedOn w:val="CommentTextChar"/>
    <w:link w:val="CommentSubject"/>
    <w:uiPriority w:val="99"/>
    <w:semiHidden/>
    <w:rsid w:val="00197E43"/>
    <w:rPr>
      <w:b/>
      <w:bCs/>
      <w:sz w:val="20"/>
      <w:szCs w:val="20"/>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basedOn w:val="DefaultParagraphFont"/>
    <w:locked/>
    <w:rsid w:val="00926E20"/>
    <w:rPr>
      <w:lang w:val="en-US" w:eastAsia="en-US" w:bidi="ar-SA"/>
    </w:rPr>
  </w:style>
  <w:style w:type="paragraph" w:styleId="Header">
    <w:name w:val="header"/>
    <w:basedOn w:val="Normal"/>
    <w:link w:val="HeaderChar"/>
    <w:unhideWhenUsed/>
    <w:rsid w:val="00043275"/>
    <w:pPr>
      <w:tabs>
        <w:tab w:val="center" w:pos="4680"/>
        <w:tab w:val="right" w:pos="9360"/>
      </w:tabs>
    </w:pPr>
  </w:style>
  <w:style w:type="character" w:customStyle="1" w:styleId="HeaderChar">
    <w:name w:val="Header Char"/>
    <w:basedOn w:val="DefaultParagraphFont"/>
    <w:link w:val="Header"/>
    <w:rsid w:val="002B5593"/>
  </w:style>
  <w:style w:type="paragraph" w:styleId="Footer">
    <w:name w:val="footer"/>
    <w:basedOn w:val="Normal"/>
    <w:link w:val="FooterChar"/>
    <w:uiPriority w:val="99"/>
    <w:unhideWhenUsed/>
    <w:rsid w:val="00043275"/>
    <w:pPr>
      <w:tabs>
        <w:tab w:val="center" w:pos="4680"/>
        <w:tab w:val="right" w:pos="9360"/>
      </w:tabs>
    </w:pPr>
  </w:style>
  <w:style w:type="character" w:customStyle="1" w:styleId="FooterChar">
    <w:name w:val="Footer Char"/>
    <w:basedOn w:val="DefaultParagraphFont"/>
    <w:link w:val="Footer"/>
    <w:uiPriority w:val="99"/>
    <w:rsid w:val="002B5593"/>
  </w:style>
  <w:style w:type="character" w:customStyle="1" w:styleId="cosearchterm">
    <w:name w:val="co_searchterm"/>
    <w:basedOn w:val="DefaultParagraphFont"/>
    <w:rsid w:val="00EC650F"/>
  </w:style>
  <w:style w:type="paragraph" w:styleId="Revision">
    <w:name w:val="Revision"/>
    <w:hidden/>
    <w:uiPriority w:val="99"/>
    <w:semiHidden/>
    <w:rsid w:val="00015C85"/>
    <w:pPr>
      <w:ind w:firstLine="0"/>
      <w:jc w:val="left"/>
    </w:pPr>
  </w:style>
  <w:style w:type="character" w:customStyle="1" w:styleId="Heading1Char">
    <w:name w:val="Heading 1 Char"/>
    <w:aliases w:val="H1 Char"/>
    <w:basedOn w:val="DefaultParagraphFont"/>
    <w:link w:val="Heading1"/>
    <w:rsid w:val="007626E1"/>
    <w:rPr>
      <w:rFonts w:ascii="Times New Roman Bold" w:eastAsia="Times New Roman" w:hAnsi="Times New Roman Bold" w:cs="Times New Roman"/>
      <w:b/>
      <w:caps/>
      <w:snapToGrid w:val="0"/>
      <w:kern w:val="28"/>
      <w:szCs w:val="20"/>
    </w:rPr>
  </w:style>
  <w:style w:type="character" w:customStyle="1" w:styleId="Heading2Char">
    <w:name w:val="Heading 2 Char"/>
    <w:aliases w:val="h2 Char,UNDERRUBRIK 1-2 Char"/>
    <w:basedOn w:val="DefaultParagraphFont"/>
    <w:link w:val="Heading2"/>
    <w:rsid w:val="007626E1"/>
    <w:rPr>
      <w:rFonts w:ascii="Times New Roman" w:eastAsia="Times New Roman" w:hAnsi="Times New Roman" w:cs="Times New Roman"/>
      <w:b/>
      <w:snapToGrid w:val="0"/>
      <w:kern w:val="28"/>
      <w:szCs w:val="20"/>
    </w:rPr>
  </w:style>
  <w:style w:type="character" w:customStyle="1" w:styleId="Heading3Char">
    <w:name w:val="Heading 3 Char"/>
    <w:aliases w:val="3 Char,Titre 3 Char,1 Char,31 Char,Titre 31 Char,?? 3 Char"/>
    <w:basedOn w:val="DefaultParagraphFont"/>
    <w:link w:val="Heading3"/>
    <w:rsid w:val="007626E1"/>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7626E1"/>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7626E1"/>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7626E1"/>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7626E1"/>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7626E1"/>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7626E1"/>
    <w:rPr>
      <w:rFonts w:ascii="Times New Roman" w:eastAsia="Times New Roman" w:hAnsi="Times New Roman" w:cs="Times New Roman"/>
      <w:b/>
      <w:snapToGrid w:val="0"/>
      <w:kern w:val="28"/>
      <w:szCs w:val="20"/>
    </w:rPr>
  </w:style>
  <w:style w:type="paragraph" w:styleId="PlainText">
    <w:name w:val="Plain Text"/>
    <w:basedOn w:val="Normal"/>
    <w:link w:val="PlainTextChar"/>
    <w:uiPriority w:val="99"/>
    <w:unhideWhenUsed/>
    <w:rsid w:val="00C57830"/>
    <w:pPr>
      <w:ind w:firstLine="0"/>
      <w:jc w:val="left"/>
    </w:pPr>
    <w:rPr>
      <w:rFonts w:ascii="Calibri" w:hAnsi="Calibri"/>
      <w:szCs w:val="21"/>
    </w:rPr>
  </w:style>
  <w:style w:type="character" w:customStyle="1" w:styleId="PlainTextChar">
    <w:name w:val="Plain Text Char"/>
    <w:basedOn w:val="DefaultParagraphFont"/>
    <w:link w:val="PlainText"/>
    <w:uiPriority w:val="99"/>
    <w:rsid w:val="00C57830"/>
    <w:rPr>
      <w:rFonts w:ascii="Calibri" w:hAnsi="Calibri"/>
      <w:szCs w:val="21"/>
    </w:rPr>
  </w:style>
  <w:style w:type="character" w:customStyle="1" w:styleId="CommentTextChar1">
    <w:name w:val="Comment Text Char1"/>
    <w:basedOn w:val="DefaultParagraphFont"/>
    <w:link w:val="CommentText"/>
    <w:uiPriority w:val="99"/>
    <w:semiHidden/>
    <w:rsid w:val="008A47C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379">
      <w:bodyDiv w:val="1"/>
      <w:marLeft w:val="0"/>
      <w:marRight w:val="0"/>
      <w:marTop w:val="0"/>
      <w:marBottom w:val="0"/>
      <w:divBdr>
        <w:top w:val="none" w:sz="0" w:space="0" w:color="auto"/>
        <w:left w:val="none" w:sz="0" w:space="0" w:color="auto"/>
        <w:bottom w:val="none" w:sz="0" w:space="0" w:color="auto"/>
        <w:right w:val="none" w:sz="0" w:space="0" w:color="auto"/>
      </w:divBdr>
    </w:div>
    <w:div w:id="21562065">
      <w:bodyDiv w:val="1"/>
      <w:marLeft w:val="0"/>
      <w:marRight w:val="0"/>
      <w:marTop w:val="0"/>
      <w:marBottom w:val="0"/>
      <w:divBdr>
        <w:top w:val="none" w:sz="0" w:space="0" w:color="auto"/>
        <w:left w:val="none" w:sz="0" w:space="0" w:color="auto"/>
        <w:bottom w:val="none" w:sz="0" w:space="0" w:color="auto"/>
        <w:right w:val="none" w:sz="0" w:space="0" w:color="auto"/>
      </w:divBdr>
    </w:div>
    <w:div w:id="57167318">
      <w:bodyDiv w:val="1"/>
      <w:marLeft w:val="0"/>
      <w:marRight w:val="0"/>
      <w:marTop w:val="0"/>
      <w:marBottom w:val="0"/>
      <w:divBdr>
        <w:top w:val="none" w:sz="0" w:space="0" w:color="auto"/>
        <w:left w:val="none" w:sz="0" w:space="0" w:color="auto"/>
        <w:bottom w:val="none" w:sz="0" w:space="0" w:color="auto"/>
        <w:right w:val="none" w:sz="0" w:space="0" w:color="auto"/>
      </w:divBdr>
    </w:div>
    <w:div w:id="71196474">
      <w:bodyDiv w:val="1"/>
      <w:marLeft w:val="0"/>
      <w:marRight w:val="0"/>
      <w:marTop w:val="0"/>
      <w:marBottom w:val="0"/>
      <w:divBdr>
        <w:top w:val="none" w:sz="0" w:space="0" w:color="auto"/>
        <w:left w:val="none" w:sz="0" w:space="0" w:color="auto"/>
        <w:bottom w:val="none" w:sz="0" w:space="0" w:color="auto"/>
        <w:right w:val="none" w:sz="0" w:space="0" w:color="auto"/>
      </w:divBdr>
    </w:div>
    <w:div w:id="85731413">
      <w:bodyDiv w:val="1"/>
      <w:marLeft w:val="0"/>
      <w:marRight w:val="0"/>
      <w:marTop w:val="0"/>
      <w:marBottom w:val="0"/>
      <w:divBdr>
        <w:top w:val="none" w:sz="0" w:space="0" w:color="auto"/>
        <w:left w:val="none" w:sz="0" w:space="0" w:color="auto"/>
        <w:bottom w:val="none" w:sz="0" w:space="0" w:color="auto"/>
        <w:right w:val="none" w:sz="0" w:space="0" w:color="auto"/>
      </w:divBdr>
    </w:div>
    <w:div w:id="105083308">
      <w:bodyDiv w:val="1"/>
      <w:marLeft w:val="0"/>
      <w:marRight w:val="0"/>
      <w:marTop w:val="0"/>
      <w:marBottom w:val="0"/>
      <w:divBdr>
        <w:top w:val="none" w:sz="0" w:space="0" w:color="auto"/>
        <w:left w:val="none" w:sz="0" w:space="0" w:color="auto"/>
        <w:bottom w:val="none" w:sz="0" w:space="0" w:color="auto"/>
        <w:right w:val="none" w:sz="0" w:space="0" w:color="auto"/>
      </w:divBdr>
    </w:div>
    <w:div w:id="314114686">
      <w:bodyDiv w:val="1"/>
      <w:marLeft w:val="0"/>
      <w:marRight w:val="0"/>
      <w:marTop w:val="0"/>
      <w:marBottom w:val="0"/>
      <w:divBdr>
        <w:top w:val="none" w:sz="0" w:space="0" w:color="auto"/>
        <w:left w:val="none" w:sz="0" w:space="0" w:color="auto"/>
        <w:bottom w:val="none" w:sz="0" w:space="0" w:color="auto"/>
        <w:right w:val="none" w:sz="0" w:space="0" w:color="auto"/>
      </w:divBdr>
    </w:div>
    <w:div w:id="332758125">
      <w:bodyDiv w:val="1"/>
      <w:marLeft w:val="0"/>
      <w:marRight w:val="0"/>
      <w:marTop w:val="0"/>
      <w:marBottom w:val="0"/>
      <w:divBdr>
        <w:top w:val="none" w:sz="0" w:space="0" w:color="auto"/>
        <w:left w:val="none" w:sz="0" w:space="0" w:color="auto"/>
        <w:bottom w:val="none" w:sz="0" w:space="0" w:color="auto"/>
        <w:right w:val="none" w:sz="0" w:space="0" w:color="auto"/>
      </w:divBdr>
    </w:div>
    <w:div w:id="400325396">
      <w:bodyDiv w:val="1"/>
      <w:marLeft w:val="0"/>
      <w:marRight w:val="0"/>
      <w:marTop w:val="0"/>
      <w:marBottom w:val="0"/>
      <w:divBdr>
        <w:top w:val="none" w:sz="0" w:space="0" w:color="auto"/>
        <w:left w:val="none" w:sz="0" w:space="0" w:color="auto"/>
        <w:bottom w:val="none" w:sz="0" w:space="0" w:color="auto"/>
        <w:right w:val="none" w:sz="0" w:space="0" w:color="auto"/>
      </w:divBdr>
    </w:div>
    <w:div w:id="412554259">
      <w:bodyDiv w:val="1"/>
      <w:marLeft w:val="0"/>
      <w:marRight w:val="0"/>
      <w:marTop w:val="0"/>
      <w:marBottom w:val="0"/>
      <w:divBdr>
        <w:top w:val="none" w:sz="0" w:space="0" w:color="auto"/>
        <w:left w:val="none" w:sz="0" w:space="0" w:color="auto"/>
        <w:bottom w:val="none" w:sz="0" w:space="0" w:color="auto"/>
        <w:right w:val="none" w:sz="0" w:space="0" w:color="auto"/>
      </w:divBdr>
    </w:div>
    <w:div w:id="472187065">
      <w:bodyDiv w:val="1"/>
      <w:marLeft w:val="0"/>
      <w:marRight w:val="0"/>
      <w:marTop w:val="0"/>
      <w:marBottom w:val="0"/>
      <w:divBdr>
        <w:top w:val="none" w:sz="0" w:space="0" w:color="auto"/>
        <w:left w:val="none" w:sz="0" w:space="0" w:color="auto"/>
        <w:bottom w:val="none" w:sz="0" w:space="0" w:color="auto"/>
        <w:right w:val="none" w:sz="0" w:space="0" w:color="auto"/>
      </w:divBdr>
    </w:div>
    <w:div w:id="641741196">
      <w:bodyDiv w:val="1"/>
      <w:marLeft w:val="0"/>
      <w:marRight w:val="0"/>
      <w:marTop w:val="0"/>
      <w:marBottom w:val="0"/>
      <w:divBdr>
        <w:top w:val="none" w:sz="0" w:space="0" w:color="auto"/>
        <w:left w:val="none" w:sz="0" w:space="0" w:color="auto"/>
        <w:bottom w:val="none" w:sz="0" w:space="0" w:color="auto"/>
        <w:right w:val="none" w:sz="0" w:space="0" w:color="auto"/>
      </w:divBdr>
      <w:divsChild>
        <w:div w:id="157429340">
          <w:marLeft w:val="0"/>
          <w:marRight w:val="0"/>
          <w:marTop w:val="0"/>
          <w:marBottom w:val="0"/>
          <w:divBdr>
            <w:top w:val="none" w:sz="0" w:space="0" w:color="auto"/>
            <w:left w:val="none" w:sz="0" w:space="0" w:color="auto"/>
            <w:bottom w:val="none" w:sz="0" w:space="0" w:color="auto"/>
            <w:right w:val="none" w:sz="0" w:space="0" w:color="auto"/>
          </w:divBdr>
        </w:div>
        <w:div w:id="1313171663">
          <w:marLeft w:val="0"/>
          <w:marRight w:val="0"/>
          <w:marTop w:val="0"/>
          <w:marBottom w:val="0"/>
          <w:divBdr>
            <w:top w:val="none" w:sz="0" w:space="0" w:color="auto"/>
            <w:left w:val="none" w:sz="0" w:space="0" w:color="auto"/>
            <w:bottom w:val="none" w:sz="0" w:space="0" w:color="auto"/>
            <w:right w:val="none" w:sz="0" w:space="0" w:color="auto"/>
          </w:divBdr>
        </w:div>
        <w:div w:id="1360668571">
          <w:marLeft w:val="0"/>
          <w:marRight w:val="0"/>
          <w:marTop w:val="0"/>
          <w:marBottom w:val="0"/>
          <w:divBdr>
            <w:top w:val="none" w:sz="0" w:space="0" w:color="auto"/>
            <w:left w:val="none" w:sz="0" w:space="0" w:color="auto"/>
            <w:bottom w:val="none" w:sz="0" w:space="0" w:color="auto"/>
            <w:right w:val="none" w:sz="0" w:space="0" w:color="auto"/>
          </w:divBdr>
        </w:div>
        <w:div w:id="1427924598">
          <w:marLeft w:val="0"/>
          <w:marRight w:val="0"/>
          <w:marTop w:val="0"/>
          <w:marBottom w:val="0"/>
          <w:divBdr>
            <w:top w:val="none" w:sz="0" w:space="0" w:color="auto"/>
            <w:left w:val="none" w:sz="0" w:space="0" w:color="auto"/>
            <w:bottom w:val="none" w:sz="0" w:space="0" w:color="auto"/>
            <w:right w:val="none" w:sz="0" w:space="0" w:color="auto"/>
          </w:divBdr>
        </w:div>
        <w:div w:id="1668511137">
          <w:marLeft w:val="0"/>
          <w:marRight w:val="0"/>
          <w:marTop w:val="0"/>
          <w:marBottom w:val="0"/>
          <w:divBdr>
            <w:top w:val="none" w:sz="0" w:space="0" w:color="auto"/>
            <w:left w:val="none" w:sz="0" w:space="0" w:color="auto"/>
            <w:bottom w:val="none" w:sz="0" w:space="0" w:color="auto"/>
            <w:right w:val="none" w:sz="0" w:space="0" w:color="auto"/>
          </w:divBdr>
        </w:div>
        <w:div w:id="1881085896">
          <w:marLeft w:val="0"/>
          <w:marRight w:val="0"/>
          <w:marTop w:val="0"/>
          <w:marBottom w:val="0"/>
          <w:divBdr>
            <w:top w:val="none" w:sz="0" w:space="0" w:color="auto"/>
            <w:left w:val="none" w:sz="0" w:space="0" w:color="auto"/>
            <w:bottom w:val="none" w:sz="0" w:space="0" w:color="auto"/>
            <w:right w:val="none" w:sz="0" w:space="0" w:color="auto"/>
          </w:divBdr>
        </w:div>
      </w:divsChild>
    </w:div>
    <w:div w:id="860164217">
      <w:bodyDiv w:val="1"/>
      <w:marLeft w:val="0"/>
      <w:marRight w:val="0"/>
      <w:marTop w:val="0"/>
      <w:marBottom w:val="0"/>
      <w:divBdr>
        <w:top w:val="none" w:sz="0" w:space="0" w:color="auto"/>
        <w:left w:val="none" w:sz="0" w:space="0" w:color="auto"/>
        <w:bottom w:val="none" w:sz="0" w:space="0" w:color="auto"/>
        <w:right w:val="none" w:sz="0" w:space="0" w:color="auto"/>
      </w:divBdr>
      <w:divsChild>
        <w:div w:id="248538930">
          <w:marLeft w:val="0"/>
          <w:marRight w:val="0"/>
          <w:marTop w:val="0"/>
          <w:marBottom w:val="0"/>
          <w:divBdr>
            <w:top w:val="none" w:sz="0" w:space="0" w:color="auto"/>
            <w:left w:val="none" w:sz="0" w:space="0" w:color="auto"/>
            <w:bottom w:val="none" w:sz="0" w:space="0" w:color="auto"/>
            <w:right w:val="none" w:sz="0" w:space="0" w:color="auto"/>
          </w:divBdr>
        </w:div>
        <w:div w:id="557324209">
          <w:marLeft w:val="0"/>
          <w:marRight w:val="0"/>
          <w:marTop w:val="0"/>
          <w:marBottom w:val="0"/>
          <w:divBdr>
            <w:top w:val="none" w:sz="0" w:space="0" w:color="auto"/>
            <w:left w:val="none" w:sz="0" w:space="0" w:color="auto"/>
            <w:bottom w:val="none" w:sz="0" w:space="0" w:color="auto"/>
            <w:right w:val="none" w:sz="0" w:space="0" w:color="auto"/>
          </w:divBdr>
        </w:div>
        <w:div w:id="15733568">
          <w:marLeft w:val="0"/>
          <w:marRight w:val="0"/>
          <w:marTop w:val="0"/>
          <w:marBottom w:val="0"/>
          <w:divBdr>
            <w:top w:val="none" w:sz="0" w:space="0" w:color="auto"/>
            <w:left w:val="none" w:sz="0" w:space="0" w:color="auto"/>
            <w:bottom w:val="none" w:sz="0" w:space="0" w:color="auto"/>
            <w:right w:val="none" w:sz="0" w:space="0" w:color="auto"/>
          </w:divBdr>
        </w:div>
        <w:div w:id="2088531377">
          <w:marLeft w:val="0"/>
          <w:marRight w:val="0"/>
          <w:marTop w:val="0"/>
          <w:marBottom w:val="0"/>
          <w:divBdr>
            <w:top w:val="none" w:sz="0" w:space="0" w:color="auto"/>
            <w:left w:val="none" w:sz="0" w:space="0" w:color="auto"/>
            <w:bottom w:val="none" w:sz="0" w:space="0" w:color="auto"/>
            <w:right w:val="none" w:sz="0" w:space="0" w:color="auto"/>
          </w:divBdr>
        </w:div>
        <w:div w:id="887768420">
          <w:marLeft w:val="0"/>
          <w:marRight w:val="0"/>
          <w:marTop w:val="0"/>
          <w:marBottom w:val="0"/>
          <w:divBdr>
            <w:top w:val="none" w:sz="0" w:space="0" w:color="auto"/>
            <w:left w:val="none" w:sz="0" w:space="0" w:color="auto"/>
            <w:bottom w:val="none" w:sz="0" w:space="0" w:color="auto"/>
            <w:right w:val="none" w:sz="0" w:space="0" w:color="auto"/>
          </w:divBdr>
        </w:div>
      </w:divsChild>
    </w:div>
    <w:div w:id="914705839">
      <w:bodyDiv w:val="1"/>
      <w:marLeft w:val="0"/>
      <w:marRight w:val="0"/>
      <w:marTop w:val="0"/>
      <w:marBottom w:val="0"/>
      <w:divBdr>
        <w:top w:val="none" w:sz="0" w:space="0" w:color="auto"/>
        <w:left w:val="none" w:sz="0" w:space="0" w:color="auto"/>
        <w:bottom w:val="none" w:sz="0" w:space="0" w:color="auto"/>
        <w:right w:val="none" w:sz="0" w:space="0" w:color="auto"/>
      </w:divBdr>
    </w:div>
    <w:div w:id="1073159295">
      <w:bodyDiv w:val="1"/>
      <w:marLeft w:val="0"/>
      <w:marRight w:val="0"/>
      <w:marTop w:val="0"/>
      <w:marBottom w:val="0"/>
      <w:divBdr>
        <w:top w:val="none" w:sz="0" w:space="0" w:color="auto"/>
        <w:left w:val="none" w:sz="0" w:space="0" w:color="auto"/>
        <w:bottom w:val="none" w:sz="0" w:space="0" w:color="auto"/>
        <w:right w:val="none" w:sz="0" w:space="0" w:color="auto"/>
      </w:divBdr>
    </w:div>
    <w:div w:id="1128209652">
      <w:bodyDiv w:val="1"/>
      <w:marLeft w:val="0"/>
      <w:marRight w:val="0"/>
      <w:marTop w:val="0"/>
      <w:marBottom w:val="0"/>
      <w:divBdr>
        <w:top w:val="none" w:sz="0" w:space="0" w:color="auto"/>
        <w:left w:val="none" w:sz="0" w:space="0" w:color="auto"/>
        <w:bottom w:val="none" w:sz="0" w:space="0" w:color="auto"/>
        <w:right w:val="none" w:sz="0" w:space="0" w:color="auto"/>
      </w:divBdr>
    </w:div>
    <w:div w:id="1262761001">
      <w:bodyDiv w:val="1"/>
      <w:marLeft w:val="0"/>
      <w:marRight w:val="0"/>
      <w:marTop w:val="0"/>
      <w:marBottom w:val="0"/>
      <w:divBdr>
        <w:top w:val="none" w:sz="0" w:space="0" w:color="auto"/>
        <w:left w:val="none" w:sz="0" w:space="0" w:color="auto"/>
        <w:bottom w:val="none" w:sz="0" w:space="0" w:color="auto"/>
        <w:right w:val="none" w:sz="0" w:space="0" w:color="auto"/>
      </w:divBdr>
    </w:div>
    <w:div w:id="1392927619">
      <w:bodyDiv w:val="1"/>
      <w:marLeft w:val="0"/>
      <w:marRight w:val="0"/>
      <w:marTop w:val="0"/>
      <w:marBottom w:val="0"/>
      <w:divBdr>
        <w:top w:val="none" w:sz="0" w:space="0" w:color="auto"/>
        <w:left w:val="none" w:sz="0" w:space="0" w:color="auto"/>
        <w:bottom w:val="none" w:sz="0" w:space="0" w:color="auto"/>
        <w:right w:val="none" w:sz="0" w:space="0" w:color="auto"/>
      </w:divBdr>
    </w:div>
    <w:div w:id="1430155405">
      <w:bodyDiv w:val="1"/>
      <w:marLeft w:val="0"/>
      <w:marRight w:val="0"/>
      <w:marTop w:val="0"/>
      <w:marBottom w:val="0"/>
      <w:divBdr>
        <w:top w:val="none" w:sz="0" w:space="0" w:color="auto"/>
        <w:left w:val="none" w:sz="0" w:space="0" w:color="auto"/>
        <w:bottom w:val="none" w:sz="0" w:space="0" w:color="auto"/>
        <w:right w:val="none" w:sz="0" w:space="0" w:color="auto"/>
      </w:divBdr>
    </w:div>
    <w:div w:id="1622104132">
      <w:bodyDiv w:val="1"/>
      <w:marLeft w:val="0"/>
      <w:marRight w:val="0"/>
      <w:marTop w:val="0"/>
      <w:marBottom w:val="0"/>
      <w:divBdr>
        <w:top w:val="none" w:sz="0" w:space="0" w:color="auto"/>
        <w:left w:val="none" w:sz="0" w:space="0" w:color="auto"/>
        <w:bottom w:val="none" w:sz="0" w:space="0" w:color="auto"/>
        <w:right w:val="none" w:sz="0" w:space="0" w:color="auto"/>
      </w:divBdr>
    </w:div>
    <w:div w:id="1772894083">
      <w:bodyDiv w:val="1"/>
      <w:marLeft w:val="0"/>
      <w:marRight w:val="0"/>
      <w:marTop w:val="0"/>
      <w:marBottom w:val="0"/>
      <w:divBdr>
        <w:top w:val="none" w:sz="0" w:space="0" w:color="auto"/>
        <w:left w:val="none" w:sz="0" w:space="0" w:color="auto"/>
        <w:bottom w:val="none" w:sz="0" w:space="0" w:color="auto"/>
        <w:right w:val="none" w:sz="0" w:space="0" w:color="auto"/>
      </w:divBdr>
    </w:div>
    <w:div w:id="1788309961">
      <w:bodyDiv w:val="1"/>
      <w:marLeft w:val="0"/>
      <w:marRight w:val="0"/>
      <w:marTop w:val="0"/>
      <w:marBottom w:val="0"/>
      <w:divBdr>
        <w:top w:val="none" w:sz="0" w:space="0" w:color="auto"/>
        <w:left w:val="none" w:sz="0" w:space="0" w:color="auto"/>
        <w:bottom w:val="none" w:sz="0" w:space="0" w:color="auto"/>
        <w:right w:val="none" w:sz="0" w:space="0" w:color="auto"/>
      </w:divBdr>
    </w:div>
    <w:div w:id="1806119844">
      <w:bodyDiv w:val="1"/>
      <w:marLeft w:val="0"/>
      <w:marRight w:val="0"/>
      <w:marTop w:val="0"/>
      <w:marBottom w:val="0"/>
      <w:divBdr>
        <w:top w:val="none" w:sz="0" w:space="0" w:color="auto"/>
        <w:left w:val="none" w:sz="0" w:space="0" w:color="auto"/>
        <w:bottom w:val="none" w:sz="0" w:space="0" w:color="auto"/>
        <w:right w:val="none" w:sz="0" w:space="0" w:color="auto"/>
      </w:divBdr>
    </w:div>
    <w:div w:id="1875118825">
      <w:bodyDiv w:val="1"/>
      <w:marLeft w:val="0"/>
      <w:marRight w:val="0"/>
      <w:marTop w:val="0"/>
      <w:marBottom w:val="0"/>
      <w:divBdr>
        <w:top w:val="none" w:sz="0" w:space="0" w:color="auto"/>
        <w:left w:val="none" w:sz="0" w:space="0" w:color="auto"/>
        <w:bottom w:val="none" w:sz="0" w:space="0" w:color="auto"/>
        <w:right w:val="none" w:sz="0" w:space="0" w:color="auto"/>
      </w:divBdr>
    </w:div>
    <w:div w:id="2037922247">
      <w:bodyDiv w:val="1"/>
      <w:marLeft w:val="0"/>
      <w:marRight w:val="0"/>
      <w:marTop w:val="0"/>
      <w:marBottom w:val="0"/>
      <w:divBdr>
        <w:top w:val="none" w:sz="0" w:space="0" w:color="auto"/>
        <w:left w:val="none" w:sz="0" w:space="0" w:color="auto"/>
        <w:bottom w:val="none" w:sz="0" w:space="0" w:color="auto"/>
        <w:right w:val="none" w:sz="0" w:space="0" w:color="auto"/>
      </w:divBdr>
    </w:div>
    <w:div w:id="207192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eb2.westlaw.com/find/default.wl?mt=Westlaw&amp;db=780&amp;tc=-1&amp;rp=%2ffind%2fdefault.wl&amp;findtype=Y&amp;ordoc=2000507006&amp;serialnum=1983129661&amp;vr=2.0&amp;fn=_top&amp;sv=Split&amp;tf=-1&amp;referencepositiontype=S&amp;pbc=205E5DE8&amp;referenceposition=43&amp;rs=WLW13.04" TargetMode="External"/><Relationship Id="rId1" Type="http://schemas.openxmlformats.org/officeDocument/2006/relationships/hyperlink" Target="http://web2.westlaw.com/find/default.wl?mt=Westlaw&amp;db=0004493&amp;tc=-1&amp;rp=%2ffind%2fdefault.wl&amp;findtype=Y&amp;ordoc=2029345501&amp;serialnum=2000042034&amp;vr=2.0&amp;fn=_top&amp;sv=Split&amp;tf=-1&amp;referencepositiontype=S&amp;pbc=324E286B&amp;referenceposition=2220&amp;rs=WLW1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8987</Words>
  <Characters>49981</Characters>
  <Application>Microsoft Office Word</Application>
  <DocSecurity>0</DocSecurity>
  <Lines>793</Lines>
  <Paragraphs>145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59136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2013-10-17T17:24:00Z</dcterms:created>
  <dcterms:modified xsi:type="dcterms:W3CDTF">2013-10-17T17:24:00Z</dcterms:modified>
  <cp:category> </cp:category>
  <cp:contentStatus> </cp:contentStatus>
</cp:coreProperties>
</file>