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FA" w:rsidRPr="005D7567" w:rsidRDefault="002969FA" w:rsidP="00D03910">
      <w:pPr>
        <w:keepNext/>
        <w:widowControl/>
        <w:jc w:val="center"/>
        <w:rPr>
          <w:b/>
        </w:rPr>
      </w:pPr>
      <w:bookmarkStart w:id="0" w:name="_GoBack"/>
      <w:bookmarkEnd w:id="0"/>
      <w:r w:rsidRPr="005D7567">
        <w:rPr>
          <w:rFonts w:ascii="Times New Roman Bold" w:hAnsi="Times New Roman Bold"/>
          <w:b/>
          <w:kern w:val="0"/>
        </w:rPr>
        <w:t>Before</w:t>
      </w:r>
      <w:r w:rsidRPr="005D7567">
        <w:rPr>
          <w:b/>
        </w:rPr>
        <w:t xml:space="preserve"> the</w:t>
      </w:r>
    </w:p>
    <w:p w:rsidR="002969FA" w:rsidRPr="005D7567" w:rsidRDefault="002969FA" w:rsidP="00D03910">
      <w:pPr>
        <w:pStyle w:val="StyleBoldCentered"/>
        <w:keepNext/>
        <w:widowControl/>
      </w:pPr>
      <w:r w:rsidRPr="005D7567">
        <w:t>F</w:t>
      </w:r>
      <w:r w:rsidRPr="005D7567">
        <w:rPr>
          <w:caps w:val="0"/>
        </w:rPr>
        <w:t>ederal Communications Commission</w:t>
      </w:r>
    </w:p>
    <w:p w:rsidR="002969FA" w:rsidRPr="005D7567" w:rsidRDefault="002969FA" w:rsidP="00D03910">
      <w:pPr>
        <w:pStyle w:val="StyleBoldCentered"/>
        <w:keepNext/>
        <w:widowControl/>
      </w:pPr>
      <w:r w:rsidRPr="005D7567">
        <w:rPr>
          <w:caps w:val="0"/>
        </w:rPr>
        <w:t>Washington, D.C. 20554</w:t>
      </w:r>
    </w:p>
    <w:p w:rsidR="002969FA" w:rsidRPr="005D7567" w:rsidRDefault="002969FA" w:rsidP="00D03910">
      <w:pPr>
        <w:keepNext/>
        <w:widowControl/>
      </w:pPr>
    </w:p>
    <w:p w:rsidR="002969FA" w:rsidRPr="005D7567" w:rsidRDefault="002969FA" w:rsidP="00D03910">
      <w:pPr>
        <w:keepNext/>
        <w:widowControl/>
      </w:pPr>
    </w:p>
    <w:tbl>
      <w:tblPr>
        <w:tblW w:w="0" w:type="auto"/>
        <w:tblLayout w:type="fixed"/>
        <w:tblLook w:val="0000" w:firstRow="0" w:lastRow="0" w:firstColumn="0" w:lastColumn="0" w:noHBand="0" w:noVBand="0"/>
      </w:tblPr>
      <w:tblGrid>
        <w:gridCol w:w="4698"/>
        <w:gridCol w:w="630"/>
        <w:gridCol w:w="4248"/>
      </w:tblGrid>
      <w:tr w:rsidR="002969FA" w:rsidRPr="005D7567">
        <w:tc>
          <w:tcPr>
            <w:tcW w:w="4698" w:type="dxa"/>
          </w:tcPr>
          <w:p w:rsidR="002969FA" w:rsidRPr="005D7567" w:rsidRDefault="002969FA" w:rsidP="00D03910">
            <w:pPr>
              <w:keepNext/>
              <w:widowControl/>
              <w:tabs>
                <w:tab w:val="center" w:pos="4680"/>
              </w:tabs>
              <w:suppressAutoHyphens/>
              <w:rPr>
                <w:spacing w:val="-2"/>
              </w:rPr>
            </w:pPr>
            <w:r w:rsidRPr="005D7567">
              <w:rPr>
                <w:spacing w:val="-2"/>
              </w:rPr>
              <w:t>In the Matter of</w:t>
            </w: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pacing w:val="-2"/>
              </w:rPr>
            </w:pPr>
            <w:r w:rsidRPr="005D7567">
              <w:rPr>
                <w:spacing w:val="-2"/>
              </w:rPr>
              <w:t>Promoting Interoperability in the 700 MHz Commercial Spectrum</w:t>
            </w: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pacing w:val="-2"/>
              </w:rPr>
            </w:pPr>
            <w:r w:rsidRPr="005D7567">
              <w:rPr>
                <w:spacing w:val="-2"/>
              </w:rPr>
              <w:t>Requests for Waiver and Extension of Lower 700 MHz Band Interim Construction Benchmark Deadlines</w:t>
            </w:r>
          </w:p>
        </w:tc>
        <w:tc>
          <w:tcPr>
            <w:tcW w:w="630" w:type="dxa"/>
          </w:tcPr>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b/>
                <w:spacing w:val="-2"/>
              </w:rPr>
            </w:pPr>
            <w:r w:rsidRPr="005D7567">
              <w:rPr>
                <w:b/>
                <w:spacing w:val="-2"/>
              </w:rPr>
              <w:t>)</w:t>
            </w:r>
          </w:p>
          <w:p w:rsidR="002969FA" w:rsidRPr="005D7567" w:rsidRDefault="002969FA" w:rsidP="00D03910">
            <w:pPr>
              <w:keepNext/>
              <w:widowControl/>
              <w:tabs>
                <w:tab w:val="center" w:pos="4680"/>
              </w:tabs>
              <w:suppressAutoHyphens/>
              <w:rPr>
                <w:spacing w:val="-2"/>
              </w:rPr>
            </w:pPr>
            <w:r w:rsidRPr="005D7567">
              <w:rPr>
                <w:b/>
                <w:spacing w:val="-2"/>
              </w:rPr>
              <w:t>)</w:t>
            </w:r>
          </w:p>
        </w:tc>
        <w:tc>
          <w:tcPr>
            <w:tcW w:w="4248" w:type="dxa"/>
          </w:tcPr>
          <w:p w:rsidR="002969FA" w:rsidRPr="005D7567" w:rsidRDefault="002969FA" w:rsidP="00D03910">
            <w:pPr>
              <w:keepNext/>
              <w:widowControl/>
              <w:tabs>
                <w:tab w:val="center" w:pos="4680"/>
              </w:tabs>
              <w:suppressAutoHyphens/>
              <w:rPr>
                <w:spacing w:val="-2"/>
              </w:rPr>
            </w:pPr>
          </w:p>
          <w:p w:rsidR="002969FA" w:rsidRPr="005D7567" w:rsidRDefault="002969FA" w:rsidP="00D03910">
            <w:pPr>
              <w:pStyle w:val="TOAHeading"/>
              <w:keepNext/>
              <w:widowControl/>
              <w:tabs>
                <w:tab w:val="clear" w:pos="9360"/>
                <w:tab w:val="center" w:pos="4680"/>
              </w:tabs>
              <w:rPr>
                <w:snapToGrid/>
                <w:spacing w:val="-2"/>
              </w:rPr>
            </w:pPr>
          </w:p>
          <w:p w:rsidR="002969FA" w:rsidRPr="005D7567" w:rsidRDefault="002969FA" w:rsidP="00D03910">
            <w:pPr>
              <w:keepNext/>
              <w:widowControl/>
              <w:tabs>
                <w:tab w:val="center" w:pos="4680"/>
              </w:tabs>
              <w:suppressAutoHyphens/>
              <w:rPr>
                <w:spacing w:val="-2"/>
              </w:rPr>
            </w:pPr>
            <w:r w:rsidRPr="005D7567">
              <w:rPr>
                <w:spacing w:val="-2"/>
              </w:rPr>
              <w:t>WT Docket No. 12-69</w:t>
            </w: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pacing w:val="-2"/>
              </w:rPr>
            </w:pPr>
          </w:p>
          <w:p w:rsidR="002969FA" w:rsidRPr="005D7567" w:rsidRDefault="002969FA" w:rsidP="00D03910">
            <w:pPr>
              <w:keepNext/>
              <w:widowControl/>
              <w:tabs>
                <w:tab w:val="center" w:pos="4680"/>
              </w:tabs>
              <w:suppressAutoHyphens/>
              <w:rPr>
                <w:snapToGrid/>
                <w:spacing w:val="-2"/>
              </w:rPr>
            </w:pPr>
            <w:r w:rsidRPr="005D7567">
              <w:rPr>
                <w:spacing w:val="-2"/>
              </w:rPr>
              <w:t>WT Docket No. 12-332</w:t>
            </w:r>
          </w:p>
        </w:tc>
      </w:tr>
    </w:tbl>
    <w:p w:rsidR="002969FA" w:rsidRPr="005D7567" w:rsidRDefault="002969FA" w:rsidP="00D03910">
      <w:pPr>
        <w:keepNext/>
        <w:widowControl/>
      </w:pPr>
    </w:p>
    <w:p w:rsidR="002969FA" w:rsidRPr="005D7567" w:rsidRDefault="002969FA" w:rsidP="00D03910">
      <w:pPr>
        <w:pStyle w:val="StyleBoldCentered"/>
        <w:keepNext/>
        <w:widowControl/>
      </w:pPr>
      <w:r w:rsidRPr="005D7567">
        <w:t>Report and order</w:t>
      </w:r>
      <w:r w:rsidR="00253623">
        <w:t xml:space="preserve"> and order of proposed modification</w:t>
      </w:r>
    </w:p>
    <w:p w:rsidR="002969FA" w:rsidRPr="005D7567" w:rsidRDefault="002969FA" w:rsidP="00D03910">
      <w:pPr>
        <w:keepNext/>
        <w:widowControl/>
        <w:tabs>
          <w:tab w:val="left" w:pos="-720"/>
        </w:tabs>
        <w:suppressAutoHyphens/>
        <w:spacing w:line="227" w:lineRule="auto"/>
        <w:rPr>
          <w:spacing w:val="-2"/>
        </w:rPr>
      </w:pPr>
    </w:p>
    <w:p w:rsidR="002969FA" w:rsidRPr="005D7567" w:rsidRDefault="00D01F71" w:rsidP="00D03910">
      <w:pPr>
        <w:keepNext/>
        <w:widowControl/>
        <w:tabs>
          <w:tab w:val="left" w:pos="720"/>
          <w:tab w:val="right" w:pos="9360"/>
        </w:tabs>
        <w:suppressAutoHyphens/>
        <w:spacing w:line="227" w:lineRule="auto"/>
        <w:rPr>
          <w:spacing w:val="-2"/>
        </w:rPr>
      </w:pPr>
      <w:r>
        <w:rPr>
          <w:b/>
          <w:spacing w:val="-2"/>
        </w:rPr>
        <w:t xml:space="preserve">Adopted:  </w:t>
      </w:r>
      <w:r w:rsidR="00457ED8">
        <w:rPr>
          <w:b/>
          <w:spacing w:val="-2"/>
        </w:rPr>
        <w:t>October</w:t>
      </w:r>
      <w:r w:rsidR="00C943AB">
        <w:rPr>
          <w:b/>
          <w:spacing w:val="-2"/>
        </w:rPr>
        <w:t xml:space="preserve"> </w:t>
      </w:r>
      <w:r w:rsidR="00D03910">
        <w:rPr>
          <w:b/>
          <w:spacing w:val="-2"/>
        </w:rPr>
        <w:t>25, 2013</w:t>
      </w:r>
      <w:r w:rsidR="00D03910">
        <w:rPr>
          <w:b/>
          <w:spacing w:val="-2"/>
        </w:rPr>
        <w:tab/>
        <w:t>Released: October 29</w:t>
      </w:r>
      <w:r w:rsidR="00E85E82">
        <w:rPr>
          <w:b/>
          <w:spacing w:val="-2"/>
        </w:rPr>
        <w:t>, 2013</w:t>
      </w:r>
    </w:p>
    <w:p w:rsidR="002969FA" w:rsidRPr="005D7567" w:rsidRDefault="002969FA" w:rsidP="00D03910">
      <w:pPr>
        <w:keepNext/>
        <w:widowControl/>
      </w:pPr>
    </w:p>
    <w:p w:rsidR="002969FA" w:rsidRPr="005D7567" w:rsidRDefault="002969FA" w:rsidP="00D03910">
      <w:pPr>
        <w:keepNext/>
        <w:widowControl/>
        <w:rPr>
          <w:spacing w:val="-2"/>
        </w:rPr>
      </w:pPr>
      <w:r w:rsidRPr="005D7567">
        <w:t xml:space="preserve">By the </w:t>
      </w:r>
      <w:r w:rsidRPr="005D7567">
        <w:rPr>
          <w:spacing w:val="-2"/>
        </w:rPr>
        <w:t>Commission</w:t>
      </w:r>
      <w:r w:rsidR="006A66D0">
        <w:rPr>
          <w:spacing w:val="-2"/>
        </w:rPr>
        <w:t xml:space="preserve">:  </w:t>
      </w:r>
      <w:r w:rsidR="00460F5D">
        <w:rPr>
          <w:spacing w:val="-2"/>
        </w:rPr>
        <w:t xml:space="preserve">Acting </w:t>
      </w:r>
      <w:r w:rsidR="006A66D0">
        <w:rPr>
          <w:bCs/>
        </w:rPr>
        <w:t>Chairwoman Clyburn and Commissioner Rosenworcel issuing separate statements.</w:t>
      </w:r>
    </w:p>
    <w:p w:rsidR="009E514C" w:rsidRDefault="009E514C" w:rsidP="00D03910">
      <w:pPr>
        <w:pStyle w:val="TOCTitle"/>
        <w:keepNext/>
        <w:widowControl/>
      </w:pPr>
      <w:bookmarkStart w:id="1" w:name="TOChere"/>
      <w:r>
        <w:t>Table of Contents</w:t>
      </w:r>
    </w:p>
    <w:p w:rsidR="009E514C" w:rsidRDefault="009E514C" w:rsidP="00D03910">
      <w:pPr>
        <w:pStyle w:val="Paratitle"/>
        <w:keepNext/>
        <w:widowControl/>
      </w:pPr>
      <w:r>
        <w:t>Heading</w:t>
      </w:r>
      <w:r>
        <w:tab/>
        <w:t>Paragraph #</w:t>
      </w:r>
      <w:bookmarkStart w:id="2" w:name="start_here"/>
      <w:bookmarkEnd w:id="2"/>
    </w:p>
    <w:p w:rsidR="009E514C" w:rsidRDefault="009E514C" w:rsidP="00D03910">
      <w:pPr>
        <w:pStyle w:val="TOC1"/>
        <w:keepNext/>
        <w:widowControl/>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E514C" w:rsidRDefault="009E514C" w:rsidP="00D03910">
      <w:pPr>
        <w:pStyle w:val="TOC1"/>
        <w:keepNext/>
        <w:widowControl/>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9E514C" w:rsidRDefault="009E514C" w:rsidP="00D03910">
      <w:pPr>
        <w:pStyle w:val="TOC1"/>
        <w:keepNext/>
        <w:widowControl/>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13</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rsidRPr="008A056B">
        <w:t>A.</w:t>
      </w:r>
      <w:r>
        <w:rPr>
          <w:rFonts w:asciiTheme="minorHAnsi" w:eastAsiaTheme="minorEastAsia" w:hAnsiTheme="minorHAnsi" w:cstheme="minorBidi"/>
          <w:snapToGrid/>
          <w:kern w:val="0"/>
          <w:szCs w:val="22"/>
        </w:rPr>
        <w:tab/>
      </w:r>
      <w:r w:rsidRPr="008A056B">
        <w:t>Technical Rules for D and E Blocks</w:t>
      </w:r>
      <w:r>
        <w:tab/>
        <w:t>15</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rsidRPr="008A056B">
        <w:t>B.</w:t>
      </w:r>
      <w:r>
        <w:rPr>
          <w:rFonts w:asciiTheme="minorHAnsi" w:eastAsiaTheme="minorEastAsia" w:hAnsiTheme="minorHAnsi" w:cstheme="minorBidi"/>
          <w:snapToGrid/>
          <w:kern w:val="0"/>
          <w:szCs w:val="22"/>
        </w:rPr>
        <w:tab/>
      </w:r>
      <w:r>
        <w:t>Channel 51</w:t>
      </w:r>
      <w:r>
        <w:tab/>
        <w:t>35</w:t>
      </w:r>
    </w:p>
    <w:p w:rsidR="009E514C" w:rsidRDefault="009E514C" w:rsidP="00D03910">
      <w:pPr>
        <w:pStyle w:val="TOC3"/>
        <w:keepNext/>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Pr="008A056B">
        <w:t>Assessment of Likelihood of Reverse Intermodulation Interference</w:t>
      </w:r>
      <w:r>
        <w:tab/>
        <w:t>35</w:t>
      </w:r>
    </w:p>
    <w:p w:rsidR="009E514C" w:rsidRDefault="009E514C" w:rsidP="00D03910">
      <w:pPr>
        <w:pStyle w:val="TOC3"/>
        <w:keepNext/>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Pr="008A056B">
        <w:t>Clearing Channel 51</w:t>
      </w:r>
      <w:r>
        <w:tab/>
        <w:t>43</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Transition to Interoperability</w:t>
      </w:r>
      <w:r>
        <w:tab/>
        <w:t>46</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Performance Requirements and Construction Benchmarks</w:t>
      </w:r>
      <w:r>
        <w:tab/>
        <w:t>55</w:t>
      </w:r>
    </w:p>
    <w:p w:rsidR="009E514C" w:rsidRDefault="009E514C" w:rsidP="00D03910">
      <w:pPr>
        <w:pStyle w:val="TOC3"/>
        <w:keepNext/>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Construction Benchmarks Applicable to Lower 700 MHz E Block</w:t>
      </w:r>
      <w:r>
        <w:tab/>
        <w:t>55</w:t>
      </w:r>
    </w:p>
    <w:p w:rsidR="009E514C" w:rsidRDefault="009E514C" w:rsidP="00D03910">
      <w:pPr>
        <w:pStyle w:val="TOC3"/>
        <w:keepNext/>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Interim Construction Deadlines for A and B Block Licenses</w:t>
      </w:r>
      <w:r>
        <w:tab/>
        <w:t>60</w:t>
      </w:r>
    </w:p>
    <w:p w:rsidR="009E514C" w:rsidRDefault="009E514C" w:rsidP="00D03910">
      <w:pPr>
        <w:pStyle w:val="TOC1"/>
        <w:keepNext/>
        <w:widowControl/>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 o</w:t>
      </w:r>
      <w:r w:rsidRPr="008A056B">
        <w:t>F</w:t>
      </w:r>
      <w:r>
        <w:t xml:space="preserve"> proposed modification</w:t>
      </w:r>
      <w:r>
        <w:tab/>
        <w:t>67</w:t>
      </w:r>
    </w:p>
    <w:p w:rsidR="009E514C" w:rsidRDefault="009E514C" w:rsidP="00D03910">
      <w:pPr>
        <w:pStyle w:val="TOC1"/>
        <w:keepNext/>
        <w:widowControl/>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74</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74</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75</w:t>
      </w:r>
    </w:p>
    <w:p w:rsidR="009E514C" w:rsidRDefault="009E514C" w:rsidP="00D03910">
      <w:pPr>
        <w:pStyle w:val="TOC2"/>
        <w:keepNext/>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Information</w:t>
      </w:r>
      <w:r>
        <w:tab/>
        <w:t>76</w:t>
      </w:r>
    </w:p>
    <w:p w:rsidR="009E514C" w:rsidRPr="009E514C" w:rsidRDefault="009E514C" w:rsidP="00D03910">
      <w:pPr>
        <w:pStyle w:val="TOC1"/>
        <w:keepNext/>
        <w:widowControl/>
        <w:rPr>
          <w:rFonts w:asciiTheme="minorHAnsi" w:eastAsiaTheme="minorEastAsia" w:hAnsiTheme="minorHAnsi" w:cstheme="minorBidi"/>
          <w:caps w:val="0"/>
          <w:snapToGrid/>
          <w:kern w:val="0"/>
          <w:szCs w:val="22"/>
        </w:rPr>
      </w:pPr>
      <w:r w:rsidRPr="008A056B">
        <w:rPr>
          <w:caps w:val="0"/>
        </w:rPr>
        <w:t>VI.</w:t>
      </w:r>
      <w:r>
        <w:rPr>
          <w:rFonts w:asciiTheme="minorHAnsi" w:eastAsiaTheme="minorEastAsia" w:hAnsiTheme="minorHAnsi" w:cstheme="minorBidi"/>
          <w:caps w:val="0"/>
          <w:snapToGrid/>
          <w:kern w:val="0"/>
          <w:szCs w:val="22"/>
        </w:rPr>
        <w:tab/>
      </w:r>
      <w:r>
        <w:t>ORDERING CLAUSES</w:t>
      </w:r>
      <w:r>
        <w:tab/>
        <w:t>77</w:t>
      </w:r>
    </w:p>
    <w:bookmarkEnd w:id="1"/>
    <w:p w:rsidR="002969FA" w:rsidRPr="005D7567" w:rsidRDefault="002969FA" w:rsidP="00D03910">
      <w:pPr>
        <w:keepNext/>
        <w:widowControl/>
      </w:pPr>
      <w:r w:rsidRPr="005D7567">
        <w:t>APPENDIX A</w:t>
      </w:r>
      <w:r w:rsidR="003D3B8B">
        <w:t xml:space="preserve"> – Final Rules</w:t>
      </w:r>
    </w:p>
    <w:p w:rsidR="002969FA" w:rsidRPr="005D7567" w:rsidRDefault="002969FA" w:rsidP="00D03910">
      <w:pPr>
        <w:keepNext/>
        <w:widowControl/>
      </w:pPr>
      <w:r w:rsidRPr="005D7567">
        <w:t>APPENDIX B</w:t>
      </w:r>
      <w:r w:rsidR="003D3B8B">
        <w:t xml:space="preserve"> – Final </w:t>
      </w:r>
      <w:r w:rsidR="003D3B8B" w:rsidRPr="003D3B8B">
        <w:t>Regulatory Flexibility Analysis</w:t>
      </w:r>
    </w:p>
    <w:p w:rsidR="002969FA" w:rsidRDefault="002969FA" w:rsidP="00D03910">
      <w:pPr>
        <w:keepNext/>
        <w:widowControl/>
      </w:pPr>
      <w:r w:rsidRPr="005D7567">
        <w:t>APPENDIX C</w:t>
      </w:r>
      <w:r w:rsidR="003D3B8B">
        <w:t xml:space="preserve"> – List of Commenters</w:t>
      </w:r>
    </w:p>
    <w:p w:rsidR="002969FA" w:rsidRPr="005D7567" w:rsidRDefault="002969FA" w:rsidP="00D03910">
      <w:pPr>
        <w:keepNext/>
        <w:widowControl/>
      </w:pPr>
    </w:p>
    <w:p w:rsidR="002969FA" w:rsidRPr="005D7567" w:rsidRDefault="002969FA" w:rsidP="00D03910">
      <w:pPr>
        <w:pStyle w:val="Heading1"/>
        <w:widowControl/>
      </w:pPr>
      <w:bookmarkStart w:id="3" w:name="_Toc365289467"/>
      <w:bookmarkStart w:id="4" w:name="_Toc365297784"/>
      <w:bookmarkStart w:id="5" w:name="_Toc366080746"/>
      <w:bookmarkStart w:id="6" w:name="_Toc366081282"/>
      <w:bookmarkStart w:id="7" w:name="_Toc366142301"/>
      <w:bookmarkStart w:id="8" w:name="_Toc366160454"/>
      <w:bookmarkStart w:id="9" w:name="_Toc366161306"/>
      <w:bookmarkStart w:id="10" w:name="_Toc366677414"/>
      <w:bookmarkStart w:id="11" w:name="_Toc366696620"/>
      <w:bookmarkStart w:id="12" w:name="_Toc366740262"/>
      <w:bookmarkStart w:id="13" w:name="_Toc366766669"/>
      <w:bookmarkStart w:id="14" w:name="_Toc366771496"/>
      <w:bookmarkStart w:id="15" w:name="_Toc367201501"/>
      <w:bookmarkStart w:id="16" w:name="_Toc367297826"/>
      <w:bookmarkStart w:id="17" w:name="_Toc367384476"/>
      <w:bookmarkStart w:id="18" w:name="_Toc367385261"/>
      <w:bookmarkStart w:id="19" w:name="_Toc367463239"/>
      <w:bookmarkStart w:id="20" w:name="_Toc367715571"/>
      <w:bookmarkStart w:id="21" w:name="_Toc367975859"/>
      <w:bookmarkStart w:id="22" w:name="_Toc367978232"/>
      <w:bookmarkStart w:id="23" w:name="_Toc368049344"/>
      <w:bookmarkStart w:id="24" w:name="_Toc370401662"/>
      <w:r w:rsidRPr="005D7567">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969FA" w:rsidRPr="005D7567" w:rsidRDefault="002969FA" w:rsidP="00D03910">
      <w:pPr>
        <w:pStyle w:val="ParaNum"/>
        <w:keepNext/>
        <w:widowControl/>
        <w:snapToGrid w:val="0"/>
      </w:pPr>
      <w:bookmarkStart w:id="25" w:name="_Ref318896618"/>
      <w:bookmarkStart w:id="26" w:name="_Toc319056111"/>
      <w:bookmarkStart w:id="27" w:name="_Toc319073332"/>
      <w:bookmarkStart w:id="28" w:name="_Toc319077493"/>
      <w:bookmarkStart w:id="29" w:name="_Toc319316404"/>
      <w:bookmarkStart w:id="30" w:name="_Toc319402095"/>
      <w:bookmarkStart w:id="31" w:name="_Toc319571054"/>
      <w:bookmarkStart w:id="32" w:name="_Toc319573091"/>
      <w:bookmarkStart w:id="33" w:name="_Toc319947286"/>
      <w:bookmarkStart w:id="34" w:name="_Toc320013925"/>
      <w:bookmarkStart w:id="35" w:name="_Toc320085406"/>
      <w:bookmarkStart w:id="36" w:name="_Toc234806606"/>
      <w:bookmarkStart w:id="37" w:name="_Toc235253981"/>
      <w:bookmarkStart w:id="38" w:name="_Toc235499922"/>
      <w:bookmarkStart w:id="39" w:name="_Toc238548877"/>
      <w:bookmarkStart w:id="40" w:name="_Toc238549469"/>
      <w:bookmarkStart w:id="41" w:name="_Toc238612108"/>
      <w:bookmarkStart w:id="42" w:name="_Toc238612295"/>
      <w:bookmarkStart w:id="43" w:name="_Toc238612702"/>
      <w:bookmarkStart w:id="44" w:name="_Toc245199532"/>
      <w:bookmarkStart w:id="45" w:name="_Toc245202261"/>
      <w:bookmarkStart w:id="46" w:name="_Toc313637333"/>
      <w:bookmarkStart w:id="47" w:name="_Toc313637834"/>
      <w:bookmarkStart w:id="48" w:name="_Toc313638339"/>
      <w:bookmarkStart w:id="49" w:name="_Toc313880975"/>
      <w:bookmarkStart w:id="50" w:name="_Toc314216615"/>
      <w:bookmarkStart w:id="51" w:name="_Toc314216849"/>
      <w:bookmarkStart w:id="52" w:name="_Toc314218106"/>
      <w:bookmarkStart w:id="53" w:name="_Toc314228846"/>
      <w:bookmarkStart w:id="54" w:name="_Toc314229163"/>
      <w:bookmarkStart w:id="55" w:name="_Toc314234400"/>
      <w:bookmarkStart w:id="56" w:name="_Toc314234855"/>
      <w:bookmarkStart w:id="57" w:name="_Toc314235986"/>
      <w:bookmarkStart w:id="58" w:name="_Toc314238350"/>
      <w:bookmarkStart w:id="59" w:name="_Toc315339204"/>
      <w:bookmarkStart w:id="60" w:name="_Toc315342241"/>
      <w:bookmarkStart w:id="61" w:name="_Toc315344676"/>
      <w:bookmarkStart w:id="62" w:name="_Toc314216611"/>
      <w:bookmarkStart w:id="63" w:name="_Toc314216845"/>
      <w:bookmarkStart w:id="64" w:name="_Toc314218100"/>
      <w:bookmarkStart w:id="65" w:name="_Toc314228840"/>
      <w:bookmarkStart w:id="66" w:name="_Toc314229157"/>
      <w:bookmarkStart w:id="67" w:name="_Toc314234394"/>
      <w:bookmarkStart w:id="68" w:name="_Toc314234849"/>
      <w:bookmarkStart w:id="69" w:name="_Toc314235980"/>
      <w:bookmarkStart w:id="70" w:name="_Toc314238344"/>
      <w:bookmarkStart w:id="71" w:name="_Toc315349164"/>
      <w:bookmarkStart w:id="72" w:name="_Toc315349269"/>
      <w:bookmarkStart w:id="73" w:name="_Toc315349691"/>
      <w:bookmarkStart w:id="74" w:name="_Toc315351088"/>
      <w:bookmarkStart w:id="75" w:name="_Toc313634747"/>
      <w:bookmarkStart w:id="76" w:name="_Toc313635149"/>
      <w:bookmarkStart w:id="77" w:name="_Toc313635170"/>
      <w:bookmarkStart w:id="78" w:name="_Toc313635217"/>
      <w:bookmarkStart w:id="79" w:name="_Toc313635264"/>
      <w:bookmarkStart w:id="80" w:name="_Toc313635783"/>
      <w:bookmarkStart w:id="81" w:name="_Toc313635849"/>
      <w:bookmarkStart w:id="82" w:name="_Toc313636623"/>
      <w:bookmarkStart w:id="83" w:name="_Toc313637311"/>
      <w:bookmarkStart w:id="84" w:name="_Toc313637812"/>
      <w:bookmarkStart w:id="85" w:name="_Toc313638318"/>
      <w:bookmarkStart w:id="86" w:name="_Toc313880953"/>
      <w:bookmarkStart w:id="87" w:name="_Toc314216588"/>
      <w:bookmarkStart w:id="88" w:name="_Toc314216823"/>
      <w:bookmarkStart w:id="89" w:name="_Toc314218078"/>
      <w:bookmarkStart w:id="90" w:name="_Toc314228818"/>
      <w:bookmarkStart w:id="91" w:name="_Toc314229135"/>
      <w:bookmarkStart w:id="92" w:name="_Toc314234376"/>
      <w:bookmarkStart w:id="93" w:name="_Toc314234831"/>
      <w:bookmarkStart w:id="94" w:name="_Toc314235962"/>
      <w:bookmarkStart w:id="95" w:name="_Toc314238326"/>
      <w:bookmarkStart w:id="96" w:name="_Toc314240034"/>
      <w:bookmarkStart w:id="97" w:name="_Toc315349268"/>
      <w:bookmarkStart w:id="98" w:name="_Toc315349690"/>
      <w:bookmarkStart w:id="99" w:name="_Toc315351080"/>
      <w:bookmarkStart w:id="100" w:name="_Toc315352156"/>
      <w:bookmarkStart w:id="101" w:name="_Toc315443512"/>
      <w:bookmarkStart w:id="102" w:name="_Toc316028540"/>
      <w:bookmarkStart w:id="103" w:name="_Toc316030655"/>
      <w:bookmarkStart w:id="104" w:name="_Toc316032481"/>
      <w:bookmarkStart w:id="105" w:name="_Toc316033677"/>
      <w:bookmarkStart w:id="106" w:name="_Toc316036951"/>
      <w:bookmarkStart w:id="107" w:name="_Toc316037216"/>
      <w:bookmarkStart w:id="108" w:name="_Toc316038248"/>
      <w:bookmarkStart w:id="109" w:name="_Toc316038436"/>
      <w:bookmarkStart w:id="110" w:name="_Toc316038528"/>
      <w:bookmarkStart w:id="111" w:name="_Toc316041873"/>
      <w:bookmarkStart w:id="112" w:name="_Toc316043736"/>
      <w:bookmarkStart w:id="113" w:name="_Toc316059792"/>
      <w:bookmarkStart w:id="114" w:name="_Toc316060927"/>
      <w:bookmarkStart w:id="115" w:name="_Toc316392541"/>
      <w:bookmarkStart w:id="116" w:name="_Toc316393247"/>
      <w:bookmarkStart w:id="117" w:name="_Toc316393413"/>
      <w:bookmarkStart w:id="118" w:name="_Toc316394206"/>
      <w:bookmarkStart w:id="119" w:name="_Toc316396193"/>
      <w:r>
        <w:t>In this Report and Order</w:t>
      </w:r>
      <w:r w:rsidR="00117DC2">
        <w:rPr>
          <w:lang w:val="en-US"/>
        </w:rPr>
        <w:t xml:space="preserve"> and Order of Proposed Modification</w:t>
      </w:r>
      <w:r>
        <w:t>, we take certain steps to implement an</w:t>
      </w:r>
      <w:r w:rsidRPr="00B87B01">
        <w:t xml:space="preserve"> industry solution</w:t>
      </w:r>
      <w:r w:rsidDel="00B87B01">
        <w:t xml:space="preserve"> </w:t>
      </w:r>
      <w:r>
        <w:t xml:space="preserve">to provide interoperable </w:t>
      </w:r>
      <w:r w:rsidR="00253623">
        <w:t>Long Term Evolution (</w:t>
      </w:r>
      <w:r>
        <w:t>LTE</w:t>
      </w:r>
      <w:r w:rsidR="00253623">
        <w:t>)</w:t>
      </w:r>
      <w:r>
        <w:t xml:space="preserve"> service in the L</w:t>
      </w:r>
      <w:r w:rsidRPr="006E2B83">
        <w:t xml:space="preserve">ower 700 MHz band in </w:t>
      </w:r>
      <w:r>
        <w:t>an</w:t>
      </w:r>
      <w:r w:rsidRPr="006E2B83">
        <w:t xml:space="preserve"> efficient </w:t>
      </w:r>
      <w:r>
        <w:t xml:space="preserve">and effective </w:t>
      </w:r>
      <w:r w:rsidRPr="006E2B83">
        <w:t>manner</w:t>
      </w:r>
      <w:r>
        <w:t xml:space="preserve"> to </w:t>
      </w:r>
      <w:r w:rsidR="005541C0">
        <w:rPr>
          <w:lang w:val="en-US"/>
        </w:rPr>
        <w:t xml:space="preserve">improve choice and quality for consumers of </w:t>
      </w:r>
      <w:r w:rsidR="005541C0">
        <w:rPr>
          <w:lang w:val="en-US"/>
        </w:rPr>
        <w:lastRenderedPageBreak/>
        <w:t>mobile services</w:t>
      </w:r>
      <w:r w:rsidR="00253623">
        <w:t xml:space="preserve">.  A number of the principal wireless providers licensed in this band, along with the Competitive Carriers Association, </w:t>
      </w:r>
      <w:r w:rsidRPr="006E2B83">
        <w:t xml:space="preserve">have </w:t>
      </w:r>
      <w:r w:rsidR="005541C0">
        <w:rPr>
          <w:lang w:val="en-US"/>
        </w:rPr>
        <w:t>developed</w:t>
      </w:r>
      <w:r w:rsidR="005541C0" w:rsidRPr="006E2B83">
        <w:t xml:space="preserve"> </w:t>
      </w:r>
      <w:r w:rsidRPr="006E2B83">
        <w:t>a voluntary industry solution that w</w:t>
      </w:r>
      <w:r>
        <w:t>ould</w:t>
      </w:r>
      <w:r w:rsidRPr="00796E6E">
        <w:t xml:space="preserve"> resolve the l</w:t>
      </w:r>
      <w:r w:rsidR="00253623">
        <w:t xml:space="preserve">ack of interoperability in this </w:t>
      </w:r>
      <w:r>
        <w:t xml:space="preserve">band while allowing </w:t>
      </w:r>
      <w:r w:rsidRPr="00C51BFE">
        <w:t>flexibility in responding to evolving consumer needs and dynamic and fast-paced technological developments</w:t>
      </w:r>
      <w:r>
        <w:t xml:space="preserve">. </w:t>
      </w:r>
      <w:r w:rsidR="00355168">
        <w:t xml:space="preserve"> </w:t>
      </w:r>
      <w:r>
        <w:t xml:space="preserve">The </w:t>
      </w:r>
      <w:r w:rsidR="00253623">
        <w:t xml:space="preserve">amendments to our rules and modifications to licenses </w:t>
      </w:r>
      <w:r w:rsidR="00D931B7">
        <w:t>proposed</w:t>
      </w:r>
      <w:r w:rsidR="00A60979">
        <w:t xml:space="preserve"> herein </w:t>
      </w:r>
      <w:r>
        <w:t xml:space="preserve">will </w:t>
      </w:r>
      <w:r w:rsidR="005541C0">
        <w:rPr>
          <w:lang w:val="en-US"/>
        </w:rPr>
        <w:t xml:space="preserve">serve the public interest by </w:t>
      </w:r>
      <w:r>
        <w:t>enabl</w:t>
      </w:r>
      <w:r w:rsidR="005541C0">
        <w:rPr>
          <w:lang w:val="en-US"/>
        </w:rPr>
        <w:t>ing</w:t>
      </w:r>
      <w:r>
        <w:t xml:space="preserve"> </w:t>
      </w:r>
      <w:r w:rsidRPr="006E2B83">
        <w:t xml:space="preserve">consumers, especially in rural areas, </w:t>
      </w:r>
      <w:r>
        <w:t xml:space="preserve">to </w:t>
      </w:r>
      <w:r w:rsidR="005541C0">
        <w:rPr>
          <w:lang w:val="en-US"/>
        </w:rPr>
        <w:t xml:space="preserve">enjoy the benefits of greater </w:t>
      </w:r>
      <w:r w:rsidRPr="006E2B83">
        <w:t xml:space="preserve">competition and </w:t>
      </w:r>
      <w:r>
        <w:t>more choices</w:t>
      </w:r>
      <w:r w:rsidR="005541C0">
        <w:rPr>
          <w:lang w:val="en-US"/>
        </w:rPr>
        <w:t>,</w:t>
      </w:r>
      <w:r>
        <w:t xml:space="preserve"> and by</w:t>
      </w:r>
      <w:r w:rsidRPr="006E2B83">
        <w:t xml:space="preserve"> </w:t>
      </w:r>
      <w:r>
        <w:t xml:space="preserve">encouraging efficient use of  spectrum, </w:t>
      </w:r>
      <w:r w:rsidRPr="006E2B83">
        <w:t xml:space="preserve">investment, job creation, and the development of innovative </w:t>
      </w:r>
      <w:r>
        <w:t>mobile broadband services and equipment</w:t>
      </w:r>
      <w:r w:rsidRPr="006E2B83">
        <w:t>.</w:t>
      </w:r>
      <w:r>
        <w:t xml:space="preserve">  </w:t>
      </w:r>
    </w:p>
    <w:p w:rsidR="002969FA" w:rsidRPr="005D7567" w:rsidRDefault="002969FA" w:rsidP="00D03910">
      <w:pPr>
        <w:pStyle w:val="ParaNum"/>
        <w:keepNext/>
        <w:widowControl/>
        <w:snapToGrid w:val="0"/>
      </w:pPr>
      <w:r w:rsidRPr="005D7567">
        <w:t xml:space="preserve">The steps we take here </w:t>
      </w:r>
      <w:r w:rsidR="00355168">
        <w:t xml:space="preserve">will assist </w:t>
      </w:r>
      <w:r w:rsidRPr="005D7567">
        <w:t>consumers and the economies in rural areas, as well as small and regional businesses that operate</w:t>
      </w:r>
      <w:r w:rsidR="00355168">
        <w:t xml:space="preserve"> there</w:t>
      </w:r>
      <w:r w:rsidRPr="005D7567">
        <w:t xml:space="preserve">.  </w:t>
      </w:r>
      <w:r w:rsidRPr="005D7567">
        <w:rPr>
          <w:szCs w:val="22"/>
        </w:rPr>
        <w:t>Additional competition in rural areas is likely to result in lower-priced services, or plan options that are tailored to local communities.  Small or regional providers serving rural areas drive economic growth in these rural areas, directly, by investing in their networks and creating jobs, and indirectly, by enabling the growth of other small businesses.</w:t>
      </w:r>
      <w:r w:rsidRPr="005D7567">
        <w:t xml:space="preserve">  But in order to </w:t>
      </w:r>
      <w:r w:rsidR="00253623">
        <w:t>promote competition</w:t>
      </w:r>
      <w:r w:rsidR="00A60979">
        <w:t xml:space="preserve"> – and enable</w:t>
      </w:r>
      <w:r w:rsidRPr="005D7567">
        <w:t xml:space="preserve"> small business customers </w:t>
      </w:r>
      <w:r w:rsidR="00253623">
        <w:t xml:space="preserve">of 700 MHz band licensees </w:t>
      </w:r>
      <w:r w:rsidRPr="005D7567">
        <w:t>to operate successfully in the 21</w:t>
      </w:r>
      <w:r w:rsidRPr="005D7567">
        <w:rPr>
          <w:vertAlign w:val="superscript"/>
        </w:rPr>
        <w:t>st</w:t>
      </w:r>
      <w:r w:rsidRPr="005D7567">
        <w:t xml:space="preserve"> century </w:t>
      </w:r>
      <w:r w:rsidR="00253623">
        <w:t>–</w:t>
      </w:r>
      <w:r w:rsidRPr="005D7567">
        <w:t xml:space="preserve"> t</w:t>
      </w:r>
      <w:r w:rsidR="00253623">
        <w:t xml:space="preserve">hese licensees </w:t>
      </w:r>
      <w:r w:rsidRPr="005D7567">
        <w:t xml:space="preserve">need to be able to offer service choices.  </w:t>
      </w:r>
      <w:r>
        <w:t>I</w:t>
      </w:r>
      <w:r w:rsidRPr="005D7567">
        <w:t>nteroperability</w:t>
      </w:r>
      <w:r w:rsidR="00253623">
        <w:t xml:space="preserve"> of LTE service in the Lower 700 MHz band </w:t>
      </w:r>
      <w:r>
        <w:t xml:space="preserve">will </w:t>
      </w:r>
      <w:r w:rsidRPr="005D7567">
        <w:t>remove an unnecessary barrier to the successful operation of businesses that can drive economic growth, promote competitive service, and create jobs in rural America, where 1.3 million people (and approximately 13% of rural road miles) still lack any mobile wireless broadband coverage and over one-third of the population still lacks coverage by more than two mobile broadband providers.</w:t>
      </w:r>
      <w:r w:rsidRPr="005D7567">
        <w:rPr>
          <w:vertAlign w:val="superscript"/>
        </w:rPr>
        <w:footnoteReference w:id="2"/>
      </w:r>
      <w:r w:rsidRPr="005D7567">
        <w:t xml:space="preserve"> </w:t>
      </w:r>
    </w:p>
    <w:p w:rsidR="002969FA" w:rsidRPr="005D7567" w:rsidRDefault="002969FA" w:rsidP="00D03910">
      <w:pPr>
        <w:pStyle w:val="ParaNum"/>
        <w:keepNext/>
        <w:widowControl/>
        <w:snapToGrid w:val="0"/>
      </w:pPr>
      <w:r w:rsidRPr="005D7567">
        <w:t>As described in more detail below, the Commission launched this proceeding last year to promote interoperability in the Lower 700 MHz band.</w:t>
      </w:r>
      <w:r w:rsidRPr="005D7567">
        <w:rPr>
          <w:rStyle w:val="FootnoteReference"/>
          <w:szCs w:val="22"/>
        </w:rPr>
        <w:footnoteReference w:id="3"/>
      </w:r>
      <w:r w:rsidRPr="005D7567">
        <w:rPr>
          <w:szCs w:val="22"/>
        </w:rPr>
        <w:t xml:space="preserve"> </w:t>
      </w:r>
      <w:r w:rsidR="00EE5009">
        <w:t xml:space="preserve"> </w:t>
      </w:r>
      <w:r w:rsidR="00EE5009">
        <w:rPr>
          <w:lang w:val="en-US"/>
        </w:rPr>
        <w:t>It</w:t>
      </w:r>
      <w:r w:rsidRPr="005D7567">
        <w:t xml:space="preserve"> sought comment on the core issue of whether providing interoperable LTE service with the use of a unified band class (to achieve interoperability) would result in harmful interference to customers using service on the Lower 700 MHz B and C Blocks and whether, if harmful interference were likely to exist, it reasonably could be mitigated.</w:t>
      </w:r>
      <w:r w:rsidRPr="005D7567">
        <w:rPr>
          <w:rStyle w:val="FootnoteReference"/>
        </w:rPr>
        <w:footnoteReference w:id="4"/>
      </w:r>
      <w:r w:rsidRPr="005D7567">
        <w:t xml:space="preserve">  The Commission expressed its preference for an industry solution for interoperability, but also recognized that, if the industry failed to move in a timely manner toward interoperability, additional regulatory steps might be appropriate to further the public interest.</w:t>
      </w:r>
      <w:r w:rsidRPr="005D7567">
        <w:rPr>
          <w:rStyle w:val="FootnoteReference"/>
        </w:rPr>
        <w:footnoteReference w:id="5"/>
      </w:r>
      <w:r w:rsidRPr="005D7567">
        <w:t xml:space="preserve">  </w:t>
      </w:r>
      <w:r>
        <w:t xml:space="preserve">On September 10, 2013, key parties in this proceeding filed letters with the Commission </w:t>
      </w:r>
      <w:r>
        <w:rPr>
          <w:szCs w:val="22"/>
        </w:rPr>
        <w:t>indicating their support for a voluntary industry consensus agreement to resolve the lack of interoperability in the Lower 700 MHz band.</w:t>
      </w:r>
      <w:r>
        <w:rPr>
          <w:rStyle w:val="FootnoteReference"/>
          <w:szCs w:val="22"/>
        </w:rPr>
        <w:footnoteReference w:id="6"/>
      </w:r>
      <w:r>
        <w:rPr>
          <w:szCs w:val="22"/>
        </w:rPr>
        <w:t xml:space="preserve">  </w:t>
      </w:r>
      <w:r w:rsidR="005541C0">
        <w:rPr>
          <w:lang w:val="en-US"/>
        </w:rPr>
        <w:t xml:space="preserve">In this </w:t>
      </w:r>
      <w:r w:rsidR="00EE5009">
        <w:rPr>
          <w:lang w:val="en-US"/>
        </w:rPr>
        <w:t xml:space="preserve">Report and Order and Order of Proposed Modification, </w:t>
      </w:r>
      <w:r w:rsidRPr="005D7567">
        <w:t xml:space="preserve">we take the following steps:  </w:t>
      </w:r>
    </w:p>
    <w:p w:rsidR="005541C0" w:rsidRPr="00735914" w:rsidRDefault="005541C0" w:rsidP="00D03910">
      <w:pPr>
        <w:pStyle w:val="ParaNum"/>
        <w:keepNext/>
        <w:widowControl/>
        <w:numPr>
          <w:ilvl w:val="0"/>
          <w:numId w:val="3"/>
        </w:numPr>
        <w:tabs>
          <w:tab w:val="left" w:pos="720"/>
        </w:tabs>
        <w:snapToGrid w:val="0"/>
      </w:pPr>
      <w:r>
        <w:rPr>
          <w:lang w:val="en-US"/>
        </w:rPr>
        <w:t xml:space="preserve">We </w:t>
      </w:r>
      <w:r w:rsidR="00253623">
        <w:rPr>
          <w:lang w:val="en-US"/>
        </w:rPr>
        <w:t xml:space="preserve">revise our Part 27 rules to </w:t>
      </w:r>
      <w:r>
        <w:rPr>
          <w:lang w:val="en-US"/>
        </w:rPr>
        <w:t xml:space="preserve">modify the technical requirements for the Lower 700 MHz </w:t>
      </w:r>
      <w:r w:rsidR="00A60979">
        <w:rPr>
          <w:lang w:val="en-US"/>
        </w:rPr>
        <w:t xml:space="preserve">D and E Blocks to eliminate </w:t>
      </w:r>
      <w:r>
        <w:rPr>
          <w:lang w:val="en-US"/>
        </w:rPr>
        <w:t xml:space="preserve">potential harmful interference while continuing to allow </w:t>
      </w:r>
      <w:r w:rsidR="00100425">
        <w:rPr>
          <w:lang w:val="en-US"/>
        </w:rPr>
        <w:t>high value uses of the D and E B</w:t>
      </w:r>
      <w:r>
        <w:rPr>
          <w:lang w:val="en-US"/>
        </w:rPr>
        <w:t>locks.  We establish a process for higher power uses</w:t>
      </w:r>
      <w:r w:rsidR="009C7F17">
        <w:rPr>
          <w:lang w:val="en-US"/>
        </w:rPr>
        <w:t xml:space="preserve"> primarily</w:t>
      </w:r>
      <w:r>
        <w:rPr>
          <w:lang w:val="en-US"/>
        </w:rPr>
        <w:t xml:space="preserve"> in rural areas if the D/E Block licensee has the consent of affected 700 MHz licensees, or can show no harmful interference.</w:t>
      </w:r>
    </w:p>
    <w:p w:rsidR="005541C0" w:rsidRPr="00735914" w:rsidRDefault="005541C0" w:rsidP="00D03910">
      <w:pPr>
        <w:pStyle w:val="ParaNum"/>
        <w:keepNext/>
        <w:widowControl/>
        <w:numPr>
          <w:ilvl w:val="0"/>
          <w:numId w:val="3"/>
        </w:numPr>
        <w:tabs>
          <w:tab w:val="left" w:pos="720"/>
        </w:tabs>
        <w:snapToGrid w:val="0"/>
      </w:pPr>
      <w:r>
        <w:rPr>
          <w:lang w:val="en-US"/>
        </w:rPr>
        <w:t xml:space="preserve">We </w:t>
      </w:r>
      <w:r w:rsidR="00701C59">
        <w:rPr>
          <w:lang w:val="en-US"/>
        </w:rPr>
        <w:t xml:space="preserve">need </w:t>
      </w:r>
      <w:r w:rsidR="00822C58">
        <w:rPr>
          <w:lang w:val="en-US"/>
        </w:rPr>
        <w:t xml:space="preserve">take no action to address claims of </w:t>
      </w:r>
      <w:r w:rsidR="00EE546E">
        <w:rPr>
          <w:lang w:val="en-US"/>
        </w:rPr>
        <w:t xml:space="preserve">reverse intermodulation interference from adjacent Channel 51 operations </w:t>
      </w:r>
      <w:r w:rsidR="00822C58">
        <w:rPr>
          <w:lang w:val="en-US"/>
        </w:rPr>
        <w:t xml:space="preserve">to B and C Block operations, </w:t>
      </w:r>
      <w:r w:rsidR="00701C59">
        <w:rPr>
          <w:lang w:val="en-US"/>
        </w:rPr>
        <w:t xml:space="preserve">because we </w:t>
      </w:r>
      <w:r w:rsidR="00822C58">
        <w:rPr>
          <w:lang w:val="en-US"/>
        </w:rPr>
        <w:t>conclud</w:t>
      </w:r>
      <w:r w:rsidR="00701C59">
        <w:rPr>
          <w:lang w:val="en-US"/>
        </w:rPr>
        <w:t>e</w:t>
      </w:r>
      <w:r w:rsidR="00822C58">
        <w:rPr>
          <w:lang w:val="en-US"/>
        </w:rPr>
        <w:t xml:space="preserve"> based on the record that harmful interference from such revers</w:t>
      </w:r>
      <w:r w:rsidR="008F4D0E">
        <w:rPr>
          <w:lang w:val="en-US"/>
        </w:rPr>
        <w:t>e</w:t>
      </w:r>
      <w:r w:rsidR="00822C58">
        <w:rPr>
          <w:lang w:val="en-US"/>
        </w:rPr>
        <w:t xml:space="preserve"> intermodulation products </w:t>
      </w:r>
      <w:r w:rsidR="00EE546E">
        <w:rPr>
          <w:lang w:val="en-US"/>
        </w:rPr>
        <w:t xml:space="preserve">is unlikely and </w:t>
      </w:r>
      <w:r w:rsidR="00D27AC9" w:rsidRPr="00D27AC9">
        <w:rPr>
          <w:lang w:val="en-US"/>
        </w:rPr>
        <w:t xml:space="preserve">therefore </w:t>
      </w:r>
      <w:r w:rsidR="00D87EAF">
        <w:rPr>
          <w:lang w:val="en-US"/>
        </w:rPr>
        <w:t>is</w:t>
      </w:r>
      <w:r w:rsidR="00D27AC9" w:rsidRPr="00D27AC9">
        <w:rPr>
          <w:lang w:val="en-US"/>
        </w:rPr>
        <w:t xml:space="preserve"> not an impediment to implementation of the voluntary industry solution for achieving interoperability</w:t>
      </w:r>
      <w:r w:rsidR="0015126C">
        <w:rPr>
          <w:lang w:val="en-US"/>
        </w:rPr>
        <w:t>.</w:t>
      </w:r>
    </w:p>
    <w:p w:rsidR="002969FA" w:rsidRPr="00735914" w:rsidRDefault="00253623" w:rsidP="00D03910">
      <w:pPr>
        <w:pStyle w:val="ParaNum"/>
        <w:keepNext/>
        <w:widowControl/>
        <w:numPr>
          <w:ilvl w:val="0"/>
          <w:numId w:val="3"/>
        </w:numPr>
        <w:tabs>
          <w:tab w:val="left" w:pos="720"/>
        </w:tabs>
        <w:snapToGrid w:val="0"/>
      </w:pPr>
      <w:r>
        <w:rPr>
          <w:lang w:val="en-US"/>
        </w:rPr>
        <w:t>Pursuant to Section 316 of the Communications Act,</w:t>
      </w:r>
      <w:r w:rsidR="00A60979">
        <w:rPr>
          <w:rStyle w:val="FootnoteReference"/>
          <w:lang w:val="en-US"/>
        </w:rPr>
        <w:footnoteReference w:id="7"/>
      </w:r>
      <w:r w:rsidR="00A60979">
        <w:rPr>
          <w:lang w:val="en-US"/>
        </w:rPr>
        <w:t xml:space="preserve"> </w:t>
      </w:r>
      <w:r>
        <w:rPr>
          <w:lang w:val="en-US"/>
        </w:rPr>
        <w:t>we propose to</w:t>
      </w:r>
      <w:r>
        <w:t xml:space="preserve"> </w:t>
      </w:r>
      <w:r w:rsidR="002969FA">
        <w:t xml:space="preserve">modify AT&amp;T’s B and C Block licenses as </w:t>
      </w:r>
      <w:r w:rsidR="002969FA" w:rsidRPr="00C76F05">
        <w:t xml:space="preserve">outlined </w:t>
      </w:r>
      <w:r w:rsidR="002969FA">
        <w:t>herein and in AT&amp;T’s commitment</w:t>
      </w:r>
      <w:r w:rsidR="002969FA" w:rsidRPr="00C76F05">
        <w:t xml:space="preserve"> letter</w:t>
      </w:r>
      <w:r w:rsidR="002969FA">
        <w:rPr>
          <w:rStyle w:val="FootnoteReference"/>
        </w:rPr>
        <w:footnoteReference w:id="8"/>
      </w:r>
      <w:r w:rsidR="002969FA" w:rsidRPr="00A23E1C">
        <w:t xml:space="preserve"> </w:t>
      </w:r>
      <w:r w:rsidR="002969FA">
        <w:t xml:space="preserve">to effectuate the </w:t>
      </w:r>
      <w:r w:rsidR="002969FA" w:rsidRPr="00A23E1C">
        <w:t>voluntary industry solution that will resolve the l</w:t>
      </w:r>
      <w:r w:rsidR="002969FA">
        <w:t>ack of interoperability in the L</w:t>
      </w:r>
      <w:r w:rsidR="002969FA" w:rsidRPr="00A23E1C">
        <w:t xml:space="preserve">ower 700 MHz band in an </w:t>
      </w:r>
      <w:r w:rsidR="002969FA">
        <w:t xml:space="preserve">effective and </w:t>
      </w:r>
      <w:r w:rsidR="002969FA" w:rsidRPr="00A23E1C">
        <w:t>efficient manner</w:t>
      </w:r>
      <w:r w:rsidR="002969FA">
        <w:t>.</w:t>
      </w:r>
    </w:p>
    <w:p w:rsidR="0015126C" w:rsidRPr="00200D1C" w:rsidRDefault="0015126C" w:rsidP="00D03910">
      <w:pPr>
        <w:pStyle w:val="ParaNum"/>
        <w:keepNext/>
        <w:widowControl/>
        <w:numPr>
          <w:ilvl w:val="0"/>
          <w:numId w:val="3"/>
        </w:numPr>
        <w:tabs>
          <w:tab w:val="left" w:pos="720"/>
        </w:tabs>
        <w:snapToGrid w:val="0"/>
      </w:pPr>
      <w:r>
        <w:rPr>
          <w:lang w:val="en-US"/>
        </w:rPr>
        <w:t xml:space="preserve">We </w:t>
      </w:r>
      <w:r w:rsidR="009C7F17">
        <w:rPr>
          <w:lang w:val="en-US"/>
        </w:rPr>
        <w:t>waive</w:t>
      </w:r>
      <w:r>
        <w:rPr>
          <w:lang w:val="en-US"/>
        </w:rPr>
        <w:t xml:space="preserve"> the co</w:t>
      </w:r>
      <w:r w:rsidR="00832479">
        <w:rPr>
          <w:lang w:val="en-US"/>
        </w:rPr>
        <w:t>nstruction requirements for E B</w:t>
      </w:r>
      <w:r>
        <w:rPr>
          <w:lang w:val="en-US"/>
        </w:rPr>
        <w:t>lock licensees, extending the interim a</w:t>
      </w:r>
      <w:r w:rsidR="00832479">
        <w:rPr>
          <w:lang w:val="en-US"/>
        </w:rPr>
        <w:t>nd final deadlines and permitting</w:t>
      </w:r>
      <w:r>
        <w:rPr>
          <w:lang w:val="en-US"/>
        </w:rPr>
        <w:t xml:space="preserve"> a showing of population coverage, rather than geographic coverage.</w:t>
      </w:r>
    </w:p>
    <w:p w:rsidR="0015126C" w:rsidRPr="00200D1C" w:rsidRDefault="0015126C" w:rsidP="00D03910">
      <w:pPr>
        <w:pStyle w:val="ParaNum"/>
        <w:keepNext/>
        <w:widowControl/>
        <w:numPr>
          <w:ilvl w:val="0"/>
          <w:numId w:val="3"/>
        </w:numPr>
        <w:tabs>
          <w:tab w:val="left" w:pos="720"/>
        </w:tabs>
        <w:snapToGrid w:val="0"/>
      </w:pPr>
      <w:r>
        <w:rPr>
          <w:lang w:val="en-US"/>
        </w:rPr>
        <w:t xml:space="preserve">We </w:t>
      </w:r>
      <w:r w:rsidR="009C7F17">
        <w:rPr>
          <w:lang w:val="en-US"/>
        </w:rPr>
        <w:t>waive</w:t>
      </w:r>
      <w:r>
        <w:rPr>
          <w:lang w:val="en-US"/>
        </w:rPr>
        <w:t xml:space="preserve"> the constru</w:t>
      </w:r>
      <w:r w:rsidR="00832479">
        <w:rPr>
          <w:lang w:val="en-US"/>
        </w:rPr>
        <w:t>ction requirements for A and B B</w:t>
      </w:r>
      <w:r>
        <w:rPr>
          <w:lang w:val="en-US"/>
        </w:rPr>
        <w:t xml:space="preserve">lock licensees, extending the interim deadline to </w:t>
      </w:r>
      <w:r w:rsidR="00356225">
        <w:rPr>
          <w:lang w:val="en-US"/>
        </w:rPr>
        <w:t>December</w:t>
      </w:r>
      <w:r w:rsidR="00AA70AF">
        <w:rPr>
          <w:lang w:val="en-US"/>
        </w:rPr>
        <w:t xml:space="preserve"> 1</w:t>
      </w:r>
      <w:r w:rsidR="00BB2D4E">
        <w:rPr>
          <w:lang w:val="en-US"/>
        </w:rPr>
        <w:t>3</w:t>
      </w:r>
      <w:r>
        <w:rPr>
          <w:lang w:val="en-US"/>
        </w:rPr>
        <w:t>, 201</w:t>
      </w:r>
      <w:r w:rsidR="00B34950">
        <w:rPr>
          <w:lang w:val="en-US"/>
        </w:rPr>
        <w:t>6</w:t>
      </w:r>
      <w:r>
        <w:rPr>
          <w:lang w:val="en-US"/>
        </w:rPr>
        <w:t xml:space="preserve">, and removing the </w:t>
      </w:r>
      <w:r w:rsidR="00832479">
        <w:rPr>
          <w:lang w:val="en-US"/>
        </w:rPr>
        <w:t>interim deadline for certain A B</w:t>
      </w:r>
      <w:r>
        <w:rPr>
          <w:lang w:val="en-US"/>
        </w:rPr>
        <w:t>lock licensees adjacen</w:t>
      </w:r>
      <w:r w:rsidR="00832479">
        <w:rPr>
          <w:lang w:val="en-US"/>
        </w:rPr>
        <w:t>t to C</w:t>
      </w:r>
      <w:r>
        <w:rPr>
          <w:lang w:val="en-US"/>
        </w:rPr>
        <w:t>hannel 51 operations.</w:t>
      </w:r>
    </w:p>
    <w:p w:rsidR="002969FA" w:rsidRPr="005D7567" w:rsidRDefault="002969FA" w:rsidP="00D03910">
      <w:pPr>
        <w:pStyle w:val="Heading1"/>
        <w:widowControl/>
      </w:pPr>
      <w:bookmarkStart w:id="120" w:name="_Toc363670215"/>
      <w:bookmarkStart w:id="121" w:name="_Toc363239549"/>
      <w:bookmarkStart w:id="122" w:name="_Toc363239519"/>
      <w:bookmarkStart w:id="123" w:name="_Toc363219727"/>
      <w:bookmarkStart w:id="124" w:name="_Toc359508227"/>
      <w:bookmarkStart w:id="125" w:name="_Toc359484923"/>
      <w:bookmarkStart w:id="126" w:name="_Toc359484858"/>
      <w:bookmarkStart w:id="127" w:name="_Toc358638692"/>
      <w:bookmarkStart w:id="128" w:name="_Toc358638669"/>
      <w:bookmarkStart w:id="129" w:name="_Toc358638627"/>
      <w:bookmarkStart w:id="130" w:name="_Toc358635142"/>
      <w:bookmarkStart w:id="131" w:name="_Toc358634929"/>
      <w:bookmarkStart w:id="132" w:name="_Toc358105129"/>
      <w:bookmarkStart w:id="133" w:name="_Toc351730484"/>
      <w:bookmarkStart w:id="134" w:name="_Toc351376939"/>
      <w:bookmarkStart w:id="135" w:name="_Toc351376392"/>
      <w:bookmarkStart w:id="136" w:name="_Toc364339636"/>
      <w:bookmarkStart w:id="137" w:name="_Toc364363106"/>
      <w:bookmarkStart w:id="138" w:name="_Toc365289468"/>
      <w:bookmarkStart w:id="139" w:name="_Toc365297785"/>
      <w:bookmarkStart w:id="140" w:name="_Toc366080747"/>
      <w:bookmarkStart w:id="141" w:name="_Toc366081283"/>
      <w:bookmarkStart w:id="142" w:name="_Toc366142302"/>
      <w:bookmarkStart w:id="143" w:name="_Toc366160455"/>
      <w:bookmarkStart w:id="144" w:name="_Toc366161307"/>
      <w:bookmarkStart w:id="145" w:name="_Toc366677415"/>
      <w:bookmarkStart w:id="146" w:name="_Toc366696621"/>
      <w:bookmarkStart w:id="147" w:name="_Toc366740263"/>
      <w:bookmarkStart w:id="148" w:name="_Toc366766670"/>
      <w:bookmarkStart w:id="149" w:name="_Toc366771497"/>
      <w:bookmarkStart w:id="150" w:name="_Toc367201502"/>
      <w:bookmarkStart w:id="151" w:name="_Toc367297827"/>
      <w:bookmarkStart w:id="152" w:name="_Toc367384477"/>
      <w:bookmarkStart w:id="153" w:name="_Toc367385262"/>
      <w:bookmarkStart w:id="154" w:name="_Toc367463240"/>
      <w:bookmarkStart w:id="155" w:name="_Toc367715572"/>
      <w:bookmarkStart w:id="156" w:name="_Toc367975860"/>
      <w:bookmarkStart w:id="157" w:name="_Toc367978233"/>
      <w:bookmarkStart w:id="158" w:name="_Toc368049345"/>
      <w:bookmarkStart w:id="159" w:name="_Toc370401663"/>
      <w:r w:rsidRPr="005D7567">
        <w:t>Background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2969FA" w:rsidRPr="005D7567" w:rsidRDefault="002969FA" w:rsidP="00D03910">
      <w:pPr>
        <w:pStyle w:val="ParaNum"/>
        <w:keepNext/>
        <w:widowControl/>
        <w:snapToGrid w:val="0"/>
      </w:pPr>
      <w:r w:rsidRPr="005D7567">
        <w:rPr>
          <w:i/>
        </w:rPr>
        <w:t>The 700 MHz Band</w:t>
      </w:r>
      <w:r w:rsidRPr="005D7567">
        <w:t>.  As shown in the diagram below, the 700 MHz band (698-806 MHz) is comprised primarily of 70 megahertz of commercial spectrum and 34 megahertz of public safety spectrum.</w:t>
      </w:r>
      <w:r w:rsidRPr="005D7567">
        <w:rPr>
          <w:rStyle w:val="FootnoteReference"/>
        </w:rPr>
        <w:footnoteReference w:id="9"/>
      </w:r>
      <w:r w:rsidRPr="005D7567">
        <w:t xml:space="preserve">  The Commission divided the band into the Lower and Upper 700 MHz bands pursuant to the Balanced Budget Act of 1997, which provided for a transition of this spectrum from broadcast to commercial and public safety wireless use and established a deadline for the auction of the Upper 700 MHz band but not for the auction of the Lower 700 MHz band.</w:t>
      </w:r>
      <w:r w:rsidRPr="005D7567">
        <w:rPr>
          <w:rStyle w:val="FootnoteReference"/>
        </w:rPr>
        <w:footnoteReference w:id="10"/>
      </w:r>
      <w:r w:rsidRPr="005D7567">
        <w:t xml:space="preserve">  That Act also established specific criteria for the mandatory transition to DTV that freed up spectrum for commercial and public safety use.</w:t>
      </w:r>
    </w:p>
    <w:p w:rsidR="002969FA" w:rsidRPr="005D7567" w:rsidRDefault="002969FA" w:rsidP="00D03910">
      <w:pPr>
        <w:pStyle w:val="ParaNum"/>
        <w:keepNext/>
        <w:widowControl/>
        <w:snapToGrid w:val="0"/>
      </w:pPr>
      <w:r w:rsidRPr="005D7567">
        <w:t xml:space="preserve">The Lower 700 MHz band spectrum (698-746 MHz), which is the subject of this Report and Order, consists of 48 megahertz of commercial spectrum </w:t>
      </w:r>
      <w:r w:rsidR="00260EB1">
        <w:t xml:space="preserve">– </w:t>
      </w:r>
      <w:r w:rsidRPr="005D7567">
        <w:t xml:space="preserve"> three blocks of 12 megahertz each of paired spectrum (Lower A, B, and C Blocks), and two blocks of 6 megahertz each of unpaired spectrum (Lower D and E Blocks).  The Lower 700 MHz A Block spectrum is adjacent to Channel 51 (692-698 MHz), which has been allocated for TV broadcast operations at power levels of up to 1000 kW.</w:t>
      </w:r>
      <w:r w:rsidRPr="005D7567">
        <w:rPr>
          <w:rStyle w:val="FootnoteReference"/>
        </w:rPr>
        <w:footnoteReference w:id="11"/>
      </w:r>
      <w:r w:rsidRPr="005D7567">
        <w:t xml:space="preserve">  The Lower 700 MHz A Block is also adjacent to the unpaired Lower 700 MHz E Block, where licensees may operate at power levels up to 50 kW.</w:t>
      </w:r>
      <w:r w:rsidRPr="005D7567">
        <w:rPr>
          <w:rStyle w:val="FootnoteReference"/>
        </w:rPr>
        <w:footnoteReference w:id="12"/>
      </w:r>
      <w:r w:rsidRPr="005D7567">
        <w:t xml:space="preserve">  The Commission first assigned licenses for the Lower 700 MHz band when it auctioned all the licenses in the Lower 700 MHz C and D Blocks in Auction 44 in 2002.</w:t>
      </w:r>
      <w:r w:rsidRPr="005D7567">
        <w:rPr>
          <w:vertAlign w:val="superscript"/>
        </w:rPr>
        <w:footnoteReference w:id="13"/>
      </w:r>
      <w:r w:rsidRPr="005D7567">
        <w:t xml:space="preserve">  Licenses unsold in Auction 44 were subsequently sold in 2003 and 2005 in Auctions 49 and 60.</w:t>
      </w:r>
      <w:r w:rsidRPr="005D7567">
        <w:rPr>
          <w:vertAlign w:val="superscript"/>
        </w:rPr>
        <w:footnoteReference w:id="14"/>
      </w:r>
      <w:r w:rsidRPr="005D7567">
        <w:t xml:space="preserve"> </w:t>
      </w:r>
    </w:p>
    <w:p w:rsidR="002969FA" w:rsidRPr="005D7567" w:rsidRDefault="002969FA" w:rsidP="00D03910">
      <w:pPr>
        <w:pStyle w:val="ParaNum"/>
        <w:keepNext/>
        <w:keepLines/>
        <w:widowControl/>
        <w:numPr>
          <w:ilvl w:val="0"/>
          <w:numId w:val="4"/>
        </w:numPr>
        <w:tabs>
          <w:tab w:val="left" w:pos="720"/>
        </w:tabs>
        <w:snapToGrid w:val="0"/>
        <w:jc w:val="center"/>
        <w:rPr>
          <w:b/>
        </w:rPr>
      </w:pPr>
      <w:r w:rsidRPr="005D7567">
        <w:rPr>
          <w:b/>
        </w:rPr>
        <w:t>MHz Band and 3GPP Band Classes</w:t>
      </w:r>
    </w:p>
    <w:p w:rsidR="002969FA" w:rsidRPr="005D7567" w:rsidRDefault="002969FA" w:rsidP="00D03910">
      <w:pPr>
        <w:pStyle w:val="ParaNum"/>
        <w:keepNext/>
        <w:keepLines/>
        <w:widowControl/>
        <w:numPr>
          <w:ilvl w:val="0"/>
          <w:numId w:val="0"/>
        </w:numPr>
        <w:tabs>
          <w:tab w:val="left" w:pos="720"/>
        </w:tabs>
      </w:pPr>
    </w:p>
    <w:p w:rsidR="002969FA" w:rsidRPr="005D7567" w:rsidRDefault="00A916D7" w:rsidP="00D03910">
      <w:pPr>
        <w:pStyle w:val="ParaNum"/>
        <w:keepNext/>
        <w:keepLines/>
        <w:widowControl/>
        <w:numPr>
          <w:ilvl w:val="0"/>
          <w:numId w:val="0"/>
        </w:numPr>
        <w:tabs>
          <w:tab w:val="left" w:pos="720"/>
        </w:tabs>
        <w:jc w:val="center"/>
      </w:pPr>
      <w:r>
        <w:rPr>
          <w:noProof/>
          <w:snapToGrid/>
          <w:lang w:val="en-US" w:eastAsia="en-US"/>
        </w:rPr>
        <w:drawing>
          <wp:inline distT="0" distB="0" distL="0" distR="0" wp14:anchorId="75D9C83B" wp14:editId="3EE379F1">
            <wp:extent cx="5465445" cy="1765300"/>
            <wp:effectExtent l="0" t="0" r="1905" b="6350"/>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445" cy="1765300"/>
                    </a:xfrm>
                    <a:prstGeom prst="rect">
                      <a:avLst/>
                    </a:prstGeom>
                    <a:noFill/>
                    <a:ln>
                      <a:noFill/>
                    </a:ln>
                  </pic:spPr>
                </pic:pic>
              </a:graphicData>
            </a:graphic>
          </wp:inline>
        </w:drawing>
      </w:r>
    </w:p>
    <w:p w:rsidR="002969FA" w:rsidRPr="005D7567" w:rsidRDefault="002969FA" w:rsidP="00D03910">
      <w:pPr>
        <w:pStyle w:val="ParaNum"/>
        <w:keepNext/>
        <w:widowControl/>
        <w:snapToGrid w:val="0"/>
      </w:pPr>
      <w:r w:rsidRPr="005D7567">
        <w:t>In 2005, the Digital Transition and Public Safety Act (DTV Act) established a nationwide deadline for the DTV transition that would make 700 MHz spectrum available for commercial and public safety use and mandated that the Commission commence an auction for all the remaining recovered spectrum.</w:t>
      </w:r>
      <w:r w:rsidRPr="005D7567">
        <w:rPr>
          <w:rStyle w:val="FootnoteReference"/>
        </w:rPr>
        <w:footnoteReference w:id="15"/>
      </w:r>
      <w:r w:rsidRPr="005D7567">
        <w:t xml:space="preserve">  Following the enactment of the DTV Act, the Commission auctioned licenses in the Lower 700 MHz A, B, and E Blocks in 2008 as part of Auction 73, which garnered over $19 billion in revenues.</w:t>
      </w:r>
      <w:r w:rsidRPr="005D7567">
        <w:rPr>
          <w:vertAlign w:val="superscript"/>
        </w:rPr>
        <w:footnoteReference w:id="16"/>
      </w:r>
      <w:r w:rsidRPr="005D7567">
        <w:t xml:space="preserve">  The relatively few unsold Lower A and B Block licenses were later sold in Auction 92 in 2011.</w:t>
      </w:r>
      <w:r w:rsidRPr="005D7567">
        <w:rPr>
          <w:vertAlign w:val="superscript"/>
        </w:rPr>
        <w:footnoteReference w:id="17"/>
      </w:r>
    </w:p>
    <w:p w:rsidR="002969FA" w:rsidRPr="005D7567" w:rsidRDefault="002969FA" w:rsidP="00D03910">
      <w:pPr>
        <w:pStyle w:val="ParaNum"/>
        <w:keepNext/>
        <w:widowControl/>
        <w:snapToGrid w:val="0"/>
      </w:pPr>
      <w:r>
        <w:t xml:space="preserve">Although U.S. service providers have, in the past, deployed different mobile wireless network technologies, today the evolution of these technologies is converging on LTE.  </w:t>
      </w:r>
      <w:r w:rsidRPr="005D7567">
        <w:t>LTE increases the capacity and speed of wireless networks by redesigning and simplifying the network architecture to transition from the existing combination of circuit and packet switching to an all-IP architecture system.  All of the major mobile wireless providers (including those with both GSM and CDMA legacy networks) now offer or plan to deploy LTE.</w:t>
      </w:r>
      <w:r w:rsidRPr="005D7567">
        <w:rPr>
          <w:rStyle w:val="FootnoteReference"/>
        </w:rPr>
        <w:footnoteReference w:id="18"/>
      </w:r>
      <w:r w:rsidR="00EE5009">
        <w:t xml:space="preserve">  </w:t>
      </w:r>
      <w:r w:rsidR="00AD76DC">
        <w:rPr>
          <w:lang w:val="en-US"/>
        </w:rPr>
        <w:t>By</w:t>
      </w:r>
      <w:r w:rsidR="00EE5009">
        <w:rPr>
          <w:lang w:val="en-US"/>
        </w:rPr>
        <w:t xml:space="preserve"> </w:t>
      </w:r>
      <w:r w:rsidRPr="005D7567">
        <w:t>September 2012, for example, AT&amp;T announced that it had LTE coverage in 63 markets, and had plans to deploy LTE to 80 percent of the U.S. population by the end of 2013.</w:t>
      </w:r>
      <w:r w:rsidRPr="005D7567">
        <w:rPr>
          <w:rStyle w:val="FootnoteReference"/>
        </w:rPr>
        <w:footnoteReference w:id="19"/>
      </w:r>
      <w:r w:rsidRPr="005D7567">
        <w:t xml:space="preserve">  </w:t>
      </w:r>
    </w:p>
    <w:p w:rsidR="002969FA" w:rsidRPr="005D7567" w:rsidRDefault="002969FA" w:rsidP="00D03910">
      <w:pPr>
        <w:pStyle w:val="ParaNum"/>
        <w:keepNext/>
        <w:widowControl/>
        <w:snapToGrid w:val="0"/>
      </w:pPr>
      <w:r w:rsidRPr="005D7567">
        <w:t>Industry standards for LTE are developed by 3GPP, an international partnership of industry-based telecommunications standards bodies that, among other things, establishes standards for different LTE band classes</w:t>
      </w:r>
      <w:r w:rsidRPr="005D7567">
        <w:rPr>
          <w:sz w:val="20"/>
        </w:rPr>
        <w:t>.</w:t>
      </w:r>
      <w:r w:rsidRPr="005D7567">
        <w:rPr>
          <w:rStyle w:val="FootnoteReference"/>
        </w:rPr>
        <w:footnoteReference w:id="20"/>
      </w:r>
      <w:r w:rsidRPr="005D7567">
        <w:t xml:space="preserve">  A specific band class standard allows LTE operations only in its specified range of frequencies, along with other technical specifications and signaling protocol.</w:t>
      </w:r>
      <w:r w:rsidRPr="005D7567">
        <w:rPr>
          <w:rStyle w:val="FootnoteReference"/>
        </w:rPr>
        <w:footnoteReference w:id="21"/>
      </w:r>
      <w:r w:rsidRPr="005D7567">
        <w:t xml:space="preserve">  In November 2007, prior to Auction 73, the Band Class 12 LTE standard was introduced, consistent with its precedent of establishing a unified band class for each spectrum band.</w:t>
      </w:r>
      <w:r w:rsidRPr="005D7567">
        <w:rPr>
          <w:rStyle w:val="FootnoteReference"/>
        </w:rPr>
        <w:footnoteReference w:id="22"/>
      </w:r>
      <w:r w:rsidRPr="005D7567">
        <w:t xml:space="preserve">  </w:t>
      </w:r>
    </w:p>
    <w:p w:rsidR="002969FA" w:rsidRPr="005D7567" w:rsidRDefault="002969FA" w:rsidP="00D03910">
      <w:pPr>
        <w:pStyle w:val="ParaNum"/>
        <w:keepNext/>
        <w:widowControl/>
        <w:snapToGrid w:val="0"/>
      </w:pPr>
      <w:r w:rsidRPr="005D7567">
        <w:t>After the conclusion in March 2008 of Auction 73, Motorola initiated steps to have 3GPP establish a new industry standard (later designated as Band Class 17) that would be limited to the Lower 700 MHz B and C Blocks.</w:t>
      </w:r>
      <w:r>
        <w:t xml:space="preserve"> </w:t>
      </w:r>
      <w:r w:rsidRPr="005D7567">
        <w:t xml:space="preserve"> In proposing Band Class 17, Motorola cited the need to address concerns about high power </w:t>
      </w:r>
      <w:r w:rsidRPr="001360C6">
        <w:rPr>
          <w:color w:val="010101"/>
        </w:rPr>
        <w:t>broadcast</w:t>
      </w:r>
      <w:r w:rsidRPr="005D7567">
        <w:t xml:space="preserve"> transmissions in Channel 51 and the Lower 700 MHz D and E Blocks.</w:t>
      </w:r>
      <w:r w:rsidRPr="005D7567">
        <w:rPr>
          <w:rStyle w:val="FootnoteReference"/>
        </w:rPr>
        <w:footnoteReference w:id="23"/>
      </w:r>
      <w:r w:rsidRPr="005D7567">
        <w:t xml:space="preserve">  As envisioned and ultimately adopted, the Band Class 17 standard allows LTE operations in only the Lower 700 MHz B and C blocks using a specific signaling protocol that would filter out all other frequencies.  Although Band Class 17 operates on two of the three blocks common to Band Class 12, Band Class 17 devices use “more narrow filters,”</w:t>
      </w:r>
      <w:r w:rsidRPr="005D7567">
        <w:rPr>
          <w:rStyle w:val="FootnoteReference"/>
        </w:rPr>
        <w:footnoteReference w:id="24"/>
      </w:r>
      <w:r w:rsidRPr="005D7567">
        <w:t xml:space="preserve"> which have the effect of permitting a smaller range of frequencies to “pass through” the filter.  Such filters provide more attenuation of signals from Lower 700 MHz E Block frequencies, and from Channel 51 television stations, whose frequency band (as depicted above) lies immediately below the Lower 700 MHz A Block.  This attenuation is accomplished by using the two paired A Block frequencies as </w:t>
      </w:r>
      <w:r w:rsidRPr="005D7567">
        <w:rPr>
          <w:i/>
        </w:rPr>
        <w:t>de facto</w:t>
      </w:r>
      <w:r w:rsidRPr="005D7567">
        <w:t xml:space="preserve"> guard bands.  By contrast, Band Class 12 devices use A Block frequencies for transmissions as well as the B and C Block frequencies.  In addition, Band Class 12 and Band Class 17 signaling protocols are not compatible.  Therefore, services provided by stations using these two band classes are not interoperable in the Lower 700 MHz band.  3GPP finalized the initial standards and specifications for Band Class 17 five months after its introduction in September 2008.</w:t>
      </w:r>
      <w:r w:rsidRPr="005D7567">
        <w:rPr>
          <w:rStyle w:val="FootnoteReference"/>
        </w:rPr>
        <w:footnoteReference w:id="25"/>
      </w:r>
    </w:p>
    <w:p w:rsidR="002969FA" w:rsidRPr="005D7567" w:rsidRDefault="002969FA" w:rsidP="00D03910">
      <w:pPr>
        <w:pStyle w:val="ParaNum"/>
        <w:keepNext/>
        <w:widowControl/>
        <w:snapToGrid w:val="0"/>
      </w:pPr>
      <w:r>
        <w:t xml:space="preserve">The </w:t>
      </w:r>
      <w:r w:rsidRPr="005D7567">
        <w:t xml:space="preserve">creation of two non-interoperable band classes has had numerous effects.  For example, customers are unable to switch between a licensee deploying its service using Band Class 17 and a licensee that provides its service using Band Class 12 without purchasing a new device (even when the two operators use the same 2G and </w:t>
      </w:r>
      <w:r w:rsidRPr="00090E68">
        <w:rPr>
          <w:color w:val="010101"/>
        </w:rPr>
        <w:t>3G</w:t>
      </w:r>
      <w:r w:rsidRPr="005D7567">
        <w:t xml:space="preserve"> technologies and bands), and Band Class 12 devices and Band Class 17 devices cannot roam on each other’s networks.</w:t>
      </w:r>
      <w:r w:rsidR="00625DFA">
        <w:rPr>
          <w:lang w:val="en-US"/>
        </w:rPr>
        <w:t xml:space="preserve">  </w:t>
      </w:r>
      <w:r w:rsidR="005F3009">
        <w:t>In September 2009, four Lower 700 MHz A Block licensees filed a petition for rulemaking asking the Commission to impose for this spectrum block an interoperability mandate similar to that imposed in 1981 for the cellular band.</w:t>
      </w:r>
      <w:r w:rsidR="00625DFA" w:rsidRPr="005D7567">
        <w:rPr>
          <w:rStyle w:val="FootnoteReference"/>
        </w:rPr>
        <w:footnoteReference w:id="26"/>
      </w:r>
      <w:r w:rsidRPr="005D7567">
        <w:t xml:space="preserve">  In the </w:t>
      </w:r>
      <w:r w:rsidRPr="00090E68">
        <w:rPr>
          <w:i/>
        </w:rPr>
        <w:t>Interoperability NPRM,</w:t>
      </w:r>
      <w:r w:rsidRPr="005D7567">
        <w:t xml:space="preserve"> the Co</w:t>
      </w:r>
      <w:r>
        <w:t xml:space="preserve">mmission discussed the </w:t>
      </w:r>
      <w:r w:rsidRPr="005D7567">
        <w:t>importance of interoperability in furthering the public interest, and sought comment on whether taking action to ensure reintegration of the three paired Lower 700 MHz blocks into a single band class would cause harmful interference to LTE operations on the Lower 700 MHz B and C Block licensees if Band Class 12 devices were used.</w:t>
      </w:r>
      <w:r w:rsidRPr="005D7567">
        <w:rPr>
          <w:rStyle w:val="FootnoteReference"/>
        </w:rPr>
        <w:footnoteReference w:id="27"/>
      </w:r>
      <w:r w:rsidRPr="005D7567">
        <w:t xml:space="preserve">  The Commission noted that entities involved in the creation of Band Class 17 during 3GPP proceedings had claimed that it was necessary to create a separate band class for Lower 700 MHz B and C Block licenses to avoid reverse intermodulation </w:t>
      </w:r>
      <w:r w:rsidRPr="00090E68">
        <w:rPr>
          <w:color w:val="010101"/>
        </w:rPr>
        <w:t>interference</w:t>
      </w:r>
      <w:r w:rsidRPr="005D7567">
        <w:t xml:space="preserve"> issues from DTV </w:t>
      </w:r>
      <w:r w:rsidR="00253623">
        <w:t xml:space="preserve">stations operating on </w:t>
      </w:r>
      <w:r w:rsidRPr="005D7567">
        <w:t>Channel 51 and blocking from high power operations in the E Block, and sought comment, as described above, on whether reintegration of the band pursuant to an interoperability mandate would result in “harmful interference.”</w:t>
      </w:r>
      <w:r w:rsidRPr="005D7567">
        <w:rPr>
          <w:rStyle w:val="FootnoteReference"/>
          <w:szCs w:val="22"/>
        </w:rPr>
        <w:footnoteReference w:id="28"/>
      </w:r>
      <w:r w:rsidRPr="005D7567">
        <w:t xml:space="preserve">  </w:t>
      </w:r>
    </w:p>
    <w:p w:rsidR="002969FA" w:rsidRPr="00CC0935" w:rsidRDefault="002969FA" w:rsidP="00D03910">
      <w:pPr>
        <w:pStyle w:val="ParaNum"/>
        <w:keepNext/>
        <w:widowControl/>
        <w:snapToGrid w:val="0"/>
      </w:pPr>
      <w:r>
        <w:rPr>
          <w:szCs w:val="22"/>
        </w:rPr>
        <w:t xml:space="preserve">On September 10, 2013, key stakeholders involved in this proceeding filed letters with the Commission indicating their support for a voluntary industry consensus agreement to resolve the lack of interoperability in the Lower 700 MHz band.  In its letter, AT&amp;T outlines its commitments to help achieve Lower 700 MHz interoperability, including its commitment to begin rolling out interoperable devices within 24 </w:t>
      </w:r>
      <w:r w:rsidRPr="001360C6">
        <w:t>months</w:t>
      </w:r>
      <w:r>
        <w:rPr>
          <w:szCs w:val="22"/>
        </w:rPr>
        <w:t>.</w:t>
      </w:r>
      <w:r>
        <w:rPr>
          <w:rStyle w:val="FootnoteReference"/>
          <w:szCs w:val="22"/>
        </w:rPr>
        <w:footnoteReference w:id="29"/>
      </w:r>
      <w:r>
        <w:rPr>
          <w:szCs w:val="22"/>
        </w:rPr>
        <w:t xml:space="preserve">  DISH similarly outlines its commitments to address interference concerns regarding high powered operations in the E Block spectrum.</w:t>
      </w:r>
      <w:r>
        <w:rPr>
          <w:rStyle w:val="FootnoteReference"/>
          <w:szCs w:val="22"/>
        </w:rPr>
        <w:footnoteReference w:id="30"/>
      </w:r>
      <w:r>
        <w:rPr>
          <w:szCs w:val="22"/>
        </w:rPr>
        <w:t xml:space="preserve">  A coalition of Lower 700 MHz A Block licensees also filed a letter indicating their support for the commitments contained in AT&amp;T’s letter as a means to ensure restoration of interoperability in the Lower 700 MHz band.</w:t>
      </w:r>
      <w:r>
        <w:rPr>
          <w:rStyle w:val="FootnoteReference"/>
          <w:szCs w:val="22"/>
        </w:rPr>
        <w:footnoteReference w:id="31"/>
      </w:r>
    </w:p>
    <w:p w:rsidR="002969FA" w:rsidRPr="005D7567" w:rsidRDefault="002969FA" w:rsidP="00D03910">
      <w:pPr>
        <w:pStyle w:val="ParaNum"/>
        <w:keepNext/>
        <w:widowControl/>
        <w:snapToGrid w:val="0"/>
      </w:pPr>
      <w:r w:rsidRPr="005D7567">
        <w:rPr>
          <w:i/>
          <w:szCs w:val="22"/>
        </w:rPr>
        <w:t>Channel 51 Broadcast Operations</w:t>
      </w:r>
      <w:r w:rsidRPr="005D7567">
        <w:rPr>
          <w:szCs w:val="22"/>
        </w:rPr>
        <w:t xml:space="preserve">.  As set out earlier in the 700 MHz band plan, Channel 51 broadcast stations are adjacent to the lower portion of the Lower 700 MHz band.  Channel 51 stations give rise to one of the two </w:t>
      </w:r>
      <w:r w:rsidR="008F4D0E">
        <w:rPr>
          <w:szCs w:val="22"/>
          <w:lang w:val="en-US"/>
        </w:rPr>
        <w:t xml:space="preserve">alleged </w:t>
      </w:r>
      <w:r w:rsidRPr="005D7567">
        <w:rPr>
          <w:szCs w:val="22"/>
        </w:rPr>
        <w:t xml:space="preserve">interference issues potentially affecting interoperability </w:t>
      </w:r>
      <w:r w:rsidR="00260EB1">
        <w:t xml:space="preserve">– </w:t>
      </w:r>
      <w:r w:rsidRPr="005D7567">
        <w:rPr>
          <w:szCs w:val="22"/>
        </w:rPr>
        <w:t xml:space="preserve"> the possibility of reverse intermodulation </w:t>
      </w:r>
      <w:r w:rsidRPr="001360C6">
        <w:rPr>
          <w:color w:val="010101"/>
        </w:rPr>
        <w:t>interference</w:t>
      </w:r>
      <w:r w:rsidRPr="005D7567">
        <w:rPr>
          <w:szCs w:val="22"/>
        </w:rPr>
        <w:t xml:space="preserve"> resulting from the interplay of Channel 51 and Lower 700 </w:t>
      </w:r>
      <w:r w:rsidRPr="005D7567">
        <w:t>MHz</w:t>
      </w:r>
      <w:r w:rsidRPr="005D7567">
        <w:rPr>
          <w:szCs w:val="22"/>
        </w:rPr>
        <w:t xml:space="preserve"> B and C Block signals.  Separate from this iss</w:t>
      </w:r>
      <w:r w:rsidRPr="001360C6">
        <w:t>u</w:t>
      </w:r>
      <w:r w:rsidRPr="005D7567">
        <w:rPr>
          <w:szCs w:val="22"/>
        </w:rPr>
        <w:t>e, and not relevant to the interoperability of service within the Lower 700 MHz band, are questions of adjacent channel interference between Channel 51 and Lower 700 MHz A Block signals.  Because of the potential for such adjacent channel interference, Commission rules establish “exclusion zones” in which Lower A Block operations are prohibited, which are designed to protect Channel 51 stations from possible interference.</w:t>
      </w:r>
      <w:r w:rsidRPr="005D7567">
        <w:rPr>
          <w:rStyle w:val="FootnoteReference"/>
          <w:szCs w:val="22"/>
        </w:rPr>
        <w:footnoteReference w:id="32"/>
      </w:r>
      <w:r w:rsidRPr="005D7567">
        <w:rPr>
          <w:szCs w:val="22"/>
        </w:rPr>
        <w:t xml:space="preserve">  There are currently 27 full-power Channel 51 broadcast stations, and 6 Class A low-power television operations on Channel 51 in the U.S., including Puerto Rico. </w:t>
      </w:r>
      <w:r>
        <w:rPr>
          <w:szCs w:val="22"/>
        </w:rPr>
        <w:t xml:space="preserve"> </w:t>
      </w:r>
      <w:r w:rsidRPr="005D7567">
        <w:rPr>
          <w:szCs w:val="22"/>
        </w:rPr>
        <w:t xml:space="preserve">Nearly 190 million American consumers live </w:t>
      </w:r>
      <w:r w:rsidRPr="005D7567">
        <w:rPr>
          <w:i/>
          <w:szCs w:val="22"/>
        </w:rPr>
        <w:t>outside</w:t>
      </w:r>
      <w:r w:rsidRPr="005D7567">
        <w:rPr>
          <w:szCs w:val="22"/>
        </w:rPr>
        <w:t xml:space="preserve"> these exclusion zones, including almost 50 million of the 60 million American consumers living in rural areas.</w:t>
      </w:r>
      <w:r w:rsidRPr="005D7567">
        <w:rPr>
          <w:rStyle w:val="FootnoteReference"/>
          <w:szCs w:val="22"/>
        </w:rPr>
        <w:footnoteReference w:id="33"/>
      </w:r>
      <w:r w:rsidRPr="005D7567">
        <w:rPr>
          <w:szCs w:val="22"/>
        </w:rPr>
        <w:t xml:space="preserve">  More than 3.2 million square miles, or more than 90 percent of the land area in the U.S. is located outside the exclusion zones, including 2.8 million square miles in rural areas.</w:t>
      </w:r>
    </w:p>
    <w:p w:rsidR="002969FA" w:rsidRPr="005D7567" w:rsidRDefault="002969FA" w:rsidP="00D03910">
      <w:pPr>
        <w:pStyle w:val="Heading1"/>
        <w:widowControl/>
      </w:pPr>
      <w:bookmarkStart w:id="160" w:name="_Toc363670216"/>
      <w:bookmarkStart w:id="161" w:name="_Toc363239550"/>
      <w:bookmarkStart w:id="162" w:name="_Toc363239520"/>
      <w:bookmarkStart w:id="163" w:name="_Toc363219728"/>
      <w:bookmarkStart w:id="164" w:name="_Toc359508228"/>
      <w:bookmarkStart w:id="165" w:name="_Toc359484924"/>
      <w:bookmarkStart w:id="166" w:name="_Toc359484859"/>
      <w:bookmarkStart w:id="167" w:name="_Toc358638693"/>
      <w:bookmarkStart w:id="168" w:name="_Toc358638670"/>
      <w:bookmarkStart w:id="169" w:name="_Toc358638628"/>
      <w:bookmarkStart w:id="170" w:name="_Toc358635143"/>
      <w:bookmarkStart w:id="171" w:name="_Toc358634930"/>
      <w:bookmarkStart w:id="172" w:name="_Toc358105130"/>
      <w:bookmarkStart w:id="173" w:name="_Toc351730485"/>
      <w:bookmarkStart w:id="174" w:name="_Toc351376940"/>
      <w:bookmarkStart w:id="175" w:name="_Toc351376393"/>
      <w:bookmarkStart w:id="176" w:name="_Toc364339637"/>
      <w:bookmarkStart w:id="177" w:name="_Toc364363107"/>
      <w:bookmarkStart w:id="178" w:name="_Toc365289469"/>
      <w:bookmarkStart w:id="179" w:name="_Toc365297786"/>
      <w:bookmarkStart w:id="180" w:name="_Toc366080748"/>
      <w:bookmarkStart w:id="181" w:name="_Toc366081284"/>
      <w:bookmarkStart w:id="182" w:name="_Toc366142303"/>
      <w:bookmarkStart w:id="183" w:name="_Toc366160456"/>
      <w:bookmarkStart w:id="184" w:name="_Toc366161308"/>
      <w:bookmarkStart w:id="185" w:name="_Toc366677416"/>
      <w:bookmarkStart w:id="186" w:name="_Toc366696622"/>
      <w:bookmarkStart w:id="187" w:name="_Toc366740264"/>
      <w:bookmarkStart w:id="188" w:name="_Toc366766671"/>
      <w:bookmarkStart w:id="189" w:name="_Toc366771498"/>
      <w:bookmarkStart w:id="190" w:name="_Toc367201503"/>
      <w:bookmarkStart w:id="191" w:name="_Toc367297828"/>
      <w:bookmarkStart w:id="192" w:name="_Toc367384478"/>
      <w:bookmarkStart w:id="193" w:name="_Toc367385263"/>
      <w:bookmarkStart w:id="194" w:name="_Toc367463241"/>
      <w:bookmarkStart w:id="195" w:name="_Toc367715573"/>
      <w:bookmarkStart w:id="196" w:name="_Toc367975861"/>
      <w:bookmarkStart w:id="197" w:name="_Toc367978234"/>
      <w:bookmarkStart w:id="198" w:name="_Toc368049346"/>
      <w:bookmarkStart w:id="199" w:name="_Toc370401664"/>
      <w:r w:rsidRPr="005D7567">
        <w:t>discussion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2969FA" w:rsidRPr="00735914" w:rsidRDefault="002969FA" w:rsidP="00D03910">
      <w:pPr>
        <w:pStyle w:val="ParaNum"/>
        <w:keepNext/>
        <w:widowControl/>
        <w:snapToGrid w:val="0"/>
      </w:pPr>
      <w:r>
        <w:t>As noted above, on September 10, 2013, parties in this proceeding filed letters with the Commission indicating that they have reached agreement on a voluntary industry solution to resolve the lack of interoperability in the Lower 700 MHz band.</w:t>
      </w:r>
      <w:r>
        <w:rPr>
          <w:rStyle w:val="FootnoteReference"/>
        </w:rPr>
        <w:footnoteReference w:id="34"/>
      </w:r>
      <w:r>
        <w:t xml:space="preserve">  Here we take steps to implement this voluntary industry solution</w:t>
      </w:r>
      <w:r w:rsidR="00587A39">
        <w:rPr>
          <w:lang w:val="en-US"/>
        </w:rPr>
        <w:t xml:space="preserve">, </w:t>
      </w:r>
      <w:r w:rsidR="008F4D0E">
        <w:rPr>
          <w:lang w:val="en-US"/>
        </w:rPr>
        <w:t xml:space="preserve">the substantive terms of </w:t>
      </w:r>
      <w:r w:rsidR="00587A39">
        <w:rPr>
          <w:lang w:val="en-US"/>
        </w:rPr>
        <w:t>which we find to be consistent with the public interest, convenience, and necessity</w:t>
      </w:r>
      <w:r w:rsidR="008F4D0E">
        <w:rPr>
          <w:lang w:val="en-US"/>
        </w:rPr>
        <w:t xml:space="preserve"> as well as the record in this proceeding </w:t>
      </w:r>
      <w:r w:rsidR="00587A39">
        <w:rPr>
          <w:lang w:val="en-US"/>
        </w:rPr>
        <w:t>for the reasons set forth below</w:t>
      </w:r>
      <w:r>
        <w:t xml:space="preserve">.  First, and in accordance with the industry consensus, we </w:t>
      </w:r>
      <w:r w:rsidRPr="005D7567">
        <w:t>address interference concerns that have been rai</w:t>
      </w:r>
      <w:r>
        <w:t xml:space="preserve">sed </w:t>
      </w:r>
      <w:r w:rsidRPr="005D7567">
        <w:t xml:space="preserve">as obstacles to the voluntary adoption of interoperability in the Lower 700 MHz band.  </w:t>
      </w:r>
      <w:r w:rsidR="00090E68" w:rsidRPr="00090E68">
        <w:rPr>
          <w:lang w:val="en-US"/>
        </w:rPr>
        <w:t>We find that t</w:t>
      </w:r>
      <w:r w:rsidR="00090E68" w:rsidRPr="005D7567">
        <w:t xml:space="preserve">he current technical rules governing the D and E Blocks would </w:t>
      </w:r>
      <w:r w:rsidR="00145274">
        <w:rPr>
          <w:lang w:val="en-US"/>
        </w:rPr>
        <w:t xml:space="preserve">likely </w:t>
      </w:r>
      <w:r w:rsidR="00090E68" w:rsidRPr="005D7567">
        <w:t xml:space="preserve">lead to harmful interference </w:t>
      </w:r>
      <w:r w:rsidR="00587A39">
        <w:t xml:space="preserve">to Lower 700 MHz B and C Block licensees </w:t>
      </w:r>
      <w:r w:rsidR="00090E68" w:rsidRPr="005D7567">
        <w:t>and therefore do constitute a barrier to interoperability.  We therefore modify those ru</w:t>
      </w:r>
      <w:r w:rsidR="00832479">
        <w:t>les to eliminate that barrier</w:t>
      </w:r>
      <w:r w:rsidR="00355168">
        <w:t xml:space="preserve"> in a manner consistent with the industry solution</w:t>
      </w:r>
      <w:r w:rsidR="00832479">
        <w:t xml:space="preserve">.  </w:t>
      </w:r>
      <w:r w:rsidR="00090E68" w:rsidRPr="00090E68">
        <w:rPr>
          <w:lang w:val="en-US"/>
        </w:rPr>
        <w:t>In addition, a</w:t>
      </w:r>
      <w:r w:rsidRPr="005D7567">
        <w:t xml:space="preserve">fter review of the extensive record in this proceeding, </w:t>
      </w:r>
      <w:r>
        <w:t xml:space="preserve">and based on our </w:t>
      </w:r>
      <w:r w:rsidR="008F4D0E">
        <w:rPr>
          <w:lang w:val="en-US"/>
        </w:rPr>
        <w:t xml:space="preserve">technical expertise and </w:t>
      </w:r>
      <w:r>
        <w:t xml:space="preserve">predictive judgment, </w:t>
      </w:r>
      <w:r w:rsidRPr="005D7567">
        <w:t>we</w:t>
      </w:r>
      <w:r>
        <w:t xml:space="preserve"> </w:t>
      </w:r>
      <w:r w:rsidR="00D27AC9">
        <w:rPr>
          <w:lang w:val="en-US"/>
        </w:rPr>
        <w:t>find</w:t>
      </w:r>
      <w:r w:rsidR="00D27AC9">
        <w:t xml:space="preserve"> </w:t>
      </w:r>
      <w:r>
        <w:t xml:space="preserve">that </w:t>
      </w:r>
      <w:r w:rsidRPr="00F553C3">
        <w:t xml:space="preserve">any </w:t>
      </w:r>
      <w:r w:rsidR="00587A39">
        <w:t xml:space="preserve">harmful </w:t>
      </w:r>
      <w:r w:rsidRPr="00F553C3">
        <w:t>interference to Lower 700 MHz mobile devices operating on the Lower 700 MHz B and C Blocks as a result of Channel 51 broadcast operations is unlikely.</w:t>
      </w:r>
      <w:r>
        <w:t xml:space="preserve">  </w:t>
      </w:r>
      <w:r w:rsidRPr="005D7567">
        <w:t xml:space="preserve">Having addressed the potential interference issues, we </w:t>
      </w:r>
      <w:r w:rsidR="00587A39">
        <w:t xml:space="preserve">propose to </w:t>
      </w:r>
      <w:r>
        <w:t>modify AT&amp;T’s B and C Block licenses as outlined herein and in AT&amp;T’s commitment letter</w:t>
      </w:r>
      <w:r>
        <w:rPr>
          <w:rStyle w:val="FootnoteReference"/>
        </w:rPr>
        <w:footnoteReference w:id="35"/>
      </w:r>
      <w:r>
        <w:t xml:space="preserve"> to effectuate the voluntary industry solution and resolv</w:t>
      </w:r>
      <w:r w:rsidR="00EE5009">
        <w:t xml:space="preserve">e the lack of interoperability </w:t>
      </w:r>
      <w:r w:rsidR="00EE5009">
        <w:rPr>
          <w:lang w:val="en-US"/>
        </w:rPr>
        <w:t>i</w:t>
      </w:r>
      <w:r>
        <w:t>n the Lower 700 MHz band in an effective and efficient manner.  Implementing the</w:t>
      </w:r>
      <w:r w:rsidR="008F4D0E">
        <w:rPr>
          <w:lang w:val="en-US"/>
        </w:rPr>
        <w:t xml:space="preserve"> substantive terms of the</w:t>
      </w:r>
      <w:r>
        <w:t xml:space="preserve"> industry solution to establish a clear path to interoperability in the Lower 700 MHz spectrum</w:t>
      </w:r>
      <w:r w:rsidRPr="005D7567">
        <w:t xml:space="preserve"> is consistent with the Commission’s longstanding interest in promoting the interoperability of wireless mobile services (an objective that has been realized for cellular, PCS, A</w:t>
      </w:r>
      <w:r w:rsidR="00587A39">
        <w:t xml:space="preserve">WS, and public safety broadband, and other </w:t>
      </w:r>
      <w:r w:rsidRPr="005D7567">
        <w:t>service</w:t>
      </w:r>
      <w:r w:rsidR="00587A39">
        <w:t>s</w:t>
      </w:r>
      <w:r w:rsidRPr="005D7567">
        <w:t xml:space="preserve">) and furthers important public interests, including promoting the widest possible deployment of mobile </w:t>
      </w:r>
      <w:r>
        <w:t xml:space="preserve">broadband </w:t>
      </w:r>
      <w:r w:rsidRPr="005D7567">
        <w:t xml:space="preserve">services, ensuring the most efficient use of spectrum, promoting competition and enhancing consumer choice of wireless services.  </w:t>
      </w:r>
    </w:p>
    <w:p w:rsidR="00090E68" w:rsidRPr="005B76F1" w:rsidRDefault="00832479" w:rsidP="00D03910">
      <w:pPr>
        <w:pStyle w:val="ParaNum"/>
        <w:keepNext/>
        <w:widowControl/>
        <w:snapToGrid w:val="0"/>
      </w:pPr>
      <w:r>
        <w:rPr>
          <w:lang w:val="en-US"/>
        </w:rPr>
        <w:t xml:space="preserve">Finally, </w:t>
      </w:r>
      <w:r w:rsidR="008F4D0E">
        <w:rPr>
          <w:lang w:val="en-US"/>
        </w:rPr>
        <w:t xml:space="preserve">in light of our foregoing actions, </w:t>
      </w:r>
      <w:r>
        <w:rPr>
          <w:lang w:val="en-US"/>
        </w:rPr>
        <w:t xml:space="preserve">we </w:t>
      </w:r>
      <w:r w:rsidR="000001C8">
        <w:rPr>
          <w:lang w:val="en-US"/>
        </w:rPr>
        <w:t>modify the construction requirements for E Block licensees, extending the interim and final deadlines and</w:t>
      </w:r>
      <w:r w:rsidR="008F4D0E">
        <w:rPr>
          <w:lang w:val="en-US"/>
        </w:rPr>
        <w:t xml:space="preserve"> license terms and</w:t>
      </w:r>
      <w:r w:rsidR="000001C8">
        <w:rPr>
          <w:lang w:val="en-US"/>
        </w:rPr>
        <w:t xml:space="preserve"> permitting licensees to meet </w:t>
      </w:r>
      <w:r>
        <w:rPr>
          <w:lang w:val="en-US"/>
        </w:rPr>
        <w:t xml:space="preserve">a population-based coverage requirement as an alternative to a geographic-based requirement.  </w:t>
      </w:r>
      <w:r w:rsidR="000001C8">
        <w:rPr>
          <w:lang w:val="en-US"/>
        </w:rPr>
        <w:t>We also modify the construction requirements for A and B Block licensees, extending the interim construction benchmark deadline to December 1</w:t>
      </w:r>
      <w:r w:rsidR="00BB2D4E">
        <w:rPr>
          <w:lang w:val="en-US"/>
        </w:rPr>
        <w:t>3</w:t>
      </w:r>
      <w:r w:rsidR="000001C8">
        <w:rPr>
          <w:lang w:val="en-US"/>
        </w:rPr>
        <w:t>, 201</w:t>
      </w:r>
      <w:r w:rsidR="00356225">
        <w:rPr>
          <w:lang w:val="en-US"/>
        </w:rPr>
        <w:t>6</w:t>
      </w:r>
      <w:r w:rsidR="000001C8">
        <w:rPr>
          <w:lang w:val="en-US"/>
        </w:rPr>
        <w:t xml:space="preserve"> and removing the interim deadline for certain A Block licensees </w:t>
      </w:r>
      <w:r>
        <w:rPr>
          <w:lang w:val="en-US"/>
        </w:rPr>
        <w:t>adjacent to Channel 51 operations.</w:t>
      </w:r>
    </w:p>
    <w:p w:rsidR="005B76F1" w:rsidRPr="005D7567" w:rsidRDefault="005B76F1" w:rsidP="005B76F1"/>
    <w:p w:rsidR="002969FA" w:rsidRDefault="00251AE0" w:rsidP="005B76F1">
      <w:pPr>
        <w:pStyle w:val="Heading2"/>
      </w:pPr>
      <w:bookmarkStart w:id="200" w:name="_Toc363670217"/>
      <w:bookmarkStart w:id="201" w:name="_Toc363239551"/>
      <w:bookmarkStart w:id="202" w:name="_Toc363239521"/>
      <w:bookmarkStart w:id="203" w:name="_Toc363219729"/>
      <w:bookmarkStart w:id="204" w:name="_Toc359508229"/>
      <w:bookmarkStart w:id="205" w:name="_Toc359484925"/>
      <w:bookmarkStart w:id="206" w:name="_Toc359484860"/>
      <w:bookmarkStart w:id="207" w:name="_Toc364339638"/>
      <w:bookmarkStart w:id="208" w:name="_Toc364363108"/>
      <w:bookmarkStart w:id="209" w:name="_Toc365289470"/>
      <w:bookmarkStart w:id="210" w:name="_Toc365297787"/>
      <w:bookmarkStart w:id="211" w:name="_Toc366080749"/>
      <w:bookmarkStart w:id="212" w:name="_Toc366081285"/>
      <w:bookmarkStart w:id="213" w:name="_Toc366142304"/>
      <w:bookmarkStart w:id="214" w:name="_Toc366160457"/>
      <w:bookmarkStart w:id="215" w:name="_Toc366161309"/>
      <w:bookmarkStart w:id="216" w:name="_Toc366677417"/>
      <w:bookmarkStart w:id="217" w:name="_Toc366696623"/>
      <w:bookmarkStart w:id="218" w:name="_Toc366740265"/>
      <w:bookmarkStart w:id="219" w:name="_Toc366766672"/>
      <w:bookmarkStart w:id="220" w:name="_Toc366771499"/>
      <w:bookmarkStart w:id="221" w:name="_Toc367201504"/>
      <w:bookmarkStart w:id="222" w:name="_Toc367297829"/>
      <w:bookmarkStart w:id="223" w:name="_Toc367384479"/>
      <w:bookmarkStart w:id="224" w:name="_Toc367385264"/>
      <w:bookmarkStart w:id="225" w:name="_Toc367463242"/>
      <w:bookmarkStart w:id="226" w:name="_Toc367715574"/>
      <w:bookmarkStart w:id="227" w:name="_Toc367975862"/>
      <w:bookmarkStart w:id="228" w:name="_Toc367978235"/>
      <w:bookmarkStart w:id="229" w:name="_Toc368049347"/>
      <w:bookmarkStart w:id="230" w:name="_Toc370401665"/>
      <w:r w:rsidRPr="00251AE0">
        <w:t>Technical Rules for D and E Blocks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5F5D1D" w:rsidRPr="001B745E" w:rsidRDefault="005F5D1D" w:rsidP="00D03910">
      <w:pPr>
        <w:pStyle w:val="ParaNum"/>
        <w:keepNext/>
        <w:widowControl/>
        <w:snapToGrid w:val="0"/>
      </w:pPr>
      <w:r w:rsidRPr="001B745E">
        <w:rPr>
          <w:i/>
        </w:rPr>
        <w:t>Background.</w:t>
      </w:r>
      <w:r w:rsidRPr="001B745E">
        <w:t xml:space="preserve">  Under Section 27.50(c)(7) of the Commission’s rules, a licensee authorized to operate in the 710–716, 716–722, or 740–746 MHz bands, or in any unpaired spectrum blocks within the 698–746 MHz band may operate a fixed or base station at an Effective Radiated Power (ERP) of up to 50 kW within its authorized bandwidth.</w:t>
      </w:r>
      <w:r w:rsidRPr="001B745E">
        <w:rPr>
          <w:vertAlign w:val="superscript"/>
        </w:rPr>
        <w:footnoteReference w:id="36"/>
      </w:r>
      <w:r w:rsidRPr="001B745E">
        <w:t xml:space="preserve">  Further, the antenna height for such stations is limited only to the extent required to satisfy the </w:t>
      </w:r>
      <w:r>
        <w:t xml:space="preserve">power flux density </w:t>
      </w:r>
      <w:r w:rsidRPr="001B745E">
        <w:t>requirements of Section 27.55(b) of the rules</w:t>
      </w:r>
      <w:r>
        <w:t xml:space="preserve">, which provide that the power transmitted from a fixed or base station may not exceed </w:t>
      </w:r>
      <w:r w:rsidRPr="00CB1341">
        <w:t>3000 microwatts per square meter on the ground at any distance within 1 km of the stations</w:t>
      </w:r>
      <w:r w:rsidRPr="001B745E">
        <w:t>.</w:t>
      </w:r>
      <w:r w:rsidRPr="001B745E">
        <w:rPr>
          <w:vertAlign w:val="superscript"/>
        </w:rPr>
        <w:footnoteReference w:id="37"/>
      </w:r>
      <w:r w:rsidRPr="001B745E">
        <w:t xml:space="preserve">  By contrast, other </w:t>
      </w:r>
      <w:r>
        <w:t xml:space="preserve">fixed or base </w:t>
      </w:r>
      <w:r w:rsidRPr="001B745E">
        <w:t>stations in the Lower 700 MHz band transmitting a signal with an emission bandwidth greater than 1 megahertz, including stations authorized in the Lower 700 MHz A and B Block</w:t>
      </w:r>
      <w:r w:rsidR="00355168">
        <w:t>,</w:t>
      </w:r>
      <w:r w:rsidRPr="001B745E">
        <w:t xml:space="preserve"> are restricted to an ERP of 1,000 to 2,000 watts/MHz and an antenna height of 305 m height above average terrain</w:t>
      </w:r>
      <w:r w:rsidR="00260EB1">
        <w:rPr>
          <w:lang w:val="en-US"/>
        </w:rPr>
        <w:t xml:space="preserve"> (</w:t>
      </w:r>
      <w:r w:rsidR="00260EB1">
        <w:t>HAAT</w:t>
      </w:r>
      <w:r w:rsidR="00260EB1">
        <w:rPr>
          <w:lang w:val="en-US"/>
        </w:rPr>
        <w:t>)</w:t>
      </w:r>
      <w:r w:rsidRPr="001B745E">
        <w:t>.</w:t>
      </w:r>
      <w:r w:rsidRPr="001B745E">
        <w:rPr>
          <w:vertAlign w:val="superscript"/>
        </w:rPr>
        <w:footnoteReference w:id="38"/>
      </w:r>
      <w:r w:rsidRPr="001B745E">
        <w:t xml:space="preserve">  </w:t>
      </w:r>
    </w:p>
    <w:p w:rsidR="005F5D1D" w:rsidRPr="001B745E" w:rsidRDefault="005F5D1D" w:rsidP="00D03910">
      <w:pPr>
        <w:pStyle w:val="ParaNum"/>
        <w:keepNext/>
        <w:widowControl/>
        <w:snapToGrid w:val="0"/>
      </w:pPr>
      <w:r w:rsidRPr="001B745E">
        <w:t>In 2011, the Commission recognized that high-powered operations in the D and E Blocks could be a source of harmful interference, and conditioned the approval of AT&amp;T’s acquisition of Qualcomm’s Lower 700 MHz D and E Block spectrum on certain technical requirements designed to ensure that AT&amp;T’s operations on the Lower 700 MHz spectrum would not limit the potential of third parties to fully utilize other Lower 700 MHz spectrum.</w:t>
      </w:r>
      <w:r w:rsidRPr="001B745E">
        <w:rPr>
          <w:vertAlign w:val="superscript"/>
        </w:rPr>
        <w:footnoteReference w:id="39"/>
      </w:r>
      <w:r w:rsidRPr="001B745E">
        <w:t xml:space="preserve">  The </w:t>
      </w:r>
      <w:r w:rsidRPr="001B745E">
        <w:rPr>
          <w:i/>
        </w:rPr>
        <w:t>AT&amp;T-Qualcomm Order</w:t>
      </w:r>
      <w:r w:rsidRPr="001B745E">
        <w:t xml:space="preserve"> also prohibited AT&amp;T from using the Qualcomm spectrum for uplink transmissions and imposed a </w:t>
      </w:r>
      <w:r w:rsidR="00C240AE">
        <w:t xml:space="preserve">coordination and mitigation </w:t>
      </w:r>
      <w:r w:rsidRPr="001B745E">
        <w:t xml:space="preserve">condition </w:t>
      </w:r>
      <w:r w:rsidR="00C240AE">
        <w:t xml:space="preserve">with respect to </w:t>
      </w:r>
      <w:r w:rsidRPr="001B745E">
        <w:t>possible interference caused by AT&amp;T’s use of the Lower 700 MHz D and E Blocks for supplemental downlink to the uplink operations of other licensees operating in the Lower 700 MHz A, B, and C Blocks.</w:t>
      </w:r>
      <w:r w:rsidRPr="001B745E">
        <w:rPr>
          <w:vertAlign w:val="superscript"/>
        </w:rPr>
        <w:footnoteReference w:id="40"/>
      </w:r>
      <w:r w:rsidRPr="001B745E">
        <w:t xml:space="preserve">  </w:t>
      </w:r>
    </w:p>
    <w:p w:rsidR="005F5D1D" w:rsidRPr="001B745E" w:rsidRDefault="005F5D1D" w:rsidP="00D03910">
      <w:pPr>
        <w:pStyle w:val="ParaNum"/>
        <w:keepNext/>
        <w:widowControl/>
        <w:snapToGrid w:val="0"/>
      </w:pPr>
      <w:r w:rsidRPr="001B745E">
        <w:t xml:space="preserve">The 3GPP has adopted certain technical specifications for user equipment operating in different 700 MHz bands.  </w:t>
      </w:r>
      <w:r w:rsidR="00C240AE">
        <w:t>3GPP’s specifications for o</w:t>
      </w:r>
      <w:r w:rsidRPr="001B745E">
        <w:t>utput power and the out-of-band emission (OOBE) specifications for LTE equipment are the same for all commercial paired frequencies in the Lower 700 MHz band.</w:t>
      </w:r>
      <w:r w:rsidRPr="001B745E">
        <w:rPr>
          <w:vertAlign w:val="superscript"/>
        </w:rPr>
        <w:footnoteReference w:id="41"/>
      </w:r>
      <w:r w:rsidRPr="001B745E">
        <w:t xml:space="preserve">  The 3GPP specifications differ, however, with respect to receiver blocking, which is the required ability of a receiver to tolerate a much stronger (Lower 700 MHz E Block) signal spectrally located near the desired signal.</w:t>
      </w:r>
      <w:r w:rsidRPr="001B745E">
        <w:rPr>
          <w:vertAlign w:val="superscript"/>
        </w:rPr>
        <w:footnoteReference w:id="42"/>
      </w:r>
      <w:r w:rsidRPr="001B745E">
        <w:t xml:space="preserve"> The 3GPP-specified requirements for receiver blocking are the same for Band Class 13 and Band Class 14 equipment, but Band Class 12 and Band Class 17 have distinct blocking requirements, due to differences in each band’s relative proximity to neighboring high-powered operations in the Lower 700 MHz D and E Blocks.</w:t>
      </w:r>
      <w:r w:rsidRPr="001B745E">
        <w:rPr>
          <w:vertAlign w:val="superscript"/>
        </w:rPr>
        <w:footnoteReference w:id="43"/>
      </w:r>
      <w:r w:rsidRPr="001B745E">
        <w:t xml:space="preserve"> </w:t>
      </w:r>
    </w:p>
    <w:p w:rsidR="005F5D1D" w:rsidRPr="001B745E" w:rsidRDefault="005F5D1D" w:rsidP="00D03910">
      <w:pPr>
        <w:pStyle w:val="ParaNum"/>
        <w:keepNext/>
        <w:widowControl/>
        <w:snapToGrid w:val="0"/>
      </w:pPr>
      <w:r w:rsidRPr="001B745E">
        <w:t xml:space="preserve">In the </w:t>
      </w:r>
      <w:r w:rsidRPr="001B745E">
        <w:rPr>
          <w:i/>
        </w:rPr>
        <w:t>Interoperability NPRM</w:t>
      </w:r>
      <w:r w:rsidRPr="001B745E">
        <w:t>, the Commission sought comment on whether potential interference</w:t>
      </w:r>
      <w:r w:rsidR="005122DD">
        <w:t xml:space="preserve"> from the 700 MHz Lower E Block</w:t>
      </w:r>
      <w:r w:rsidRPr="001B745E">
        <w:t xml:space="preserve"> </w:t>
      </w:r>
      <w:r w:rsidR="00355168">
        <w:t xml:space="preserve">might </w:t>
      </w:r>
      <w:r w:rsidRPr="001B745E">
        <w:t>be preventing the voluntary adoption of Band Class 12 by Lower B and C block licensees.</w:t>
      </w:r>
      <w:r w:rsidRPr="001B745E">
        <w:rPr>
          <w:vertAlign w:val="superscript"/>
        </w:rPr>
        <w:footnoteReference w:id="44"/>
      </w:r>
      <w:r w:rsidRPr="001B745E">
        <w:t xml:space="preserve">  The </w:t>
      </w:r>
      <w:r w:rsidRPr="001B745E">
        <w:rPr>
          <w:i/>
        </w:rPr>
        <w:t>Interoperability NPRM</w:t>
      </w:r>
      <w:r w:rsidRPr="001B745E">
        <w:t xml:space="preserve"> sought comment on whether there are any measures the Commission </w:t>
      </w:r>
      <w:r w:rsidR="00355168">
        <w:t xml:space="preserve">could </w:t>
      </w:r>
      <w:r w:rsidRPr="001B745E">
        <w:t>take to address such interference concerns, including whether they c</w:t>
      </w:r>
      <w:r w:rsidR="00355168">
        <w:t>ould</w:t>
      </w:r>
      <w:r w:rsidRPr="001B745E">
        <w:t xml:space="preserve"> be adequately addressed by adopting technical conditions set forth in the </w:t>
      </w:r>
      <w:r w:rsidRPr="001B745E">
        <w:rPr>
          <w:i/>
        </w:rPr>
        <w:t>AT&amp;T-Qualcomm Order</w:t>
      </w:r>
      <w:r w:rsidRPr="001B745E">
        <w:t>.</w:t>
      </w:r>
      <w:r w:rsidRPr="001B745E">
        <w:rPr>
          <w:vertAlign w:val="superscript"/>
        </w:rPr>
        <w:footnoteReference w:id="45"/>
      </w:r>
      <w:r w:rsidRPr="001B745E">
        <w:t xml:space="preserve">  The Commission sought comment on whether there </w:t>
      </w:r>
      <w:r w:rsidR="00355168">
        <w:t>were</w:t>
      </w:r>
      <w:r w:rsidRPr="001B745E">
        <w:t xml:space="preserve"> changes the Commission c</w:t>
      </w:r>
      <w:r w:rsidR="00355168">
        <w:t>ould</w:t>
      </w:r>
      <w:r w:rsidRPr="001B745E">
        <w:t xml:space="preserve"> adopt to its rules that would addre</w:t>
      </w:r>
      <w:r>
        <w:t>ss concerns that Lower 700 MHz B and C B</w:t>
      </w:r>
      <w:r w:rsidRPr="001B745E">
        <w:t>lock licensees m</w:t>
      </w:r>
      <w:r w:rsidR="006773F2">
        <w:t>ight</w:t>
      </w:r>
      <w:r w:rsidRPr="001B745E">
        <w:t xml:space="preserve"> experience harmful inter</w:t>
      </w:r>
      <w:r>
        <w:t>ference from Lower 700 MHz D and E B</w:t>
      </w:r>
      <w:r w:rsidRPr="001B745E">
        <w:t>lock operations and encourage these licensees to voluntarily adopt interoperable devices.</w:t>
      </w:r>
      <w:r w:rsidRPr="001B745E">
        <w:rPr>
          <w:vertAlign w:val="superscript"/>
        </w:rPr>
        <w:footnoteReference w:id="46"/>
      </w:r>
      <w:r w:rsidRPr="001B745E">
        <w:t xml:space="preserve">  The Commission also sought comment on how such modifications would affect the operations and plans of Lower E Block licensees, other than AT&amp;T.</w:t>
      </w:r>
      <w:r w:rsidRPr="001B745E">
        <w:rPr>
          <w:vertAlign w:val="superscript"/>
        </w:rPr>
        <w:footnoteReference w:id="47"/>
      </w:r>
    </w:p>
    <w:p w:rsidR="005F5D1D" w:rsidRPr="001B745E" w:rsidRDefault="005F5D1D" w:rsidP="00D03910">
      <w:pPr>
        <w:pStyle w:val="ParaNum"/>
        <w:keepNext/>
        <w:widowControl/>
        <w:snapToGrid w:val="0"/>
      </w:pPr>
      <w:r w:rsidRPr="001B745E">
        <w:t xml:space="preserve">On September 10, 2013, AT&amp;T and DISH made </w:t>
      </w:r>
      <w:r w:rsidRPr="00634B65">
        <w:rPr>
          <w:i/>
        </w:rPr>
        <w:t>ex parte</w:t>
      </w:r>
      <w:r w:rsidRPr="001B745E">
        <w:t xml:space="preserve"> filings </w:t>
      </w:r>
      <w:r>
        <w:t xml:space="preserve">as part of the voluntary industry solution </w:t>
      </w:r>
      <w:r w:rsidRPr="001B745E">
        <w:t xml:space="preserve">in </w:t>
      </w:r>
      <w:r>
        <w:t xml:space="preserve">which they set out </w:t>
      </w:r>
      <w:r w:rsidRPr="001B745E">
        <w:t xml:space="preserve">certain steps </w:t>
      </w:r>
      <w:r>
        <w:t xml:space="preserve">to </w:t>
      </w:r>
      <w:r w:rsidRPr="001B745E">
        <w:t>address potential interference con</w:t>
      </w:r>
      <w:r>
        <w:t>cerns from the Lower 700 MHz E B</w:t>
      </w:r>
      <w:r w:rsidRPr="001B745E">
        <w:t>loc</w:t>
      </w:r>
      <w:r w:rsidR="00634B65">
        <w:t xml:space="preserve">k to the Lower 700 MHz B and C </w:t>
      </w:r>
      <w:r w:rsidR="00634B65">
        <w:rPr>
          <w:lang w:val="en-US"/>
        </w:rPr>
        <w:t>B</w:t>
      </w:r>
      <w:r w:rsidRPr="001B745E">
        <w:t>locks.</w:t>
      </w:r>
      <w:r w:rsidRPr="001B745E">
        <w:rPr>
          <w:vertAlign w:val="superscript"/>
        </w:rPr>
        <w:footnoteReference w:id="48"/>
      </w:r>
      <w:r w:rsidRPr="001B745E">
        <w:t xml:space="preserve">  DISH states that it</w:t>
      </w:r>
      <w:r w:rsidRPr="00B43F70">
        <w:t xml:space="preserve"> </w:t>
      </w:r>
      <w:r>
        <w:t xml:space="preserve">shares the Commission’s goals of promoting efficient spectrum use of the Lower 700 MHz band and, as part of an industry consensus on interoperability, </w:t>
      </w:r>
      <w:r w:rsidR="006773F2">
        <w:t>it</w:t>
      </w:r>
      <w:r>
        <w:t xml:space="preserve"> is willing to </w:t>
      </w:r>
      <w:r w:rsidRPr="001B745E">
        <w:t xml:space="preserve">consent to a reduction </w:t>
      </w:r>
      <w:r>
        <w:t>in power.</w:t>
      </w:r>
      <w:r>
        <w:rPr>
          <w:rStyle w:val="FootnoteReference"/>
        </w:rPr>
        <w:footnoteReference w:id="49"/>
      </w:r>
      <w:r>
        <w:t xml:space="preserve">  Specifically</w:t>
      </w:r>
      <w:r w:rsidRPr="00C722AA">
        <w:t xml:space="preserve">, </w:t>
      </w:r>
      <w:r>
        <w:t>DISH states that</w:t>
      </w:r>
      <w:r w:rsidR="008F4D0E">
        <w:rPr>
          <w:lang w:val="en-US"/>
        </w:rPr>
        <w:t>,</w:t>
      </w:r>
      <w:r>
        <w:t xml:space="preserve"> to support the Commission’s efforts and objectives, it “will consent to a reduction </w:t>
      </w:r>
      <w:r w:rsidRPr="001B745E">
        <w:t>of the ERP of base st</w:t>
      </w:r>
      <w:r w:rsidR="009339BF">
        <w:t xml:space="preserve">ations for its Lower 700 MHz E </w:t>
      </w:r>
      <w:r w:rsidR="009339BF">
        <w:rPr>
          <w:lang w:val="en-US"/>
        </w:rPr>
        <w:t>B</w:t>
      </w:r>
      <w:r w:rsidRPr="001B745E">
        <w:t>lock licenses to 1</w:t>
      </w:r>
      <w:r w:rsidR="005122DD">
        <w:t xml:space="preserve">,000 watts/MHz </w:t>
      </w:r>
      <w:r w:rsidRPr="001B745E">
        <w:t>in urban areas and 2</w:t>
      </w:r>
      <w:r w:rsidR="009339BF">
        <w:rPr>
          <w:lang w:val="en-US"/>
        </w:rPr>
        <w:t>,</w:t>
      </w:r>
      <w:r w:rsidRPr="001B745E">
        <w:t>000 watts/MHz in rural areas.”</w:t>
      </w:r>
      <w:r w:rsidRPr="001B745E">
        <w:rPr>
          <w:vertAlign w:val="superscript"/>
        </w:rPr>
        <w:footnoteReference w:id="50"/>
      </w:r>
      <w:r w:rsidRPr="001B745E">
        <w:t xml:space="preserve">  DISH further states that it “</w:t>
      </w:r>
      <w:r w:rsidR="005122DD">
        <w:t xml:space="preserve">currently </w:t>
      </w:r>
      <w:r w:rsidRPr="001B745E">
        <w:t>plans to deploy an LTE network similar to what Lower 700 MHz A, B, C, and D block operators have deployed today, and to similarly enhance the network as the LTE technology evolves, which would make the above power levels consistent within the band.”</w:t>
      </w:r>
      <w:r w:rsidRPr="001B745E">
        <w:rPr>
          <w:vertAlign w:val="superscript"/>
        </w:rPr>
        <w:footnoteReference w:id="51"/>
      </w:r>
      <w:r>
        <w:t xml:space="preserve">  Finally, DISH asserts</w:t>
      </w:r>
      <w:r w:rsidRPr="001B745E">
        <w:t xml:space="preserve"> that it “should retain a limited right to operate at existing ERP limits pursuant to operator-to-operator agreements with other affected licensees or upon a demonstration to the Commission of no harmful </w:t>
      </w:r>
      <w:r w:rsidR="009339BF">
        <w:t xml:space="preserve">interference to other relevant </w:t>
      </w:r>
      <w:r w:rsidR="005A5769">
        <w:rPr>
          <w:lang w:val="en-US"/>
        </w:rPr>
        <w:t>L</w:t>
      </w:r>
      <w:r w:rsidRPr="001B745E">
        <w:t>ower 700 MHz licensees.”</w:t>
      </w:r>
      <w:r w:rsidRPr="001B745E">
        <w:rPr>
          <w:vertAlign w:val="superscript"/>
        </w:rPr>
        <w:footnoteReference w:id="52"/>
      </w:r>
      <w:r w:rsidRPr="001B745E">
        <w:t xml:space="preserve">  </w:t>
      </w:r>
      <w:r>
        <w:t xml:space="preserve">According to DISH </w:t>
      </w:r>
      <w:r w:rsidRPr="001B745E">
        <w:t>“</w:t>
      </w:r>
      <w:r w:rsidRPr="008D2FDF">
        <w:t>[</w:t>
      </w:r>
      <w:r w:rsidRPr="001B745E">
        <w:t>t]he need to reserve a limited opportunity for high-power operations is particularly important for rural America and the deployment of high-power services to underserved communities.”</w:t>
      </w:r>
      <w:r w:rsidRPr="001B745E">
        <w:rPr>
          <w:vertAlign w:val="superscript"/>
        </w:rPr>
        <w:footnoteReference w:id="53"/>
      </w:r>
      <w:r w:rsidRPr="001B745E">
        <w:t xml:space="preserve">  DISH notes that “[t]his rural-focused flexibility – dependent upon actual licensee agreement or further </w:t>
      </w:r>
      <w:r w:rsidR="005122DD">
        <w:t xml:space="preserve">FCC </w:t>
      </w:r>
      <w:r w:rsidRPr="001B745E">
        <w:t>action – will provide DISH with the opportunity to better serve underserved communities without adversely affecting the Commission’s objective to better utilize the Lower 700 MHz band.”</w:t>
      </w:r>
      <w:r w:rsidRPr="001B745E">
        <w:rPr>
          <w:vertAlign w:val="superscript"/>
        </w:rPr>
        <w:footnoteReference w:id="54"/>
      </w:r>
      <w:r w:rsidRPr="001B745E">
        <w:t xml:space="preserve">  In its filing, AT&amp;T states that its commitments to Lower 700 MHz interoperability are premised on requirements that all Lower 700 MHz E Block licensees transmitting a signal with an emission bandwidth greater than 1 megahertz are restricted to an ERP of 1,000 watts to 2,000 watts per megahertz and</w:t>
      </w:r>
      <w:r w:rsidR="00260EB1">
        <w:t xml:space="preserve"> an antenna height of 305 m</w:t>
      </w:r>
      <w:r w:rsidRPr="001B745E">
        <w:t xml:space="preserve"> </w:t>
      </w:r>
      <w:r w:rsidR="00D965BF">
        <w:t>HAAT</w:t>
      </w:r>
      <w:r w:rsidRPr="001B745E">
        <w:t>.</w:t>
      </w:r>
      <w:r w:rsidRPr="001B745E">
        <w:rPr>
          <w:vertAlign w:val="superscript"/>
        </w:rPr>
        <w:footnoteReference w:id="55"/>
      </w:r>
    </w:p>
    <w:p w:rsidR="005F5D1D" w:rsidRPr="001B745E" w:rsidRDefault="005F5D1D" w:rsidP="00D03910">
      <w:pPr>
        <w:pStyle w:val="ParaNum"/>
        <w:keepNext/>
        <w:widowControl/>
        <w:snapToGrid w:val="0"/>
      </w:pPr>
      <w:r w:rsidRPr="001B745E">
        <w:rPr>
          <w:i/>
        </w:rPr>
        <w:t xml:space="preserve">Discussion.  </w:t>
      </w:r>
      <w:r>
        <w:t>Based on the record, w</w:t>
      </w:r>
      <w:r w:rsidRPr="001B745E">
        <w:t>e find that</w:t>
      </w:r>
      <w:r>
        <w:t>, under the current rules,</w:t>
      </w:r>
      <w:r w:rsidRPr="001B745E">
        <w:t xml:space="preserve"> there is a significant threat of harmful interference from high power transmissions in the Lower 700 MHz D and E Blocks to Band Class 12 devices operating on the Lower 700 MHz B and C Blocks that could jeopardize the viability of interoperability in the band.  Consistent with the</w:t>
      </w:r>
      <w:r w:rsidR="00D82249">
        <w:rPr>
          <w:lang w:val="en-US"/>
        </w:rPr>
        <w:t xml:space="preserve"> record in this proceeding</w:t>
      </w:r>
      <w:r w:rsidR="008F4D0E">
        <w:rPr>
          <w:lang w:val="en-US"/>
        </w:rPr>
        <w:t xml:space="preserve"> </w:t>
      </w:r>
      <w:r w:rsidR="00D82249" w:rsidRPr="001B745E">
        <w:t>and</w:t>
      </w:r>
      <w:r w:rsidR="00D82249">
        <w:rPr>
          <w:lang w:val="en-US"/>
        </w:rPr>
        <w:t xml:space="preserve"> </w:t>
      </w:r>
      <w:r w:rsidR="008F4D0E">
        <w:rPr>
          <w:lang w:val="en-US"/>
        </w:rPr>
        <w:t>the</w:t>
      </w:r>
      <w:r w:rsidRPr="001B745E">
        <w:t xml:space="preserve"> </w:t>
      </w:r>
      <w:r w:rsidRPr="001B745E">
        <w:rPr>
          <w:i/>
        </w:rPr>
        <w:t>AT&amp;T-Qualcomm Order</w:t>
      </w:r>
      <w:r w:rsidR="00D82249">
        <w:rPr>
          <w:i/>
          <w:lang w:val="en-US"/>
        </w:rPr>
        <w:t>,</w:t>
      </w:r>
      <w:r w:rsidRPr="001B745E">
        <w:rPr>
          <w:i/>
          <w:vertAlign w:val="superscript"/>
        </w:rPr>
        <w:footnoteReference w:id="56"/>
      </w:r>
      <w:r>
        <w:t xml:space="preserve"> </w:t>
      </w:r>
      <w:r w:rsidRPr="001B745E">
        <w:t>we revise the technical rules applicable to the Lower 700 MHz D and E Blocks by reducing the maximum pe</w:t>
      </w:r>
      <w:r>
        <w:t>rmissible power level</w:t>
      </w:r>
      <w:r w:rsidR="005122DD">
        <w:t xml:space="preserve">s and antenna heights on these blocks. </w:t>
      </w:r>
      <w:r w:rsidRPr="001B745E">
        <w:t xml:space="preserve"> </w:t>
      </w:r>
      <w:r w:rsidR="00D82249">
        <w:rPr>
          <w:lang w:val="en-US"/>
        </w:rPr>
        <w:t>W</w:t>
      </w:r>
      <w:r w:rsidR="005122DD">
        <w:rPr>
          <w:lang w:val="en-US"/>
        </w:rPr>
        <w:t xml:space="preserve">e also modify our rules to </w:t>
      </w:r>
      <w:r w:rsidRPr="009A127C">
        <w:t xml:space="preserve">limit </w:t>
      </w:r>
      <w:r w:rsidR="005122DD">
        <w:t xml:space="preserve">all </w:t>
      </w:r>
      <w:r w:rsidRPr="009A127C">
        <w:t>operations in the Lower 700 MHz D and E Blocks to downlink only.</w:t>
      </w:r>
      <w:r>
        <w:t xml:space="preserve">  We provide that Lower 700 MHz D and E B</w:t>
      </w:r>
      <w:r w:rsidRPr="001B745E">
        <w:t xml:space="preserve">lock licensees </w:t>
      </w:r>
      <w:r>
        <w:t xml:space="preserve">may </w:t>
      </w:r>
      <w:r w:rsidRPr="001B745E">
        <w:t xml:space="preserve">operate </w:t>
      </w:r>
      <w:r>
        <w:t xml:space="preserve">particular sites </w:t>
      </w:r>
      <w:r w:rsidRPr="001B745E">
        <w:t xml:space="preserve">at </w:t>
      </w:r>
      <w:r>
        <w:t xml:space="preserve">power </w:t>
      </w:r>
      <w:r w:rsidRPr="001B745E">
        <w:t xml:space="preserve">levels </w:t>
      </w:r>
      <w:r>
        <w:t xml:space="preserve">higher than permitted under the revised rules under certain specified conditions. </w:t>
      </w:r>
      <w:r w:rsidR="00DD7D75">
        <w:rPr>
          <w:lang w:val="en-US"/>
        </w:rPr>
        <w:t xml:space="preserve"> </w:t>
      </w:r>
      <w:r>
        <w:t xml:space="preserve">We find </w:t>
      </w:r>
      <w:r w:rsidR="008F4D0E">
        <w:rPr>
          <w:lang w:val="en-US"/>
        </w:rPr>
        <w:t>these changes to be in the public interest because</w:t>
      </w:r>
      <w:r w:rsidR="001F5CAA">
        <w:rPr>
          <w:lang w:val="en-US"/>
        </w:rPr>
        <w:t xml:space="preserve"> they eliminate likely harmful interference, thereby promoting interoperable LTE operations in the Lower 700 MHz band.  Indeed, </w:t>
      </w:r>
      <w:r>
        <w:t>w</w:t>
      </w:r>
      <w:r w:rsidRPr="001B745E">
        <w:t>ithout the</w:t>
      </w:r>
      <w:r w:rsidR="001F5CAA">
        <w:rPr>
          <w:lang w:val="en-US"/>
        </w:rPr>
        <w:t>se measures</w:t>
      </w:r>
      <w:r w:rsidR="008F4D0E">
        <w:rPr>
          <w:lang w:val="en-US"/>
        </w:rPr>
        <w:t>,</w:t>
      </w:r>
      <w:r w:rsidRPr="001B745E">
        <w:t xml:space="preserve"> </w:t>
      </w:r>
      <w:r>
        <w:t>the public</w:t>
      </w:r>
      <w:r w:rsidRPr="001B745E">
        <w:t xml:space="preserve"> would not be able to realize the substantial benefits of mobile broadband deployment and interoperability</w:t>
      </w:r>
      <w:r>
        <w:t xml:space="preserve"> in the Lower 700 MHz band</w:t>
      </w:r>
      <w:r w:rsidRPr="001B745E">
        <w:t>.  The technical changes we adopt today will continue to enable the six megahertz of unpaired Lower 700 MHz E Block spectrum to be put to commercial use while facilitating effective and efficient use of 36 megahertz of the Lower 700 MHz A, B, and C Blocks for mobile broadband services.</w:t>
      </w:r>
      <w:r w:rsidR="008F4D0E">
        <w:rPr>
          <w:rStyle w:val="FootnoteReference"/>
        </w:rPr>
        <w:footnoteReference w:id="57"/>
      </w:r>
      <w:r w:rsidRPr="001B745E">
        <w:t xml:space="preserve">  </w:t>
      </w:r>
    </w:p>
    <w:p w:rsidR="005F5D1D" w:rsidRPr="001B745E" w:rsidRDefault="005F5D1D" w:rsidP="00D03910">
      <w:pPr>
        <w:pStyle w:val="ParaNum"/>
        <w:keepNext/>
        <w:widowControl/>
        <w:snapToGrid w:val="0"/>
      </w:pPr>
      <w:r>
        <w:t>Specifically, w</w:t>
      </w:r>
      <w:r w:rsidRPr="001B745E">
        <w:t>e revise our rules to provide that the</w:t>
      </w:r>
      <w:r>
        <w:t xml:space="preserve"> </w:t>
      </w:r>
      <w:r w:rsidR="003B0528" w:rsidRPr="001B745E">
        <w:t xml:space="preserve">Lower 700 MHz </w:t>
      </w:r>
      <w:r w:rsidR="003B0528">
        <w:t>D and E Block</w:t>
      </w:r>
      <w:r w:rsidR="003B0528">
        <w:rPr>
          <w:lang w:val="en-US"/>
        </w:rPr>
        <w:t xml:space="preserve"> base </w:t>
      </w:r>
      <w:r w:rsidR="003B0528" w:rsidRPr="001B745E">
        <w:t xml:space="preserve">station </w:t>
      </w:r>
      <w:r w:rsidR="003B0528" w:rsidRPr="00012E68">
        <w:t xml:space="preserve">transmitting a signal with an emission bandwidth </w:t>
      </w:r>
      <w:r w:rsidR="003B0528">
        <w:rPr>
          <w:lang w:val="en-US"/>
        </w:rPr>
        <w:t>of</w:t>
      </w:r>
      <w:r w:rsidR="003B0528" w:rsidRPr="00012E68">
        <w:t xml:space="preserve"> 1 MHz</w:t>
      </w:r>
      <w:r w:rsidR="003B0528" w:rsidRPr="001B745E">
        <w:t xml:space="preserve"> </w:t>
      </w:r>
      <w:r w:rsidR="003B0528">
        <w:rPr>
          <w:lang w:val="en-US"/>
        </w:rPr>
        <w:t>or less must</w:t>
      </w:r>
      <w:r w:rsidR="003B0528" w:rsidRPr="001B745E">
        <w:t xml:space="preserve"> not exceed 1 kW </w:t>
      </w:r>
      <w:r w:rsidR="003B0528">
        <w:rPr>
          <w:lang w:val="en-US"/>
        </w:rPr>
        <w:t>ERP</w:t>
      </w:r>
      <w:r w:rsidR="003B0528">
        <w:t xml:space="preserve"> in non-rural areas</w:t>
      </w:r>
      <w:r w:rsidR="003B0528">
        <w:rPr>
          <w:lang w:val="en-US"/>
        </w:rPr>
        <w:t xml:space="preserve"> or </w:t>
      </w:r>
      <w:r w:rsidR="003B0528" w:rsidRPr="001B745E">
        <w:t xml:space="preserve">2 kW </w:t>
      </w:r>
      <w:r w:rsidR="003B0528">
        <w:rPr>
          <w:lang w:val="en-US"/>
        </w:rPr>
        <w:t>ERP in rural areas</w:t>
      </w:r>
      <w:r w:rsidR="003B0528" w:rsidRPr="001B745E">
        <w:t>.</w:t>
      </w:r>
      <w:r w:rsidR="003B0528">
        <w:rPr>
          <w:lang w:val="en-US"/>
        </w:rPr>
        <w:t xml:space="preserve">  In addition, </w:t>
      </w:r>
      <w:r w:rsidR="003B0528" w:rsidRPr="001B745E">
        <w:t xml:space="preserve">Lower 700 MHz </w:t>
      </w:r>
      <w:r w:rsidR="003B0528">
        <w:t>D and E Block</w:t>
      </w:r>
      <w:r w:rsidR="003B0528">
        <w:rPr>
          <w:lang w:val="en-US"/>
        </w:rPr>
        <w:t xml:space="preserve"> base </w:t>
      </w:r>
      <w:r w:rsidR="003B0528" w:rsidRPr="001B745E">
        <w:t xml:space="preserve">station </w:t>
      </w:r>
      <w:r w:rsidR="003B0528" w:rsidRPr="00012E68">
        <w:t>transmitting a signal with an emission bandwidth greater than 1 MHz</w:t>
      </w:r>
      <w:r w:rsidR="003B0528" w:rsidRPr="001B745E">
        <w:t xml:space="preserve"> </w:t>
      </w:r>
      <w:r w:rsidR="003B0528">
        <w:rPr>
          <w:lang w:val="en-US"/>
        </w:rPr>
        <w:t>must</w:t>
      </w:r>
      <w:r w:rsidR="003B0528" w:rsidRPr="001B745E">
        <w:t xml:space="preserve"> not exceed 1 kW </w:t>
      </w:r>
      <w:r w:rsidR="003B0528">
        <w:rPr>
          <w:lang w:val="en-US"/>
        </w:rPr>
        <w:t xml:space="preserve">ERP </w:t>
      </w:r>
      <w:r w:rsidR="003B0528" w:rsidRPr="001B745E">
        <w:t xml:space="preserve">per </w:t>
      </w:r>
      <w:r w:rsidR="003B0528">
        <w:t>megahertz in non-rural areas</w:t>
      </w:r>
      <w:r w:rsidR="003B0528">
        <w:rPr>
          <w:lang w:val="en-US"/>
        </w:rPr>
        <w:t xml:space="preserve"> or </w:t>
      </w:r>
      <w:r w:rsidR="003B0528" w:rsidRPr="001B745E">
        <w:t xml:space="preserve">2 kW </w:t>
      </w:r>
      <w:r w:rsidR="003B0528">
        <w:rPr>
          <w:lang w:val="en-US"/>
        </w:rPr>
        <w:t xml:space="preserve">ERP </w:t>
      </w:r>
      <w:r w:rsidR="003B0528" w:rsidRPr="001B745E">
        <w:t>per megahertz</w:t>
      </w:r>
      <w:r w:rsidR="003B0528">
        <w:t xml:space="preserve"> </w:t>
      </w:r>
      <w:r w:rsidR="003B0528">
        <w:rPr>
          <w:lang w:val="en-US"/>
        </w:rPr>
        <w:t>in rural areas</w:t>
      </w:r>
      <w:r w:rsidR="003B0528" w:rsidRPr="001B745E">
        <w:t>.</w:t>
      </w:r>
      <w:r w:rsidR="003B0528">
        <w:rPr>
          <w:lang w:val="en-US"/>
        </w:rPr>
        <w:t xml:space="preserve">  </w:t>
      </w:r>
      <w:r w:rsidR="003B0528" w:rsidRPr="00253589">
        <w:t>Lower 700 MHz D and E Block licensees operating at the</w:t>
      </w:r>
      <w:r w:rsidR="006659E4">
        <w:rPr>
          <w:lang w:val="en-US"/>
        </w:rPr>
        <w:t>se</w:t>
      </w:r>
      <w:r w:rsidR="003B0528" w:rsidRPr="00253589">
        <w:t xml:space="preserve"> maximum permissible ERP are limited to an antenna height of 305 m </w:t>
      </w:r>
      <w:r w:rsidR="003B0528">
        <w:t>HAAT.</w:t>
      </w:r>
      <w:r w:rsidR="003B0528">
        <w:rPr>
          <w:rStyle w:val="FootnoteReference"/>
        </w:rPr>
        <w:footnoteReference w:id="58"/>
      </w:r>
      <w:r w:rsidR="003B0528">
        <w:t xml:space="preserve"> </w:t>
      </w:r>
      <w:r w:rsidR="00963EC8">
        <w:rPr>
          <w:lang w:val="en-US"/>
        </w:rPr>
        <w:t xml:space="preserve"> </w:t>
      </w:r>
      <w:r>
        <w:t xml:space="preserve">We also limit </w:t>
      </w:r>
      <w:r w:rsidRPr="001B745E">
        <w:t>operations</w:t>
      </w:r>
      <w:r>
        <w:t xml:space="preserve"> in the Lower 700 MHz D and E Blocks </w:t>
      </w:r>
      <w:r w:rsidRPr="001B745E">
        <w:t>to downlink only.</w:t>
      </w:r>
      <w:r w:rsidR="002017BE">
        <w:rPr>
          <w:rStyle w:val="FootnoteReference"/>
        </w:rPr>
        <w:footnoteReference w:id="59"/>
      </w:r>
      <w:r w:rsidRPr="001B745E">
        <w:t xml:space="preserve">  </w:t>
      </w:r>
      <w:r>
        <w:t xml:space="preserve">Finally, we find that it would serve the public interest to </w:t>
      </w:r>
      <w:r w:rsidRPr="001B745E">
        <w:t xml:space="preserve">permit a </w:t>
      </w:r>
      <w:r>
        <w:t>Lower 700 MHz D or E B</w:t>
      </w:r>
      <w:r w:rsidRPr="001B745E">
        <w:t xml:space="preserve">lock licensee to operate </w:t>
      </w:r>
      <w:r>
        <w:t xml:space="preserve">particular sites </w:t>
      </w:r>
      <w:r w:rsidRPr="001B745E">
        <w:t xml:space="preserve">at a higher ERP level up to 50 kW </w:t>
      </w:r>
      <w:r>
        <w:t xml:space="preserve">in conjunction with the current </w:t>
      </w:r>
      <w:r w:rsidRPr="003D1C36">
        <w:t xml:space="preserve">power flux density </w:t>
      </w:r>
      <w:r>
        <w:t>(PFD) limit</w:t>
      </w:r>
      <w:r>
        <w:rPr>
          <w:rStyle w:val="FootnoteReference"/>
        </w:rPr>
        <w:footnoteReference w:id="60"/>
      </w:r>
      <w:r>
        <w:t xml:space="preserve"> </w:t>
      </w:r>
      <w:r w:rsidRPr="00551843">
        <w:t xml:space="preserve">if the Lower 700 MHz D </w:t>
      </w:r>
      <w:r>
        <w:t>or</w:t>
      </w:r>
      <w:r w:rsidRPr="00551843">
        <w:t xml:space="preserve"> E Block </w:t>
      </w:r>
      <w:r>
        <w:t>licensee</w:t>
      </w:r>
      <w:r w:rsidRPr="00551843">
        <w:t xml:space="preserve"> enter</w:t>
      </w:r>
      <w:r>
        <w:t>s</w:t>
      </w:r>
      <w:r w:rsidRPr="00551843">
        <w:t xml:space="preserve"> into operator-to-operator agreements with other affected licensees or</w:t>
      </w:r>
      <w:r w:rsidR="00356225">
        <w:rPr>
          <w:lang w:val="en-US"/>
        </w:rPr>
        <w:t>, absent agreements wi</w:t>
      </w:r>
      <w:r w:rsidR="000672B4">
        <w:rPr>
          <w:lang w:val="en-US"/>
        </w:rPr>
        <w:t xml:space="preserve">th </w:t>
      </w:r>
      <w:r w:rsidR="00356225">
        <w:rPr>
          <w:lang w:val="en-US"/>
        </w:rPr>
        <w:t xml:space="preserve">all affected licensees, pursuant to a waiver </w:t>
      </w:r>
      <w:r w:rsidRPr="00551843">
        <w:t xml:space="preserve">upon a demonstration to the Commission of no harmful interference to other relevant Lower 700 MHz </w:t>
      </w:r>
      <w:r>
        <w:t>licensees.</w:t>
      </w:r>
    </w:p>
    <w:p w:rsidR="005F5D1D" w:rsidRPr="001B745E" w:rsidRDefault="005F5D1D" w:rsidP="00D03910">
      <w:pPr>
        <w:pStyle w:val="ParaNum"/>
        <w:keepNext/>
        <w:widowControl/>
        <w:snapToGrid w:val="0"/>
      </w:pPr>
      <w:r w:rsidRPr="001B745E">
        <w:t xml:space="preserve">As discussed in detail below, we find that the current technical rules, which permit a 50 kW ERP level in conjunction with </w:t>
      </w:r>
      <w:r>
        <w:t xml:space="preserve">a </w:t>
      </w:r>
      <w:r w:rsidRPr="001B745E">
        <w:t xml:space="preserve">PFD limit, are </w:t>
      </w:r>
      <w:r w:rsidR="00145274">
        <w:rPr>
          <w:lang w:val="en-US"/>
        </w:rPr>
        <w:t xml:space="preserve">likely </w:t>
      </w:r>
      <w:r w:rsidRPr="001B745E">
        <w:t xml:space="preserve">not sufficient to prevent harmful blocking interference into neighboring operations in the Lower 700 MHz bands providing interoperable service.  More specifically, based on the record in this proceeding, we conclude </w:t>
      </w:r>
      <w:r>
        <w:t xml:space="preserve">first </w:t>
      </w:r>
      <w:r w:rsidRPr="001B745E">
        <w:t xml:space="preserve">that low-powered two-way mobile broadband LTE service provided on the Lower 700 MHz B and C Blocks using Band Class 12 devices would likely be subject to harmful </w:t>
      </w:r>
      <w:r>
        <w:t xml:space="preserve">blocking </w:t>
      </w:r>
      <w:r w:rsidRPr="001B745E">
        <w:t xml:space="preserve">interference from high-powered Lower 700 MHz D and E Block operations. </w:t>
      </w:r>
      <w:r>
        <w:t xml:space="preserve"> </w:t>
      </w:r>
      <w:r w:rsidR="00075C47">
        <w:rPr>
          <w:lang w:val="en-US"/>
        </w:rPr>
        <w:t>I</w:t>
      </w:r>
      <w:r w:rsidRPr="001B745E">
        <w:t>n evaluating whether a Band Class 12 device is being subjected to harmful interference based on the test data submitted in the record, we assume 3 dB desense</w:t>
      </w:r>
      <w:r w:rsidR="00075C47" w:rsidRPr="001B745E">
        <w:rPr>
          <w:vertAlign w:val="superscript"/>
        </w:rPr>
        <w:footnoteReference w:id="61"/>
      </w:r>
      <w:r w:rsidR="00EE5009">
        <w:rPr>
          <w:lang w:val="en-US"/>
        </w:rPr>
        <w:t xml:space="preserve"> </w:t>
      </w:r>
      <w:r w:rsidRPr="001B745E">
        <w:t>as the appropriate threshold, along with considerations of the probability and potential locations of such interference events.  In other words, a Band Class 12 device should only be required to receive successfully</w:t>
      </w:r>
      <w:r w:rsidR="00741E0D" w:rsidRPr="001B745E">
        <w:rPr>
          <w:vertAlign w:val="superscript"/>
        </w:rPr>
        <w:footnoteReference w:id="62"/>
      </w:r>
      <w:r w:rsidRPr="001B745E">
        <w:t xml:space="preserve"> in the presence of blocking interference, a desired signal 3 dB above the receiver’s reference sensitivity.</w:t>
      </w:r>
      <w:r w:rsidR="00741E0D">
        <w:rPr>
          <w:lang w:val="en-US"/>
        </w:rPr>
        <w:t xml:space="preserve">  We note that this approach is consistent with the Commission’s analysis in the H Block proceeding.</w:t>
      </w:r>
      <w:r w:rsidR="00741E0D" w:rsidRPr="00741E0D">
        <w:rPr>
          <w:vertAlign w:val="superscript"/>
        </w:rPr>
        <w:t xml:space="preserve"> </w:t>
      </w:r>
      <w:r w:rsidR="00741E0D" w:rsidRPr="001B745E">
        <w:rPr>
          <w:vertAlign w:val="superscript"/>
        </w:rPr>
        <w:footnoteReference w:id="63"/>
      </w:r>
      <w:r w:rsidRPr="001B745E">
        <w:t xml:space="preserve"> </w:t>
      </w:r>
      <w:r w:rsidRPr="001B745E" w:rsidDel="003D53F6">
        <w:t xml:space="preserve"> </w:t>
      </w:r>
      <w:r w:rsidRPr="001B745E">
        <w:t xml:space="preserve">Using 3 dB desense, and based on the test data in the record, we find that there are likely to be significant areas where a Band Class 12 device would be subjected to harmful </w:t>
      </w:r>
      <w:r>
        <w:t xml:space="preserve">blocking </w:t>
      </w:r>
      <w:r w:rsidRPr="001B745E">
        <w:t>interference without a change to our current technical rules.  In particular, we find that the V</w:t>
      </w:r>
      <w:r w:rsidR="007D491A">
        <w:rPr>
          <w:lang w:val="en-US"/>
        </w:rPr>
        <w:t>-</w:t>
      </w:r>
      <w:r w:rsidRPr="001B745E">
        <w:t xml:space="preserve">COMM </w:t>
      </w:r>
      <w:r w:rsidR="00DA6F37">
        <w:rPr>
          <w:lang w:val="en-US"/>
        </w:rPr>
        <w:t>Study</w:t>
      </w:r>
      <w:r w:rsidRPr="001B745E">
        <w:t xml:space="preserve"> shows the 3 dB desense of Band Class 12 devices using the Lower 700 MHz B and C Block spectrum occurs when the Lower 700</w:t>
      </w:r>
      <w:r w:rsidR="00F944F9">
        <w:t xml:space="preserve"> </w:t>
      </w:r>
      <w:r w:rsidRPr="001B745E">
        <w:t>MHz E Block received signal strength is about -26 dBm.</w:t>
      </w:r>
      <w:r w:rsidRPr="001B745E">
        <w:rPr>
          <w:vertAlign w:val="superscript"/>
        </w:rPr>
        <w:footnoteReference w:id="64"/>
      </w:r>
      <w:r w:rsidRPr="001B745E">
        <w:t xml:space="preserve">  Therefore we conclude that interference to Band Class 12 devices is likely to occur when the interfering signal strengths reach those levels.</w:t>
      </w:r>
      <w:r w:rsidRPr="001B745E">
        <w:rPr>
          <w:vertAlign w:val="superscript"/>
        </w:rPr>
        <w:footnoteReference w:id="65"/>
      </w:r>
      <w:r w:rsidRPr="001B745E">
        <w:t xml:space="preserve">  Moreover, the V</w:t>
      </w:r>
      <w:r w:rsidR="007D491A">
        <w:rPr>
          <w:lang w:val="en-US"/>
        </w:rPr>
        <w:t>-</w:t>
      </w:r>
      <w:r w:rsidRPr="001B745E">
        <w:t>COMM and Hyslop-Kolodzy test data show that received signals of -26 dBm and higher from E Block transmissions are not uncommon.</w:t>
      </w:r>
      <w:r w:rsidRPr="001B745E">
        <w:rPr>
          <w:vertAlign w:val="superscript"/>
        </w:rPr>
        <w:footnoteReference w:id="66"/>
      </w:r>
      <w:r w:rsidRPr="001B745E">
        <w:t xml:space="preserve">  Indeed, the Hyslop-Kolodzy Report shows areas on drive tests where signals were stronger than -16 dBm, which is significantly worse than the -26 dBm threshold.  Based on these data and on our</w:t>
      </w:r>
      <w:r w:rsidR="00E11393">
        <w:rPr>
          <w:lang w:val="en-US"/>
        </w:rPr>
        <w:t xml:space="preserve"> technical expertise and</w:t>
      </w:r>
      <w:r w:rsidRPr="001B745E">
        <w:t xml:space="preserve"> predictive judgment, we find that the current technical rules are not sufficient to protect against </w:t>
      </w:r>
      <w:r>
        <w:t xml:space="preserve">harmful </w:t>
      </w:r>
      <w:r w:rsidRPr="001B745E">
        <w:t>interference</w:t>
      </w:r>
      <w:r>
        <w:t>, because</w:t>
      </w:r>
      <w:r w:rsidRPr="001B745E">
        <w:t xml:space="preserve"> harmful </w:t>
      </w:r>
      <w:r>
        <w:t xml:space="preserve">blocking </w:t>
      </w:r>
      <w:r w:rsidRPr="001B745E">
        <w:t>interference is likely to occur in a significant number of instances</w:t>
      </w:r>
      <w:r>
        <w:t>.</w:t>
      </w:r>
      <w:r w:rsidRPr="001B745E">
        <w:rPr>
          <w:vertAlign w:val="superscript"/>
        </w:rPr>
        <w:footnoteReference w:id="67"/>
      </w:r>
      <w:r w:rsidRPr="001B745E">
        <w:t xml:space="preserve"> </w:t>
      </w:r>
      <w:r>
        <w:t xml:space="preserve">  </w:t>
      </w:r>
    </w:p>
    <w:p w:rsidR="005F5D1D" w:rsidRPr="007E3A71" w:rsidRDefault="005F5D1D" w:rsidP="00D03910">
      <w:pPr>
        <w:pStyle w:val="ParaNum"/>
        <w:keepNext/>
        <w:widowControl/>
        <w:snapToGrid w:val="0"/>
      </w:pPr>
      <w:r>
        <w:t xml:space="preserve">We next find </w:t>
      </w:r>
      <w:r w:rsidRPr="001B745E">
        <w:t>that mitigation techniques for blocking interference from high-powered Lower 700 MHz E Block transmitters are not practical to overcome potentially many instances of harmful interference from the Lower 700 MHz E Block transmitters, would be costly and difficult</w:t>
      </w:r>
      <w:r w:rsidRPr="001B745E">
        <w:rPr>
          <w:vertAlign w:val="superscript"/>
        </w:rPr>
        <w:footnoteReference w:id="68"/>
      </w:r>
      <w:r w:rsidRPr="001B745E">
        <w:t xml:space="preserve"> and could address </w:t>
      </w:r>
      <w:r w:rsidR="00145274" w:rsidRPr="001B745E">
        <w:t xml:space="preserve">only </w:t>
      </w:r>
      <w:r w:rsidRPr="001B745E">
        <w:t>some instances of potential harmful interference.  If Lower 700 MHz E Block stations were to commence high-powered operations, Lower 700 MHz B and C Block licensees using Band Class 12 devices may need to make many RF network design and optimization modifications to mitigate the high-power E Block interference due to a potentially large number of high-power 700 MHz E Block transmitters, including the possible deployment of sites that otherwise would not be needed.</w:t>
      </w:r>
      <w:r w:rsidR="005122DD">
        <w:rPr>
          <w:rStyle w:val="FootnoteReference"/>
        </w:rPr>
        <w:footnoteReference w:id="69"/>
      </w:r>
      <w:r w:rsidRPr="001B745E">
        <w:t xml:space="preserve">  In addition, mitigating interference from high-powered Lower 700 MHz E Block transmitters by co-locating with lower-powered LTE transmitters does not appear to be an effective option in many cases,</w:t>
      </w:r>
      <w:r w:rsidRPr="001B745E">
        <w:rPr>
          <w:vertAlign w:val="superscript"/>
        </w:rPr>
        <w:footnoteReference w:id="70"/>
      </w:r>
      <w:r w:rsidRPr="001B745E">
        <w:t xml:space="preserve"> given that Lower 700 MHz licensees have already either planned or deployed their LTE networks in many cases and that DISH Network has not deployed the vast majority of its Lower 700 MHz E Block transmitters yet.</w:t>
      </w:r>
      <w:r w:rsidRPr="001B745E">
        <w:rPr>
          <w:vertAlign w:val="superscript"/>
        </w:rPr>
        <w:footnoteReference w:id="71"/>
      </w:r>
      <w:r w:rsidRPr="001B745E">
        <w:t xml:space="preserve">  As a practical matter, co-location could be cost effective only with respect to Lower 700 MHz E Block transmitters that exist at the time the LTE network is being designed and built.  While co-location on subsequently deployed Lower 700 MHz E Block transmitters is possible, newly co-located LTE transmitters could require costly re-engineering for the rest of the LTE network.</w:t>
      </w:r>
      <w:r w:rsidRPr="0089202B">
        <w:t xml:space="preserve"> </w:t>
      </w:r>
      <w:r>
        <w:t xml:space="preserve"> As a result, we conclude that modification of</w:t>
      </w:r>
      <w:r w:rsidRPr="001B745E">
        <w:t xml:space="preserve"> </w:t>
      </w:r>
      <w:r>
        <w:t xml:space="preserve">the </w:t>
      </w:r>
      <w:r w:rsidRPr="001B745E">
        <w:t>maximum permissible ERP</w:t>
      </w:r>
      <w:r>
        <w:t xml:space="preserve"> level</w:t>
      </w:r>
      <w:r w:rsidRPr="001B745E">
        <w:t xml:space="preserve"> </w:t>
      </w:r>
      <w:r>
        <w:t>for the Lower 700 MHz D and E B</w:t>
      </w:r>
      <w:r w:rsidRPr="001B745E">
        <w:t xml:space="preserve">locks </w:t>
      </w:r>
      <w:r>
        <w:t>is</w:t>
      </w:r>
      <w:r w:rsidRPr="001B745E">
        <w:t xml:space="preserve"> needed to lower the probability and decrease the potential instances and locations in which the receive signal stre</w:t>
      </w:r>
      <w:r w:rsidR="00634B65">
        <w:t xml:space="preserve">ngths of Lower 700 MHz D and E </w:t>
      </w:r>
      <w:r w:rsidR="00634B65">
        <w:rPr>
          <w:lang w:val="en-US"/>
        </w:rPr>
        <w:t>B</w:t>
      </w:r>
      <w:r w:rsidRPr="001B745E">
        <w:t>lock licensees could exceed -26 dBm.</w:t>
      </w:r>
      <w:r w:rsidRPr="001B745E">
        <w:rPr>
          <w:vertAlign w:val="superscript"/>
        </w:rPr>
        <w:footnoteReference w:id="72"/>
      </w:r>
      <w:r>
        <w:t xml:space="preserve">  </w:t>
      </w:r>
    </w:p>
    <w:p w:rsidR="007E3A71" w:rsidRDefault="007E3A71" w:rsidP="00D03910">
      <w:pPr>
        <w:pStyle w:val="ParaNum"/>
        <w:keepNext/>
        <w:widowControl/>
        <w:snapToGrid w:val="0"/>
      </w:pPr>
      <w:r w:rsidRPr="007E3A71">
        <w:t xml:space="preserve">Similar to other Lower 700 MHz licensees, </w:t>
      </w:r>
      <w:r>
        <w:t xml:space="preserve">we further revise our rules to provide that </w:t>
      </w:r>
      <w:r w:rsidRPr="007E3A71">
        <w:t>the Lower 700 MHz D and E Block licensees operating at the maximum permissible ERP are limited to an antenna height of 305 m HAAT.</w:t>
      </w:r>
      <w:r>
        <w:rPr>
          <w:rStyle w:val="FootnoteReference"/>
          <w:lang w:val="en-US"/>
        </w:rPr>
        <w:footnoteReference w:id="73"/>
      </w:r>
      <w:r>
        <w:t xml:space="preserve">  </w:t>
      </w:r>
      <w:r w:rsidR="00834851">
        <w:rPr>
          <w:lang w:val="en-US"/>
        </w:rPr>
        <w:t xml:space="preserve">We note that </w:t>
      </w:r>
      <w:r w:rsidR="00834851" w:rsidRPr="00834851">
        <w:rPr>
          <w:lang w:val="en-US"/>
        </w:rPr>
        <w:t>power levels and antenna heights are closely linked</w:t>
      </w:r>
      <w:r w:rsidR="00CD1F3E">
        <w:rPr>
          <w:lang w:val="en-US"/>
        </w:rPr>
        <w:t>:</w:t>
      </w:r>
      <w:r w:rsidR="00834851" w:rsidRPr="00834851">
        <w:rPr>
          <w:lang w:val="en-US"/>
        </w:rPr>
        <w:t xml:space="preserve"> operating less than the maximum permissible ERP would allow a licensee to have a higher HAAT.</w:t>
      </w:r>
      <w:r w:rsidR="007C028E">
        <w:rPr>
          <w:rStyle w:val="FootnoteReference"/>
          <w:lang w:val="en-US"/>
        </w:rPr>
        <w:footnoteReference w:id="74"/>
      </w:r>
      <w:r w:rsidR="00834851">
        <w:rPr>
          <w:lang w:val="en-US"/>
        </w:rPr>
        <w:t xml:space="preserve">  </w:t>
      </w:r>
      <w:r w:rsidRPr="007E3A71">
        <w:t>Fixed or base stations transmitting a signal with an emission bandwidth of 1 MHz or less may operate at antenna</w:t>
      </w:r>
      <w:r w:rsidR="00260EB1">
        <w:t xml:space="preserve"> heights greater than 305 m</w:t>
      </w:r>
      <w:r w:rsidRPr="007E3A71">
        <w:t xml:space="preserve"> HAAT if ERP levels are reduced below 1kW for non-rural areas in accordance with Table 1, or below 2kW ERP for rural areas in accordance with Table 2 of the Commission’s rules, Section 27.50.  Fixed or base stations transmitting a signal with an emission bandwidth greater than 1 MHz may operate at antenna</w:t>
      </w:r>
      <w:r w:rsidR="00260EB1">
        <w:t xml:space="preserve"> heights greater than 305 m</w:t>
      </w:r>
      <w:r w:rsidRPr="007E3A71">
        <w:t xml:space="preserve"> HAAT if ERP levels are reduced below 1kW per megahertz for non-rural areas in accordance with Table 3, or below 2kW per megahertz ERP for rural areas in accordance with Table 4 of the Commission’s rules, Section 27.50.</w:t>
      </w:r>
    </w:p>
    <w:p w:rsidR="005F5D1D" w:rsidRDefault="005F5D1D" w:rsidP="00D03910">
      <w:pPr>
        <w:pStyle w:val="ParaNum"/>
        <w:keepNext/>
        <w:widowControl/>
        <w:snapToGrid w:val="0"/>
      </w:pPr>
      <w:r>
        <w:t xml:space="preserve">Finally, </w:t>
      </w:r>
      <w:r w:rsidR="000F78E0">
        <w:rPr>
          <w:lang w:val="en-US"/>
        </w:rPr>
        <w:t xml:space="preserve">consistent with </w:t>
      </w:r>
      <w:r w:rsidR="004F4A48">
        <w:rPr>
          <w:lang w:val="en-US"/>
        </w:rPr>
        <w:t xml:space="preserve">DISH’s current plans to deploy an LTE network similar to that deployed by Lower 700 MHz A, B, C, and D Block operators, </w:t>
      </w:r>
      <w:r>
        <w:t xml:space="preserve">we </w:t>
      </w:r>
      <w:r w:rsidR="000F78E0">
        <w:rPr>
          <w:lang w:val="en-US"/>
        </w:rPr>
        <w:t xml:space="preserve">find it in the public interest to </w:t>
      </w:r>
      <w:r>
        <w:t xml:space="preserve">modify our rules </w:t>
      </w:r>
      <w:r w:rsidRPr="001B745E">
        <w:t xml:space="preserve">to impose certain restrictions </w:t>
      </w:r>
      <w:r w:rsidR="004F4A48">
        <w:rPr>
          <w:lang w:val="en-US"/>
        </w:rPr>
        <w:t>on all D and E Block operations</w:t>
      </w:r>
      <w:r w:rsidR="004F4A48" w:rsidRPr="001B745E">
        <w:t xml:space="preserve"> </w:t>
      </w:r>
      <w:r w:rsidRPr="001B745E">
        <w:t xml:space="preserve">that are similar to conditions imposed upon AT&amp;T in the </w:t>
      </w:r>
      <w:r w:rsidRPr="006225D7">
        <w:rPr>
          <w:i/>
        </w:rPr>
        <w:t>AT&amp;T-Qualcomm Order</w:t>
      </w:r>
      <w:r w:rsidRPr="001B745E">
        <w:t xml:space="preserve"> in connection with AT&amp;T’s use of its </w:t>
      </w:r>
      <w:r>
        <w:t xml:space="preserve">Lower 700 MHz </w:t>
      </w:r>
      <w:r w:rsidRPr="001B745E">
        <w:t xml:space="preserve">D and E Block licenses.  In particular, we revise our rules </w:t>
      </w:r>
      <w:r w:rsidR="00E11393">
        <w:rPr>
          <w:lang w:val="en-US"/>
        </w:rPr>
        <w:t xml:space="preserve">to </w:t>
      </w:r>
      <w:r w:rsidRPr="001B745E">
        <w:t xml:space="preserve">provide that Lower 700 MHz </w:t>
      </w:r>
      <w:r>
        <w:t>D and E B</w:t>
      </w:r>
      <w:r w:rsidRPr="001B745E">
        <w:t xml:space="preserve">lock licensees may not use their licenses for uplink transmission and must instead use this spectrum only for downlink transmissions.  This change serves the public interest by preventing harmful interference and facilitating interoperability.  Because the surrounding blocks are used for downlink operations, uplink or TDD operations in the E Block will cause harmful interference to mobile receivers in the adjacent bands unless very strict power limits, stringent out of band emission limits, and guard bands are employed on all three blocks.  </w:t>
      </w:r>
    </w:p>
    <w:p w:rsidR="005F5D1D" w:rsidRPr="001B745E" w:rsidRDefault="00C0527A" w:rsidP="00D03910">
      <w:pPr>
        <w:pStyle w:val="ParaNum"/>
        <w:keepNext/>
        <w:widowControl/>
        <w:snapToGrid w:val="0"/>
      </w:pPr>
      <w:r w:rsidRPr="00253956">
        <w:t>These rule changes reflect the significant developments in the Lower 700 MHz band since the original adoption of the technical rules in 2002</w:t>
      </w:r>
      <w:r>
        <w:rPr>
          <w:lang w:val="en-US"/>
        </w:rPr>
        <w:t xml:space="preserve">.  </w:t>
      </w:r>
      <w:r w:rsidR="005F5D1D" w:rsidRPr="001B745E">
        <w:t>In 2002</w:t>
      </w:r>
      <w:r w:rsidR="00EE5009">
        <w:rPr>
          <w:lang w:val="en-US"/>
        </w:rPr>
        <w:t>,</w:t>
      </w:r>
      <w:r w:rsidR="005F5D1D" w:rsidRPr="001B745E">
        <w:t xml:space="preserve"> the Commission recognized that high power transmissions could cause interference to adjacent channels, especially those that operate at low power levels, but </w:t>
      </w:r>
      <w:r w:rsidR="00D147C3">
        <w:rPr>
          <w:lang w:val="en-US"/>
        </w:rPr>
        <w:t>found</w:t>
      </w:r>
      <w:r w:rsidR="005F5D1D" w:rsidRPr="001B745E">
        <w:t xml:space="preserve"> that the risk of harmful interference from power levels up to 50 kW could be mitigated by limiting permissible power flux density levels for base stations operating in excess of 1kW ERP.</w:t>
      </w:r>
      <w:r w:rsidR="005F5D1D" w:rsidRPr="001B745E">
        <w:rPr>
          <w:vertAlign w:val="superscript"/>
        </w:rPr>
        <w:footnoteReference w:id="75"/>
      </w:r>
      <w:r w:rsidR="005F5D1D">
        <w:t xml:space="preserve">  At that time, however, the</w:t>
      </w:r>
      <w:r w:rsidR="005F5D1D" w:rsidRPr="001B745E">
        <w:t xml:space="preserve"> </w:t>
      </w:r>
      <w:r w:rsidR="005F5D1D">
        <w:t xml:space="preserve">Commission’s </w:t>
      </w:r>
      <w:r w:rsidR="005F5D1D" w:rsidRPr="001B745E">
        <w:t>expectation was that operations at lower power would not be prevalent, and we permitted power levels up to 50 kW</w:t>
      </w:r>
      <w:r w:rsidR="005F5D1D" w:rsidRPr="001B745E" w:rsidDel="00C963F4">
        <w:t xml:space="preserve"> </w:t>
      </w:r>
      <w:r w:rsidR="005F5D1D" w:rsidRPr="001B745E">
        <w:t>in all of the Lower 700 MHz Blocks.</w:t>
      </w:r>
      <w:r w:rsidR="005F5D1D" w:rsidRPr="001B745E">
        <w:rPr>
          <w:vertAlign w:val="superscript"/>
        </w:rPr>
        <w:footnoteReference w:id="76"/>
      </w:r>
      <w:r w:rsidR="005F5D1D" w:rsidRPr="001B745E">
        <w:t xml:space="preserve">  Operation at similar power levels would result in signal desired to undesired ratios that would minimize the likelihood of harmful interference.  The Lower 700 MHz band was then the home to broadcasters “in the midst of a technically complex transition to digital television.”</w:t>
      </w:r>
      <w:r w:rsidR="005F5D1D" w:rsidRPr="001B745E">
        <w:rPr>
          <w:vertAlign w:val="superscript"/>
        </w:rPr>
        <w:footnoteReference w:id="77"/>
      </w:r>
      <w:r w:rsidR="005F5D1D" w:rsidRPr="001B745E">
        <w:t xml:space="preserve">  In particular, when the Commission adopted these rules in the </w:t>
      </w:r>
      <w:r w:rsidR="005F5D1D" w:rsidRPr="001B745E">
        <w:rPr>
          <w:i/>
        </w:rPr>
        <w:t>Lower 700 MHz Report and Order</w:t>
      </w:r>
      <w:r w:rsidR="00E11393">
        <w:rPr>
          <w:lang w:val="en-US"/>
        </w:rPr>
        <w:t>,</w:t>
      </w:r>
      <w:r w:rsidR="005F5D1D" w:rsidRPr="001B745E">
        <w:t xml:space="preserve"> it observed that the Lower 700 MHz band “will remain principally a television band until the end of the digital transition” pursuant to the requirements of the Balanced Budget Act of 1997.</w:t>
      </w:r>
      <w:r w:rsidR="005F5D1D" w:rsidRPr="001B745E">
        <w:rPr>
          <w:vertAlign w:val="superscript"/>
        </w:rPr>
        <w:footnoteReference w:id="78"/>
      </w:r>
      <w:r w:rsidR="005F5D1D" w:rsidRPr="001B745E">
        <w:t xml:space="preserve">  In light of the uncertainty regarding the availability and future use of this band, and the expectation that much of the band would be occupied by full-power broadcast stations for an indefinite period of time, the Commission adopted a flexible use approach to allow for fixed and mobile services, along with “broadcast and other broadband applications that could include two-way interactive, cellular, and mobile television broadcasting services.”</w:t>
      </w:r>
      <w:r w:rsidR="005F5D1D" w:rsidRPr="001B745E">
        <w:rPr>
          <w:vertAlign w:val="superscript"/>
        </w:rPr>
        <w:footnoteReference w:id="79"/>
      </w:r>
      <w:r w:rsidR="005F5D1D" w:rsidRPr="001B745E">
        <w:t xml:space="preserve"> </w:t>
      </w:r>
    </w:p>
    <w:p w:rsidR="005F5D1D" w:rsidRPr="001B745E" w:rsidRDefault="00EE5009" w:rsidP="00D03910">
      <w:pPr>
        <w:pStyle w:val="ParaNum"/>
        <w:keepNext/>
        <w:widowControl/>
        <w:snapToGrid w:val="0"/>
      </w:pPr>
      <w:r>
        <w:rPr>
          <w:lang w:val="en-US"/>
        </w:rPr>
        <w:t xml:space="preserve">Since 2002, </w:t>
      </w:r>
      <w:r w:rsidR="00C0527A">
        <w:rPr>
          <w:lang w:val="en-US"/>
        </w:rPr>
        <w:t xml:space="preserve">significant developments in the Lower 700 MHz band include </w:t>
      </w:r>
      <w:r w:rsidR="00C0527A" w:rsidRPr="00253956">
        <w:t>the active deployment of mobile broadband services in the Lower 700 MHz Band and the fact that it is no longer a TV band</w:t>
      </w:r>
      <w:r w:rsidR="00C0527A">
        <w:rPr>
          <w:lang w:val="en-US"/>
        </w:rPr>
        <w:t xml:space="preserve">.  </w:t>
      </w:r>
      <w:r w:rsidR="005F5D1D" w:rsidRPr="001B745E">
        <w:t xml:space="preserve">After the Commission adopted the </w:t>
      </w:r>
      <w:r w:rsidR="005F5D1D" w:rsidRPr="005633D7">
        <w:rPr>
          <w:i/>
        </w:rPr>
        <w:t>Lower 700 MHz Report and Order</w:t>
      </w:r>
      <w:r w:rsidR="005F5D1D" w:rsidRPr="001B745E">
        <w:t>, Congress passed the Digital Television Transition and Public Safety Act of 2005 (DTV Act),</w:t>
      </w:r>
      <w:r w:rsidR="005F5D1D" w:rsidRPr="001B745E">
        <w:rPr>
          <w:vertAlign w:val="superscript"/>
        </w:rPr>
        <w:footnoteReference w:id="80"/>
      </w:r>
      <w:r w:rsidR="005F5D1D" w:rsidRPr="001B745E">
        <w:t xml:space="preserve"> which accelerated the DTV transition by providing a date certain, February 17, 2009, for the end of the transition.</w:t>
      </w:r>
      <w:r w:rsidR="005F5D1D" w:rsidRPr="001B745E">
        <w:rPr>
          <w:vertAlign w:val="superscript"/>
        </w:rPr>
        <w:footnoteReference w:id="81"/>
      </w:r>
      <w:r w:rsidR="005F5D1D" w:rsidRPr="001B745E">
        <w:t xml:space="preserve">  The Commission subsequently revised its rules in 2007 pursuant to the DTV Act prior to Auction 73, which included the Lower A, B, and E Blocks.</w:t>
      </w:r>
      <w:r w:rsidR="005F5D1D" w:rsidRPr="001B745E">
        <w:rPr>
          <w:vertAlign w:val="superscript"/>
        </w:rPr>
        <w:footnoteReference w:id="82"/>
      </w:r>
      <w:r w:rsidR="005F5D1D" w:rsidRPr="001B745E">
        <w:t xml:space="preserve">  There also have been significant developments since 2007, when, as DISH notes, the Commission declined to adjust the 50 kW power limit</w:t>
      </w:r>
      <w:r w:rsidR="005F5D1D" w:rsidRPr="001B745E">
        <w:rPr>
          <w:vertAlign w:val="superscript"/>
        </w:rPr>
        <w:footnoteReference w:id="83"/>
      </w:r>
      <w:r w:rsidR="005F5D1D" w:rsidRPr="001B745E">
        <w:t xml:space="preserve"> applicable to</w:t>
      </w:r>
      <w:r w:rsidR="005F5D1D">
        <w:t xml:space="preserve"> the Lower D and E Blocks.  Now</w:t>
      </w:r>
      <w:r w:rsidR="005F5D1D" w:rsidRPr="001B745E">
        <w:t xml:space="preserve"> six years later, by contrast</w:t>
      </w:r>
      <w:r w:rsidR="005F5D1D">
        <w:t>,</w:t>
      </w:r>
      <w:r w:rsidR="005F5D1D" w:rsidRPr="001B745E">
        <w:t xml:space="preserve"> the demand for and use of mobile broadband services have grown significantly and continue to increase, and Lower 700 MHz licensees are deploying LTE networks to respond to this dem</w:t>
      </w:r>
      <w:r w:rsidR="005F5D1D">
        <w:t>and</w:t>
      </w:r>
      <w:r w:rsidR="005F5D1D" w:rsidRPr="001B745E">
        <w:rPr>
          <w:vertAlign w:val="superscript"/>
        </w:rPr>
        <w:footnoteReference w:id="84"/>
      </w:r>
      <w:r w:rsidR="005F5D1D" w:rsidRPr="001B745E">
        <w:t xml:space="preserve"> in spectrum adjacent to the Lower E Block, and there is no longer any high-power broadcast service being provided to consumers on this spectrum</w:t>
      </w:r>
      <w:r w:rsidR="00914521">
        <w:rPr>
          <w:lang w:val="en-US"/>
        </w:rPr>
        <w:t xml:space="preserve">. </w:t>
      </w:r>
      <w:r w:rsidR="00E11393" w:rsidRPr="00E11393">
        <w:t xml:space="preserve"> </w:t>
      </w:r>
      <w:r w:rsidR="00E11393" w:rsidRPr="00E11393">
        <w:rPr>
          <w:lang w:val="en-US"/>
        </w:rPr>
        <w:t>Moreover, the record of this proceeding includes detailed studies of interference effects on the mobile devices now in use in connection with the lower power services that have displaced higher power broadcast operations in the band, which lower power services are more vulnerable to blocking interference from high power E Block transmissions.  The Commission has thus changed its position on this matter in light of these intervening developments and the updated information in this record.</w:t>
      </w:r>
      <w:r w:rsidR="004F4A48" w:rsidRPr="001B745E">
        <w:t xml:space="preserve">  </w:t>
      </w:r>
      <w:r w:rsidR="005F5D1D" w:rsidRPr="001B745E">
        <w:t xml:space="preserve">  </w:t>
      </w:r>
    </w:p>
    <w:p w:rsidR="005F5D1D" w:rsidRDefault="005F5D1D" w:rsidP="00D03910">
      <w:pPr>
        <w:pStyle w:val="ParaNum"/>
        <w:keepNext/>
        <w:widowControl/>
        <w:snapToGrid w:val="0"/>
      </w:pPr>
      <w:r>
        <w:t xml:space="preserve">As indicated above, we </w:t>
      </w:r>
      <w:r w:rsidR="00E11393">
        <w:rPr>
          <w:lang w:val="en-US"/>
        </w:rPr>
        <w:t xml:space="preserve">also </w:t>
      </w:r>
      <w:r>
        <w:t>find that these rule changes are fully consistent with the current plans by the two major licensees of these Blocks and with the voluntary industry solution proposed by stakeholders.  Indeed, we find that</w:t>
      </w:r>
      <w:r w:rsidRPr="001B745E">
        <w:t xml:space="preserve"> these changes to our technical rules </w:t>
      </w:r>
      <w:r>
        <w:t xml:space="preserve">also will facilitate </w:t>
      </w:r>
      <w:r w:rsidRPr="001B745E">
        <w:t>the anticipated uses of the Lower 700 MHz D and E Blocks.</w:t>
      </w:r>
      <w:r w:rsidRPr="001B745E">
        <w:rPr>
          <w:vertAlign w:val="superscript"/>
        </w:rPr>
        <w:footnoteReference w:id="85"/>
      </w:r>
      <w:r w:rsidRPr="001B745E">
        <w:t xml:space="preserve">  </w:t>
      </w:r>
      <w:r>
        <w:t xml:space="preserve">As stated in its recent </w:t>
      </w:r>
      <w:r w:rsidRPr="00390E78">
        <w:rPr>
          <w:i/>
        </w:rPr>
        <w:t xml:space="preserve">ex parte </w:t>
      </w:r>
      <w:r>
        <w:t xml:space="preserve">filing, DISH Network </w:t>
      </w:r>
      <w:r w:rsidRPr="00345C36">
        <w:t xml:space="preserve">plans to use its </w:t>
      </w:r>
      <w:r>
        <w:t>unpaired</w:t>
      </w:r>
      <w:r w:rsidRPr="00345C36">
        <w:t xml:space="preserve"> 700 MHz E Block licenses to deploy an LTE network similar to what Lower 700 MHz A, B, C, and D Block operators have deployed today, and to similarly enhance the networks as the LTE technology evolves.</w:t>
      </w:r>
      <w:r w:rsidRPr="00345C36">
        <w:rPr>
          <w:vertAlign w:val="superscript"/>
        </w:rPr>
        <w:footnoteReference w:id="86"/>
      </w:r>
      <w:r>
        <w:t xml:space="preserve">  </w:t>
      </w:r>
      <w:r w:rsidR="00555196" w:rsidRPr="00345C36">
        <w:t>AT&amp;T</w:t>
      </w:r>
      <w:r w:rsidR="00555196">
        <w:rPr>
          <w:lang w:val="en-US"/>
        </w:rPr>
        <w:t xml:space="preserve"> </w:t>
      </w:r>
      <w:r w:rsidR="00555196">
        <w:t xml:space="preserve">has </w:t>
      </w:r>
      <w:r w:rsidR="00555196">
        <w:rPr>
          <w:lang w:val="en-US"/>
        </w:rPr>
        <w:t xml:space="preserve">indicated that its current </w:t>
      </w:r>
      <w:r w:rsidR="00555196">
        <w:t xml:space="preserve">plans are </w:t>
      </w:r>
      <w:r w:rsidR="00555196">
        <w:rPr>
          <w:lang w:val="en-US"/>
        </w:rPr>
        <w:t>to</w:t>
      </w:r>
      <w:r w:rsidR="00555196">
        <w:t xml:space="preserve"> use </w:t>
      </w:r>
      <w:r w:rsidR="00555196" w:rsidRPr="00345C36">
        <w:t xml:space="preserve">the </w:t>
      </w:r>
      <w:r w:rsidR="004A0E44">
        <w:t xml:space="preserve">unpaired 700 MHz Lower D and E </w:t>
      </w:r>
      <w:r w:rsidR="004A0E44">
        <w:rPr>
          <w:lang w:val="en-US"/>
        </w:rPr>
        <w:t>B</w:t>
      </w:r>
      <w:r w:rsidR="00555196" w:rsidRPr="00345C36">
        <w:t>lock licenses it acquired from Qualcomm in December 2011</w:t>
      </w:r>
      <w:r w:rsidR="00D965BF">
        <w:t xml:space="preserve"> for</w:t>
      </w:r>
      <w:r w:rsidR="00555196">
        <w:t xml:space="preserve"> </w:t>
      </w:r>
      <w:r w:rsidR="00B93D3E">
        <w:rPr>
          <w:lang w:val="en-US"/>
        </w:rPr>
        <w:t xml:space="preserve">LTE </w:t>
      </w:r>
      <w:r w:rsidR="00555196">
        <w:t xml:space="preserve">video </w:t>
      </w:r>
      <w:r w:rsidR="00555196">
        <w:rPr>
          <w:lang w:val="en-US"/>
        </w:rPr>
        <w:t xml:space="preserve">services while also </w:t>
      </w:r>
      <w:r w:rsidR="00555196">
        <w:t xml:space="preserve">looking at pairing </w:t>
      </w:r>
      <w:r w:rsidR="00555196">
        <w:rPr>
          <w:lang w:val="en-US"/>
        </w:rPr>
        <w:t xml:space="preserve">this spectrum </w:t>
      </w:r>
      <w:r w:rsidR="00555196">
        <w:t xml:space="preserve">with other bands, </w:t>
      </w:r>
      <w:r w:rsidR="00555196" w:rsidRPr="00345C36">
        <w:t xml:space="preserve">as a supplemental downlink for mobile </w:t>
      </w:r>
      <w:r w:rsidR="00555196">
        <w:t>LTE</w:t>
      </w:r>
      <w:r>
        <w:t>.</w:t>
      </w:r>
      <w:r>
        <w:rPr>
          <w:rStyle w:val="FootnoteReference"/>
        </w:rPr>
        <w:footnoteReference w:id="87"/>
      </w:r>
      <w:r w:rsidR="00CD4DBD">
        <w:rPr>
          <w:lang w:val="en-US"/>
        </w:rPr>
        <w:t xml:space="preserve">  These facts strongly support our conclusion that these modifications will further the public interest.</w:t>
      </w:r>
      <w:r>
        <w:t xml:space="preserve">  </w:t>
      </w:r>
    </w:p>
    <w:p w:rsidR="005F5D1D" w:rsidRPr="001B745E" w:rsidRDefault="005F5D1D" w:rsidP="00D03910">
      <w:pPr>
        <w:pStyle w:val="ParaNum"/>
        <w:keepNext/>
        <w:widowControl/>
        <w:snapToGrid w:val="0"/>
      </w:pPr>
      <w:r>
        <w:t>In sum, m</w:t>
      </w:r>
      <w:r w:rsidRPr="001B745E">
        <w:t xml:space="preserve">odifying the power limits and </w:t>
      </w:r>
      <w:r>
        <w:t xml:space="preserve">the </w:t>
      </w:r>
      <w:r w:rsidRPr="001B745E">
        <w:t>antenna height restrictions for the Lower 700 MHz D and E Blocks</w:t>
      </w:r>
      <w:r>
        <w:t>, along with limiting these licenses to downlink transmissions,</w:t>
      </w:r>
      <w:r w:rsidRPr="001B745E">
        <w:t xml:space="preserve"> </w:t>
      </w:r>
      <w:r w:rsidR="00656D37">
        <w:rPr>
          <w:lang w:val="en-US"/>
        </w:rPr>
        <w:t>is necessary to</w:t>
      </w:r>
      <w:r w:rsidR="001638DD">
        <w:t xml:space="preserve"> </w:t>
      </w:r>
      <w:r w:rsidRPr="001B745E">
        <w:t>enable Lower 700 MHz interoperability by resolving concerns about interference from high-powered transmissions and enable provisioning of mobile broadband LTE services in the adjacent bands.</w:t>
      </w:r>
      <w:r>
        <w:t xml:space="preserve">  These changes also will facilitate the plans of the Lower D and E Block licensees to utilize this spectrum to provide commercial services to American consumers.</w:t>
      </w:r>
    </w:p>
    <w:p w:rsidR="005F5D1D" w:rsidRPr="001B745E" w:rsidRDefault="005F5D1D" w:rsidP="00D03910">
      <w:pPr>
        <w:pStyle w:val="ParaNum"/>
        <w:keepNext/>
        <w:widowControl/>
        <w:snapToGrid w:val="0"/>
      </w:pPr>
      <w:r>
        <w:t>We also find that, i</w:t>
      </w:r>
      <w:r w:rsidRPr="001B745E">
        <w:t>n addition to ensur</w:t>
      </w:r>
      <w:r>
        <w:t>ing</w:t>
      </w:r>
      <w:r w:rsidRPr="001B745E">
        <w:t xml:space="preserve"> interoperability</w:t>
      </w:r>
      <w:r>
        <w:t xml:space="preserve"> and facilitating use of the D and E Blocks</w:t>
      </w:r>
      <w:r w:rsidRPr="001B745E">
        <w:t xml:space="preserve">, </w:t>
      </w:r>
      <w:r>
        <w:t xml:space="preserve">these rule changes </w:t>
      </w:r>
      <w:r w:rsidRPr="001B745E">
        <w:t>also w</w:t>
      </w:r>
      <w:r>
        <w:t>ill</w:t>
      </w:r>
      <w:r w:rsidRPr="001B745E">
        <w:t xml:space="preserve"> </w:t>
      </w:r>
      <w:r>
        <w:t>facilitate</w:t>
      </w:r>
      <w:r w:rsidRPr="001B745E">
        <w:t xml:space="preserve"> Lower 700 MHz A Block operations because LTE service provided on the A Block would otherwise likely be subject to harmful interference from high-power operations in the Lower 700 MHz E Block. </w:t>
      </w:r>
      <w:r w:rsidR="00B93D3E">
        <w:rPr>
          <w:lang w:val="en-US"/>
        </w:rPr>
        <w:t xml:space="preserve"> </w:t>
      </w:r>
      <w:r w:rsidRPr="001B745E">
        <w:t>In particular, mobile devices operating near a Lower E Block transmitter but far from their serving LTE base stations face a substantial risk of receiving harmful interference from E Block transmitters.  The potential for this interference would exist because of vastly different radio propagation characteristics between the high-powered Lower 700 MHz E Block and lower powered A Block LTE systems, and such interference would result in significant degradation of service to A Block operations in areas close to high-powered E Block transmitters.  Accordingly, the harmonized technical rules will facilitate provisioning of mobile broadband LTE services to consumers in all of the paired Lower 700 MHz bands without significant service degradation.</w:t>
      </w:r>
    </w:p>
    <w:p w:rsidR="00B4328A" w:rsidRPr="00B4328A" w:rsidRDefault="00B4328A" w:rsidP="00D03910">
      <w:pPr>
        <w:pStyle w:val="ParaNum"/>
        <w:keepNext/>
        <w:widowControl/>
        <w:snapToGrid w:val="0"/>
      </w:pPr>
      <w:r w:rsidRPr="00B4328A">
        <w:rPr>
          <w:lang w:val="en-US"/>
        </w:rPr>
        <w:t>We agree as well with DISH’s proposal</w:t>
      </w:r>
      <w:r w:rsidRPr="00B4328A">
        <w:rPr>
          <w:vertAlign w:val="superscript"/>
          <w:lang w:val="en-US"/>
        </w:rPr>
        <w:footnoteReference w:id="88"/>
      </w:r>
      <w:r w:rsidRPr="00B4328A">
        <w:rPr>
          <w:lang w:val="en-US"/>
        </w:rPr>
        <w:t xml:space="preserve"> in its recent </w:t>
      </w:r>
      <w:r w:rsidRPr="00B4328A">
        <w:rPr>
          <w:i/>
          <w:lang w:val="en-US"/>
        </w:rPr>
        <w:t xml:space="preserve">ex parte </w:t>
      </w:r>
      <w:r w:rsidRPr="00B4328A">
        <w:rPr>
          <w:lang w:val="en-US"/>
        </w:rPr>
        <w:t xml:space="preserve">filing that it also </w:t>
      </w:r>
      <w:r>
        <w:rPr>
          <w:lang w:val="en-US"/>
        </w:rPr>
        <w:t xml:space="preserve">would serve </w:t>
      </w:r>
      <w:r w:rsidRPr="00B4328A">
        <w:rPr>
          <w:lang w:val="en-US"/>
        </w:rPr>
        <w:t xml:space="preserve">the public interest to permit </w:t>
      </w:r>
      <w:r w:rsidR="000F78E0">
        <w:rPr>
          <w:lang w:val="en-US"/>
        </w:rPr>
        <w:t xml:space="preserve">particular </w:t>
      </w:r>
      <w:r w:rsidRPr="00B4328A">
        <w:rPr>
          <w:lang w:val="en-US"/>
        </w:rPr>
        <w:t>Lower 700 MHz D or E Block stations to operate under the existing ERP level of up to 50 kW, in conjunction with the existing power flux density (PFD) limit, so long as the licensee obtains consent of all affected licensees.  In taking this action, we find that this flexibility will provide D and E Block licensees with the opportunity to better serve rural and underserved communities without adversely affecting the Commission’s objective to more effectively utilize the Lower 700 MHz band.</w:t>
      </w:r>
      <w:r w:rsidRPr="00B4328A">
        <w:rPr>
          <w:vertAlign w:val="superscript"/>
          <w:lang w:val="en-US"/>
        </w:rPr>
        <w:footnoteReference w:id="89"/>
      </w:r>
      <w:r w:rsidRPr="00B4328A">
        <w:rPr>
          <w:lang w:val="en-US"/>
        </w:rPr>
        <w:t xml:space="preserve">  Specifically, we amend</w:t>
      </w:r>
      <w:r w:rsidR="002F6F74">
        <w:rPr>
          <w:lang w:val="en-US"/>
        </w:rPr>
        <w:t xml:space="preserve"> Section 27.50 to provide that L</w:t>
      </w:r>
      <w:r w:rsidRPr="00B4328A">
        <w:rPr>
          <w:lang w:val="en-US"/>
        </w:rPr>
        <w:t>ower 700 MHz D and E Block licensees may operate stations at existing power limits</w:t>
      </w:r>
      <w:r w:rsidRPr="00B4328A">
        <w:rPr>
          <w:vertAlign w:val="superscript"/>
          <w:lang w:val="en-US"/>
        </w:rPr>
        <w:footnoteReference w:id="90"/>
      </w:r>
      <w:r w:rsidRPr="00B4328A">
        <w:rPr>
          <w:lang w:val="en-US"/>
        </w:rPr>
        <w:t xml:space="preserve"> if they are able to obtain the written concurrence of all potentially affected licensees.  For purposes of this rule, we find that potentially affected licensees are all A, B, C, D and E Block licensees licensed within 120 km of the proposed higher powered site.</w:t>
      </w:r>
      <w:r w:rsidR="00E27AC5">
        <w:rPr>
          <w:rStyle w:val="FootnoteReference"/>
          <w:lang w:val="en-US"/>
        </w:rPr>
        <w:footnoteReference w:id="91"/>
      </w:r>
      <w:r w:rsidR="005A5769">
        <w:rPr>
          <w:lang w:val="en-US"/>
        </w:rPr>
        <w:t xml:space="preserve">  Prior to operation, L</w:t>
      </w:r>
      <w:r w:rsidRPr="00B4328A">
        <w:rPr>
          <w:lang w:val="en-US"/>
        </w:rPr>
        <w:t>ower 700 MHz D and E Block licensees must obtain written concurrence from each potentially affected licensee and file a copy of each agreement with the Wireless Telecommunications Bureau via FCC Form 601.</w:t>
      </w:r>
      <w:r w:rsidR="004A43A1">
        <w:rPr>
          <w:rStyle w:val="FootnoteReference"/>
          <w:lang w:val="en-US"/>
        </w:rPr>
        <w:footnoteReference w:id="92"/>
      </w:r>
      <w:r w:rsidRPr="00B4328A">
        <w:rPr>
          <w:lang w:val="en-US"/>
        </w:rPr>
        <w:t xml:space="preserve">  If a licensee is unable to obtain written concurrence from one or more affected licensees, it may seek a waiver of this rule with respect to a particular transmitter.  </w:t>
      </w:r>
      <w:r w:rsidR="00E112E1">
        <w:rPr>
          <w:lang w:val="en-US"/>
        </w:rPr>
        <w:t>T</w:t>
      </w:r>
      <w:r w:rsidR="00E112E1" w:rsidRPr="00B4328A">
        <w:rPr>
          <w:lang w:val="en-US"/>
        </w:rPr>
        <w:t xml:space="preserve">he </w:t>
      </w:r>
      <w:r w:rsidR="00E112E1">
        <w:rPr>
          <w:lang w:val="en-US"/>
        </w:rPr>
        <w:t xml:space="preserve">waiver </w:t>
      </w:r>
      <w:r w:rsidR="00E112E1" w:rsidRPr="00B4328A">
        <w:rPr>
          <w:lang w:val="en-US"/>
        </w:rPr>
        <w:t xml:space="preserve">request </w:t>
      </w:r>
      <w:r w:rsidR="00E112E1">
        <w:rPr>
          <w:lang w:val="en-US"/>
        </w:rPr>
        <w:t>must meet</w:t>
      </w:r>
      <w:r w:rsidR="00E112E1" w:rsidRPr="00B4328A">
        <w:rPr>
          <w:lang w:val="en-US"/>
        </w:rPr>
        <w:t xml:space="preserve"> the waiver standard articulated in Section 1.925 of the Commission’s Rules</w:t>
      </w:r>
      <w:r w:rsidR="00E112E1">
        <w:rPr>
          <w:lang w:val="en-US"/>
        </w:rPr>
        <w:t>.</w:t>
      </w:r>
      <w:r w:rsidR="00E112E1">
        <w:rPr>
          <w:rStyle w:val="FootnoteReference"/>
          <w:lang w:val="en-US"/>
        </w:rPr>
        <w:footnoteReference w:id="93"/>
      </w:r>
      <w:r w:rsidR="00E112E1">
        <w:rPr>
          <w:lang w:val="en-US"/>
        </w:rPr>
        <w:t xml:space="preserve">  In assessing whether a waiver grant is warranted, we will determine whether </w:t>
      </w:r>
      <w:r w:rsidR="00E112E1" w:rsidRPr="00B4328A">
        <w:rPr>
          <w:lang w:val="en-US"/>
        </w:rPr>
        <w:t xml:space="preserve">the licensee </w:t>
      </w:r>
      <w:r w:rsidR="00E112E1">
        <w:rPr>
          <w:lang w:val="en-US"/>
        </w:rPr>
        <w:t>has made reasonable</w:t>
      </w:r>
      <w:r w:rsidR="00E112E1" w:rsidRPr="00B4328A">
        <w:rPr>
          <w:lang w:val="en-US"/>
        </w:rPr>
        <w:t xml:space="preserve"> efforts to obtain the written concurrence of all affected licensees</w:t>
      </w:r>
      <w:r w:rsidR="00E112E1">
        <w:rPr>
          <w:lang w:val="en-US"/>
        </w:rPr>
        <w:t xml:space="preserve"> and has shown </w:t>
      </w:r>
      <w:r w:rsidR="00E112E1" w:rsidRPr="00B4328A">
        <w:rPr>
          <w:lang w:val="en-US"/>
        </w:rPr>
        <w:t>that operation at higher power from the particular transmitter facility will not cause harmful interference to affected licensees’ existing operations</w:t>
      </w:r>
      <w:r w:rsidR="00E112E1">
        <w:rPr>
          <w:lang w:val="en-US"/>
        </w:rPr>
        <w:t xml:space="preserve">.  Our determination will take into account a number of factors, including the following: </w:t>
      </w:r>
      <w:r w:rsidR="00E112E1" w:rsidRPr="00B4328A">
        <w:rPr>
          <w:lang w:val="en-US"/>
        </w:rPr>
        <w:t>the location</w:t>
      </w:r>
      <w:r w:rsidR="00E112E1">
        <w:rPr>
          <w:lang w:val="en-US"/>
        </w:rPr>
        <w:t xml:space="preserve"> of the transmitter</w:t>
      </w:r>
      <w:r w:rsidR="00E112E1" w:rsidRPr="00B4328A">
        <w:rPr>
          <w:lang w:val="en-US"/>
        </w:rPr>
        <w:t xml:space="preserve">, </w:t>
      </w:r>
      <w:r w:rsidR="00E112E1">
        <w:rPr>
          <w:lang w:val="en-US"/>
        </w:rPr>
        <w:t xml:space="preserve">the </w:t>
      </w:r>
      <w:r w:rsidR="00E112E1" w:rsidRPr="00B4328A">
        <w:rPr>
          <w:lang w:val="en-US"/>
        </w:rPr>
        <w:t xml:space="preserve">technology, and relevant technical parameters of the transmitter facility; the location(s) and technical characteristics of the potentially affected licensees’ stations; and </w:t>
      </w:r>
      <w:r w:rsidR="00E112E1">
        <w:rPr>
          <w:lang w:val="en-US"/>
        </w:rPr>
        <w:t xml:space="preserve">any </w:t>
      </w:r>
      <w:r w:rsidR="00E112E1" w:rsidRPr="00B4328A">
        <w:rPr>
          <w:lang w:val="en-US"/>
        </w:rPr>
        <w:t>engineering stud</w:t>
      </w:r>
      <w:r w:rsidR="00E112E1">
        <w:rPr>
          <w:lang w:val="en-US"/>
        </w:rPr>
        <w:t>ies</w:t>
      </w:r>
      <w:r w:rsidR="00E112E1" w:rsidRPr="00B4328A">
        <w:rPr>
          <w:lang w:val="en-US"/>
        </w:rPr>
        <w:t xml:space="preserve"> </w:t>
      </w:r>
      <w:r w:rsidR="00D965BF">
        <w:rPr>
          <w:lang w:val="en-US"/>
        </w:rPr>
        <w:t xml:space="preserve">demonstrating </w:t>
      </w:r>
      <w:r w:rsidR="0067727D">
        <w:rPr>
          <w:lang w:val="en-US"/>
        </w:rPr>
        <w:t xml:space="preserve">no </w:t>
      </w:r>
      <w:r w:rsidR="00E112E1" w:rsidRPr="00B4328A">
        <w:rPr>
          <w:lang w:val="en-US"/>
        </w:rPr>
        <w:t xml:space="preserve">harmful interference.  </w:t>
      </w:r>
      <w:r w:rsidR="008D2FDF">
        <w:rPr>
          <w:lang w:val="en-US"/>
        </w:rPr>
        <w:t>T</w:t>
      </w:r>
      <w:r w:rsidRPr="00B4328A">
        <w:rPr>
          <w:lang w:val="en-US"/>
        </w:rPr>
        <w:t xml:space="preserve">he nature of the potential harmful interference </w:t>
      </w:r>
      <w:r w:rsidR="000F78E0">
        <w:rPr>
          <w:lang w:val="en-US"/>
        </w:rPr>
        <w:t xml:space="preserve">suggests that it likely will </w:t>
      </w:r>
      <w:r w:rsidRPr="00B4328A">
        <w:rPr>
          <w:lang w:val="en-US"/>
        </w:rPr>
        <w:t>be more difficult to demonstrate no harmful interference to affected licensees in urban areas</w:t>
      </w:r>
      <w:r w:rsidR="000F78E0">
        <w:rPr>
          <w:lang w:val="en-US"/>
        </w:rPr>
        <w:t xml:space="preserve"> than in rural areas</w:t>
      </w:r>
      <w:r w:rsidRPr="00B4328A">
        <w:rPr>
          <w:lang w:val="en-US"/>
        </w:rPr>
        <w:t>.  Finally, in order to protect future operations of potentially affected licensees, any waiver granted will be conditioned on causing no harmful interference to future deployments by affected licensees (or obtaining their written</w:t>
      </w:r>
      <w:r w:rsidR="007C028E">
        <w:rPr>
          <w:lang w:val="en-US"/>
        </w:rPr>
        <w:t xml:space="preserve"> concurrence</w:t>
      </w:r>
      <w:r w:rsidRPr="00B4328A">
        <w:rPr>
          <w:lang w:val="en-US"/>
        </w:rPr>
        <w:t>)</w:t>
      </w:r>
      <w:r w:rsidR="007C028E">
        <w:rPr>
          <w:lang w:val="en-US"/>
        </w:rPr>
        <w:t>.</w:t>
      </w:r>
      <w:r w:rsidR="00E27AC5">
        <w:rPr>
          <w:rStyle w:val="FootnoteReference"/>
          <w:lang w:val="en-US"/>
        </w:rPr>
        <w:footnoteReference w:id="94"/>
      </w:r>
    </w:p>
    <w:p w:rsidR="005F5D1D" w:rsidRPr="001B745E" w:rsidRDefault="005F5D1D" w:rsidP="00D03910">
      <w:pPr>
        <w:pStyle w:val="ParaNum"/>
        <w:keepNext/>
        <w:widowControl/>
        <w:snapToGrid w:val="0"/>
      </w:pPr>
      <w:r>
        <w:t xml:space="preserve">Consistent with the </w:t>
      </w:r>
      <w:r w:rsidRPr="00F515EF">
        <w:rPr>
          <w:i/>
        </w:rPr>
        <w:t>AT&amp;T Qualcomm Order</w:t>
      </w:r>
      <w:r>
        <w:t>, w</w:t>
      </w:r>
      <w:r w:rsidRPr="001B745E">
        <w:t>e also require that the Lower 700 MHz D and E Block licensees take steps to mitigate the potential for harmful interference from their downlink operations to uplink operations in t</w:t>
      </w:r>
      <w:r w:rsidR="00634B65">
        <w:t xml:space="preserve">he A, B, and C </w:t>
      </w:r>
      <w:r w:rsidR="00634B65">
        <w:rPr>
          <w:lang w:val="en-US"/>
        </w:rPr>
        <w:t>B</w:t>
      </w:r>
      <w:r w:rsidRPr="001B745E">
        <w:t xml:space="preserve">locks.  In particular, we require D and E Block licensees to take the following measures: (1) coordinate with A, B, or C Block licensees to mitigate the potential for harmful interference; (2) mitigate interference to A, B, or C Block operations within 30 days after receiving written notice from the affected A, B, or C Block licensees; and (3) ensure that D or E Block transmissions are filtered at least to the extent that the D or E Block transmissions are filtered in markets where the D or </w:t>
      </w:r>
      <w:r w:rsidR="00634B65">
        <w:t xml:space="preserve">E </w:t>
      </w:r>
      <w:r w:rsidR="00634B65">
        <w:rPr>
          <w:lang w:val="en-US"/>
        </w:rPr>
        <w:t>B</w:t>
      </w:r>
      <w:r w:rsidRPr="001B745E">
        <w:t>lock licensee holds an A, B, or C Block license, as applicable.</w:t>
      </w:r>
      <w:r w:rsidRPr="001B745E">
        <w:rPr>
          <w:vertAlign w:val="superscript"/>
        </w:rPr>
        <w:footnoteReference w:id="95"/>
      </w:r>
      <w:r w:rsidRPr="001B745E">
        <w:t xml:space="preserve">  Coordination and mitigation steps should include, but are not limited to, the following measures:  If a Lower A, B, or C Block licensee deploys a network after the D or E </w:t>
      </w:r>
      <w:r w:rsidR="00634B65">
        <w:rPr>
          <w:lang w:val="en-US"/>
        </w:rPr>
        <w:t>B</w:t>
      </w:r>
      <w:r w:rsidRPr="001B745E">
        <w:t>lock deploys a network on its Lower 700 MHz D or E Block spectrum in the same geographic market, the D or E Block licensee will work with the A, B, or C Block licensee to identify sites that will require additional filtering, and will help the A, B, or C Block licensee to identify proper filters.</w:t>
      </w:r>
      <w:r w:rsidRPr="001B745E">
        <w:rPr>
          <w:vertAlign w:val="superscript"/>
        </w:rPr>
        <w:footnoteReference w:id="96"/>
      </w:r>
      <w:r w:rsidRPr="001B745E">
        <w:t xml:space="preserve">  The D or E Block licensee is also required to permit these licensees to collocate on the towers it owns at prevailing market rates.</w:t>
      </w:r>
      <w:r w:rsidRPr="001B745E">
        <w:rPr>
          <w:vertAlign w:val="superscript"/>
        </w:rPr>
        <w:footnoteReference w:id="97"/>
      </w:r>
      <w:r w:rsidRPr="001B745E">
        <w:t xml:space="preserve">  On the other hand, if a Lower A, B, or C Block licensee deploys a network before a D or E Block licensee deploys a network in the same geographic market, the D </w:t>
      </w:r>
      <w:r w:rsidR="00634B65">
        <w:t xml:space="preserve">or E </w:t>
      </w:r>
      <w:r w:rsidR="00634B65">
        <w:rPr>
          <w:lang w:val="en-US"/>
        </w:rPr>
        <w:t>B</w:t>
      </w:r>
      <w:r w:rsidRPr="001B745E">
        <w:t>lock licensee will work with the A, B, or C Block licensee to identify sites that will need additional filtering and will purchase and pay for installation of required filters on such sites.</w:t>
      </w:r>
      <w:r w:rsidRPr="001B745E">
        <w:rPr>
          <w:vertAlign w:val="superscript"/>
        </w:rPr>
        <w:footnoteReference w:id="98"/>
      </w:r>
      <w:r w:rsidRPr="001B745E">
        <w:t xml:space="preserve">  For purposes of this condition, “deployment of a network” shall be the date upon which the network is able to support a commercial mobile voice or data service.</w:t>
      </w:r>
      <w:r w:rsidRPr="001B745E">
        <w:rPr>
          <w:vertAlign w:val="superscript"/>
        </w:rPr>
        <w:footnoteReference w:id="99"/>
      </w:r>
    </w:p>
    <w:p w:rsidR="005F5D1D" w:rsidRPr="001B745E" w:rsidRDefault="005F5D1D" w:rsidP="00D03910">
      <w:pPr>
        <w:pStyle w:val="ParaNum"/>
        <w:keepNext/>
        <w:widowControl/>
        <w:snapToGrid w:val="0"/>
      </w:pPr>
      <w:r w:rsidRPr="001B745E">
        <w:t>We find that we have authority to adjust the technical requirements for the Lower 700 MHz D and E Blocks as outlined above.  Title III of the Act provides the Commission with broad authority to manage spectrum, including allocating and assigning radio spectrum for spectrum based services and modifying spectrum usage conditions in the public interest.  The Commission is charged with maintaining control “over all the channels of radio transmission” in the United States.</w:t>
      </w:r>
      <w:r w:rsidRPr="001B745E">
        <w:rPr>
          <w:vertAlign w:val="superscript"/>
        </w:rPr>
        <w:footnoteReference w:id="100"/>
      </w:r>
      <w:r w:rsidRPr="001B745E">
        <w:t xml:space="preserve">  Section 301 states that “[i]t is the purpose of this Act, among other things, to maintain the control of the United States over all the channels of radio transmission; and to provide for the use of such channels, but not the ownership thereof, by persons for limited periods of time, under licenses granted by Federal authority, and no such license shall be construed to create any right, beyond the terms, conditions, and periods of the license.”</w:t>
      </w:r>
      <w:r w:rsidRPr="001B745E">
        <w:rPr>
          <w:vertAlign w:val="superscript"/>
        </w:rPr>
        <w:footnoteReference w:id="101"/>
      </w:r>
      <w:r w:rsidRPr="001B745E">
        <w:t xml:space="preserve">  The issuance of a Commission license does not convey any ownership or property interests in the spectrum and does not provide the licensee with any rights that can override the Commission’s proper exercise of its regulatory power over the spectrum.</w:t>
      </w:r>
      <w:r w:rsidRPr="001B745E">
        <w:rPr>
          <w:vertAlign w:val="superscript"/>
        </w:rPr>
        <w:footnoteReference w:id="102"/>
      </w:r>
      <w:r w:rsidRPr="001B745E">
        <w:t xml:space="preserve">  As the D.C. Circuit held well before the E Block auction here, Congress specifically applied to licenses acquired by auction this “long tradition of Commission authority to change rules governing already-issued licenses.”</w:t>
      </w:r>
      <w:r w:rsidRPr="001B745E">
        <w:rPr>
          <w:vertAlign w:val="superscript"/>
        </w:rPr>
        <w:footnoteReference w:id="103"/>
      </w:r>
      <w:r w:rsidRPr="001B745E">
        <w:t xml:space="preserve">  </w:t>
      </w:r>
    </w:p>
    <w:p w:rsidR="005F5D1D" w:rsidRPr="001B745E" w:rsidRDefault="005F5D1D" w:rsidP="00D03910">
      <w:pPr>
        <w:pStyle w:val="ParaNum"/>
        <w:keepNext/>
        <w:widowControl/>
        <w:snapToGrid w:val="0"/>
      </w:pPr>
      <w:r w:rsidRPr="001B745E">
        <w:t xml:space="preserve">We </w:t>
      </w:r>
      <w:r w:rsidR="000B13E7">
        <w:rPr>
          <w:lang w:val="en-US"/>
        </w:rPr>
        <w:t xml:space="preserve">therefore </w:t>
      </w:r>
      <w:r w:rsidRPr="001B745E">
        <w:t xml:space="preserve">take our actions here </w:t>
      </w:r>
      <w:r w:rsidR="00BB69C7">
        <w:rPr>
          <w:lang w:val="en-US"/>
        </w:rPr>
        <w:t>to revise the technical service rules applicable to the D and E Blocks</w:t>
      </w:r>
      <w:r w:rsidR="00BB69C7" w:rsidRPr="001B745E">
        <w:t xml:space="preserve"> </w:t>
      </w:r>
      <w:r w:rsidRPr="001B745E">
        <w:t xml:space="preserve">pursuant to </w:t>
      </w:r>
      <w:r w:rsidR="000B13E7">
        <w:rPr>
          <w:lang w:val="en-US"/>
        </w:rPr>
        <w:t>S</w:t>
      </w:r>
      <w:r w:rsidRPr="001B745E">
        <w:t>ection</w:t>
      </w:r>
      <w:r w:rsidR="000B13E7">
        <w:rPr>
          <w:lang w:val="en-US"/>
        </w:rPr>
        <w:t>s</w:t>
      </w:r>
      <w:r w:rsidRPr="001B745E">
        <w:t xml:space="preserve"> 303(b) </w:t>
      </w:r>
      <w:r w:rsidR="000B13E7">
        <w:rPr>
          <w:lang w:val="en-US"/>
        </w:rPr>
        <w:t xml:space="preserve">and 303(f) </w:t>
      </w:r>
      <w:r w:rsidRPr="001B745E">
        <w:t>of the Act</w:t>
      </w:r>
      <w:r w:rsidR="000B13E7">
        <w:rPr>
          <w:lang w:val="en-US"/>
        </w:rPr>
        <w:t>.</w:t>
      </w:r>
      <w:r w:rsidRPr="001B745E">
        <w:rPr>
          <w:vertAlign w:val="superscript"/>
        </w:rPr>
        <w:footnoteReference w:id="104"/>
      </w:r>
      <w:r w:rsidRPr="001B745E">
        <w:t xml:space="preserve">  Section 316 </w:t>
      </w:r>
      <w:r w:rsidR="008816A0">
        <w:rPr>
          <w:lang w:val="en-US"/>
        </w:rPr>
        <w:t xml:space="preserve">of the Act </w:t>
      </w:r>
      <w:r w:rsidRPr="001B745E">
        <w:t>grants the Commission broad authority to modify existing licenses if it determines that such action “will promote the public interest, convenience, and necessity.”</w:t>
      </w:r>
      <w:r w:rsidRPr="001B745E">
        <w:rPr>
          <w:vertAlign w:val="superscript"/>
        </w:rPr>
        <w:footnoteReference w:id="105"/>
      </w:r>
      <w:r w:rsidRPr="001B745E">
        <w:t xml:space="preserve">  </w:t>
      </w:r>
      <w:r w:rsidR="00BB69C7">
        <w:t>W</w:t>
      </w:r>
      <w:r w:rsidRPr="001B745E">
        <w:t xml:space="preserve">e do not disregard the importance of stability in our rules, but the </w:t>
      </w:r>
      <w:r w:rsidR="00E27AC5">
        <w:rPr>
          <w:lang w:val="en-US"/>
        </w:rPr>
        <w:t xml:space="preserve">substantial </w:t>
      </w:r>
      <w:r w:rsidRPr="001B745E">
        <w:t xml:space="preserve">record </w:t>
      </w:r>
      <w:r w:rsidR="00E27AC5">
        <w:rPr>
          <w:lang w:val="en-US"/>
        </w:rPr>
        <w:t xml:space="preserve">evidence now compiled </w:t>
      </w:r>
      <w:r w:rsidRPr="001B745E">
        <w:t xml:space="preserve">in this </w:t>
      </w:r>
      <w:r w:rsidR="00E27AC5">
        <w:rPr>
          <w:lang w:val="en-US"/>
        </w:rPr>
        <w:t>proceeding</w:t>
      </w:r>
      <w:r w:rsidRPr="001B745E">
        <w:t xml:space="preserve"> concerning </w:t>
      </w:r>
      <w:r w:rsidR="00E27AC5">
        <w:rPr>
          <w:lang w:val="en-US"/>
        </w:rPr>
        <w:t xml:space="preserve">both </w:t>
      </w:r>
      <w:r w:rsidRPr="001B745E">
        <w:t xml:space="preserve">the </w:t>
      </w:r>
      <w:r w:rsidR="00BB69C7">
        <w:rPr>
          <w:lang w:val="en-US"/>
        </w:rPr>
        <w:t xml:space="preserve">likely harmful interference from higher power D and E Block operations to the services actually now deployed in the B and C Blocks and </w:t>
      </w:r>
      <w:r w:rsidR="00E27AC5">
        <w:rPr>
          <w:lang w:val="en-US"/>
        </w:rPr>
        <w:t xml:space="preserve">the </w:t>
      </w:r>
      <w:r w:rsidRPr="001B745E">
        <w:t xml:space="preserve">public interest benefits of securing interoperability outweighs this concern.  </w:t>
      </w:r>
      <w:r w:rsidR="003B5601">
        <w:rPr>
          <w:lang w:val="en-US"/>
        </w:rPr>
        <w:t xml:space="preserve">As the demand for mobile broadband continues to grow, it is critical that there is nationwide mobile broadband coverage, including service in rural and underserved areas, competition within the mobile wireless broadband industry that provides consumers (particularly in these isolated areas) with greater selection from among different service offerings and pricing plans, and choice for consumers so that they can more readily change providers in order to avail themselves of competitive alternatives.  </w:t>
      </w:r>
      <w:r w:rsidRPr="001B745E">
        <w:t xml:space="preserve">Revising the technical requirements for Lower 700 MHz </w:t>
      </w:r>
      <w:r w:rsidR="00BB69C7">
        <w:t xml:space="preserve">D and </w:t>
      </w:r>
      <w:r w:rsidRPr="001B745E">
        <w:t>E Block licenses is a critical part of allowing interoperability and necessary to eliminate the potential for harmful interference to other 700 MHz bands.</w:t>
      </w:r>
      <w:r w:rsidR="00793225" w:rsidRPr="003B5601">
        <w:rPr>
          <w:lang w:val="en-US"/>
        </w:rPr>
        <w:t xml:space="preserve">  These changes are thus strongly in the public interest and </w:t>
      </w:r>
      <w:r w:rsidR="008816A0" w:rsidRPr="003B5601">
        <w:rPr>
          <w:lang w:val="en-US"/>
        </w:rPr>
        <w:t>authorized by Title</w:t>
      </w:r>
      <w:r w:rsidR="002D793E" w:rsidRPr="003B5601">
        <w:rPr>
          <w:lang w:val="en-US"/>
        </w:rPr>
        <w:t xml:space="preserve"> </w:t>
      </w:r>
      <w:r w:rsidR="008816A0" w:rsidRPr="003B5601">
        <w:rPr>
          <w:lang w:val="en-US"/>
        </w:rPr>
        <w:t xml:space="preserve">III. </w:t>
      </w:r>
      <w:r w:rsidR="003B5601">
        <w:rPr>
          <w:lang w:val="en-US"/>
        </w:rPr>
        <w:t xml:space="preserve">  </w:t>
      </w:r>
    </w:p>
    <w:p w:rsidR="002969FA" w:rsidRDefault="002969FA" w:rsidP="005B76F1">
      <w:pPr>
        <w:pStyle w:val="Heading2"/>
        <w:rPr>
          <w:lang w:val="en-US"/>
        </w:rPr>
      </w:pPr>
      <w:bookmarkStart w:id="231" w:name="_Toc366677418"/>
      <w:bookmarkStart w:id="232" w:name="_Toc366696624"/>
      <w:bookmarkStart w:id="233" w:name="_Toc366740266"/>
      <w:bookmarkStart w:id="234" w:name="_Toc366766673"/>
      <w:bookmarkStart w:id="235" w:name="_Toc366771500"/>
      <w:bookmarkStart w:id="236" w:name="_Toc367201505"/>
      <w:bookmarkStart w:id="237" w:name="_Toc367297830"/>
      <w:bookmarkStart w:id="238" w:name="_Toc367384480"/>
      <w:bookmarkStart w:id="239" w:name="_Toc367385265"/>
      <w:bookmarkStart w:id="240" w:name="_Toc367463243"/>
      <w:bookmarkStart w:id="241" w:name="_Toc367715575"/>
      <w:bookmarkStart w:id="242" w:name="_Toc367975863"/>
      <w:bookmarkStart w:id="243" w:name="_Toc367978236"/>
      <w:bookmarkStart w:id="244" w:name="_Toc368049348"/>
      <w:bookmarkStart w:id="245" w:name="_Toc370401666"/>
      <w:bookmarkStart w:id="246" w:name="_Toc363219731"/>
      <w:bookmarkStart w:id="247" w:name="_Toc363239523"/>
      <w:bookmarkStart w:id="248" w:name="_Toc363239553"/>
      <w:r w:rsidRPr="005D7567">
        <w:t>Channel 51</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D7567">
        <w:t xml:space="preserve"> </w:t>
      </w:r>
    </w:p>
    <w:p w:rsidR="00735914" w:rsidRPr="00735914" w:rsidRDefault="00251AE0" w:rsidP="00D03910">
      <w:pPr>
        <w:pStyle w:val="Heading3"/>
        <w:widowControl/>
      </w:pPr>
      <w:bookmarkStart w:id="249" w:name="_Toc367297831"/>
      <w:bookmarkStart w:id="250" w:name="_Toc367384481"/>
      <w:bookmarkStart w:id="251" w:name="_Toc367385266"/>
      <w:bookmarkStart w:id="252" w:name="_Toc367463244"/>
      <w:bookmarkStart w:id="253" w:name="_Toc367715576"/>
      <w:bookmarkStart w:id="254" w:name="_Toc367975864"/>
      <w:bookmarkStart w:id="255" w:name="_Toc367978237"/>
      <w:bookmarkStart w:id="256" w:name="_Toc368049349"/>
      <w:bookmarkStart w:id="257" w:name="_Toc370401667"/>
      <w:r>
        <w:rPr>
          <w:lang w:val="en-US"/>
        </w:rPr>
        <w:t>Assessment of Likelihood of Reverse Intermodulation Interference</w:t>
      </w:r>
      <w:bookmarkEnd w:id="249"/>
      <w:bookmarkEnd w:id="250"/>
      <w:bookmarkEnd w:id="251"/>
      <w:bookmarkEnd w:id="252"/>
      <w:bookmarkEnd w:id="253"/>
      <w:bookmarkEnd w:id="254"/>
      <w:bookmarkEnd w:id="255"/>
      <w:bookmarkEnd w:id="256"/>
      <w:bookmarkEnd w:id="257"/>
    </w:p>
    <w:p w:rsidR="002969FA" w:rsidRDefault="002969FA" w:rsidP="00D03910">
      <w:pPr>
        <w:pStyle w:val="ParaNum"/>
        <w:keepNext/>
        <w:widowControl/>
        <w:snapToGrid w:val="0"/>
      </w:pPr>
      <w:r w:rsidRPr="0025375B">
        <w:rPr>
          <w:i/>
        </w:rPr>
        <w:t>Background</w:t>
      </w:r>
      <w:r w:rsidRPr="005D7567">
        <w:t xml:space="preserve">.  </w:t>
      </w:r>
      <w:r w:rsidRPr="009C54FD">
        <w:t>Channel 51 (692-698 MHz), which has been allocated for TV broadcast operations at power levels up to 1000 kW, lies just below the Lower 700 MHz Band.</w:t>
      </w:r>
      <w:r w:rsidRPr="009C54FD">
        <w:rPr>
          <w:vertAlign w:val="superscript"/>
        </w:rPr>
        <w:footnoteReference w:id="106"/>
      </w:r>
      <w:r w:rsidRPr="009C54FD">
        <w:t xml:space="preserve">  </w:t>
      </w:r>
      <w:r w:rsidRPr="005D7567">
        <w:t>One of the interference issues raised by some as a possible technical obstacle to interoperability in the Lower 700 MHz band is “reverse intermodulation interference” from DTV Channel 51 broadcast transmissions to the operations of wireless providers in the Lower 700 MHz B and C Blocks.</w:t>
      </w:r>
      <w:r w:rsidRPr="005D7567">
        <w:rPr>
          <w:vertAlign w:val="superscript"/>
        </w:rPr>
        <w:footnoteReference w:id="107"/>
      </w:r>
      <w:r>
        <w:t xml:space="preserve">  The issue of r</w:t>
      </w:r>
      <w:r w:rsidRPr="005D7567">
        <w:t xml:space="preserve">everse intermodulation interference could arise when the Channel 51 </w:t>
      </w:r>
      <w:r>
        <w:t>signals</w:t>
      </w:r>
      <w:r w:rsidRPr="005D7567">
        <w:t xml:space="preserve"> interact, or “mix,” with transmissions from a wireless device to create a third transmission, or intermodulation product, that falls on a frequency used by the wireless device </w:t>
      </w:r>
      <w:r>
        <w:t>for</w:t>
      </w:r>
      <w:r w:rsidRPr="005D7567">
        <w:t xml:space="preserve"> </w:t>
      </w:r>
      <w:r>
        <w:t>receiving operation</w:t>
      </w:r>
      <w:r w:rsidRPr="005D7567">
        <w:t>.</w:t>
      </w:r>
      <w:r>
        <w:rPr>
          <w:rStyle w:val="FootnoteReference"/>
        </w:rPr>
        <w:footnoteReference w:id="108"/>
      </w:r>
    </w:p>
    <w:p w:rsidR="002969FA" w:rsidRDefault="002969FA" w:rsidP="00D03910">
      <w:pPr>
        <w:pStyle w:val="ParaNum"/>
        <w:keepNext/>
        <w:widowControl/>
        <w:snapToGrid w:val="0"/>
      </w:pPr>
      <w:r w:rsidRPr="005D7567">
        <w:t xml:space="preserve">In the </w:t>
      </w:r>
      <w:r w:rsidRPr="0025375B">
        <w:rPr>
          <w:i/>
        </w:rPr>
        <w:t>Interoperability NPRM</w:t>
      </w:r>
      <w:r w:rsidRPr="005D7567">
        <w:t>, the Commission requested that interested parties submit measurements and quantitative analyses regarding the interference risk from adjacent Channel 51 transmissions for Band Class 12 devices operating in the Lower B and C Blocks</w:t>
      </w:r>
      <w:r>
        <w:t xml:space="preserve">, </w:t>
      </w:r>
      <w:r w:rsidRPr="005D7567">
        <w:t xml:space="preserve">asked </w:t>
      </w:r>
      <w:r>
        <w:t>how the Commission could</w:t>
      </w:r>
      <w:r w:rsidRPr="005D7567">
        <w:t xml:space="preserve"> encourage voluntary industry efforts to find </w:t>
      </w:r>
      <w:r>
        <w:t xml:space="preserve">interference </w:t>
      </w:r>
      <w:r w:rsidRPr="005D7567">
        <w:t>solutions</w:t>
      </w:r>
      <w:r>
        <w:t>, and</w:t>
      </w:r>
      <w:r w:rsidRPr="005D7567">
        <w:t xml:space="preserve"> requested that commenters quantify the costs of implementing any proposed solutions to interference issues.</w:t>
      </w:r>
      <w:r w:rsidRPr="005D7567">
        <w:rPr>
          <w:vertAlign w:val="superscript"/>
        </w:rPr>
        <w:footnoteReference w:id="109"/>
      </w:r>
      <w:r>
        <w:t xml:space="preserve">  </w:t>
      </w:r>
    </w:p>
    <w:p w:rsidR="002969FA" w:rsidRPr="005D7567" w:rsidRDefault="002969FA" w:rsidP="00D03910">
      <w:pPr>
        <w:pStyle w:val="ParaNum"/>
        <w:keepNext/>
        <w:widowControl/>
        <w:snapToGrid w:val="0"/>
      </w:pPr>
      <w:r>
        <w:t xml:space="preserve">The record includes studies on reverse intermodulation interference </w:t>
      </w:r>
      <w:r w:rsidRPr="005D7567">
        <w:t>to Band Class 12 devices</w:t>
      </w:r>
      <w:r>
        <w:t xml:space="preserve"> on Lower 700 MHz Blocks B and C</w:t>
      </w:r>
      <w:r w:rsidRPr="005D7567">
        <w:t xml:space="preserve"> from Channel 51 operations</w:t>
      </w:r>
      <w:r>
        <w:t>.  Studies were submitted by a number of Lower 700 MHz A Block licensees (</w:t>
      </w:r>
      <w:r w:rsidRPr="005D7567">
        <w:t>consist</w:t>
      </w:r>
      <w:r>
        <w:t>ing</w:t>
      </w:r>
      <w:r w:rsidRPr="005D7567">
        <w:t xml:space="preserve"> of the </w:t>
      </w:r>
      <w:r w:rsidR="004A0E44">
        <w:rPr>
          <w:lang w:val="en-US"/>
        </w:rPr>
        <w:t>V-COMM</w:t>
      </w:r>
      <w:r w:rsidRPr="005D7567">
        <w:t xml:space="preserve"> Study and the Hyslop-Kolodzy Report</w:t>
      </w:r>
      <w:r>
        <w:t>),</w:t>
      </w:r>
      <w:r w:rsidRPr="005D7567">
        <w:rPr>
          <w:vertAlign w:val="superscript"/>
        </w:rPr>
        <w:footnoteReference w:id="110"/>
      </w:r>
      <w:r w:rsidRPr="005D7567">
        <w:t xml:space="preserve"> </w:t>
      </w:r>
      <w:r w:rsidR="00587A39">
        <w:rPr>
          <w:lang w:val="en-US"/>
        </w:rPr>
        <w:t xml:space="preserve">to demonstrate that any such interference </w:t>
      </w:r>
      <w:r w:rsidR="000779D7">
        <w:rPr>
          <w:lang w:val="en-US"/>
        </w:rPr>
        <w:t xml:space="preserve">is </w:t>
      </w:r>
      <w:r w:rsidR="00573C9E">
        <w:rPr>
          <w:lang w:val="en-US"/>
        </w:rPr>
        <w:t xml:space="preserve">unlikely, and </w:t>
      </w:r>
      <w:r w:rsidR="00573C9E" w:rsidRPr="00573C9E">
        <w:rPr>
          <w:lang w:val="en-US"/>
        </w:rPr>
        <w:t>if it does occur there are</w:t>
      </w:r>
      <w:r w:rsidR="00123287" w:rsidRPr="00123287">
        <w:rPr>
          <w:lang w:val="en-US" w:eastAsia="en-US"/>
        </w:rPr>
        <w:t xml:space="preserve"> </w:t>
      </w:r>
      <w:r w:rsidR="00123287" w:rsidRPr="00123287">
        <w:rPr>
          <w:lang w:val="en-US"/>
        </w:rPr>
        <w:t>reasonable</w:t>
      </w:r>
      <w:r w:rsidR="00573C9E" w:rsidRPr="00573C9E">
        <w:rPr>
          <w:lang w:val="en-US"/>
        </w:rPr>
        <w:t xml:space="preserve"> steps an operator can take to mitigate it.  </w:t>
      </w:r>
      <w:r>
        <w:t xml:space="preserve">AT&amp;T </w:t>
      </w:r>
      <w:r w:rsidR="00587A39">
        <w:rPr>
          <w:lang w:val="en-US"/>
        </w:rPr>
        <w:t xml:space="preserve">and Qualcomm filed studies that argue to the contrary </w:t>
      </w:r>
      <w:r>
        <w:t>(con</w:t>
      </w:r>
      <w:r w:rsidRPr="005D7567">
        <w:t>sist</w:t>
      </w:r>
      <w:r>
        <w:t>ing</w:t>
      </w:r>
      <w:r w:rsidRPr="005D7567">
        <w:t xml:space="preserve"> of </w:t>
      </w:r>
      <w:r w:rsidR="00587A39">
        <w:t xml:space="preserve">AT&amp;T submitted </w:t>
      </w:r>
      <w:r w:rsidRPr="005D7567">
        <w:t>studies from Reed and Tripathi,</w:t>
      </w:r>
      <w:r w:rsidRPr="005D7567">
        <w:rPr>
          <w:vertAlign w:val="superscript"/>
        </w:rPr>
        <w:footnoteReference w:id="111"/>
      </w:r>
      <w:r w:rsidRPr="005D7567">
        <w:t xml:space="preserve"> PCTEST,</w:t>
      </w:r>
      <w:r w:rsidRPr="005D7567">
        <w:rPr>
          <w:vertAlign w:val="superscript"/>
        </w:rPr>
        <w:footnoteReference w:id="112"/>
      </w:r>
      <w:r w:rsidRPr="005D7567">
        <w:t xml:space="preserve"> and 7Layers</w:t>
      </w:r>
      <w:r w:rsidRPr="005D7567">
        <w:rPr>
          <w:vertAlign w:val="superscript"/>
        </w:rPr>
        <w:footnoteReference w:id="113"/>
      </w:r>
      <w:r>
        <w:t>,</w:t>
      </w:r>
      <w:r w:rsidRPr="005D7567">
        <w:t xml:space="preserve"> and Qualcomm</w:t>
      </w:r>
      <w:r w:rsidR="00587A39">
        <w:t>’s own study</w:t>
      </w:r>
      <w:r w:rsidR="00107E74">
        <w:rPr>
          <w:lang w:val="en-US"/>
        </w:rPr>
        <w:t>)</w:t>
      </w:r>
      <w:r w:rsidRPr="005D7567">
        <w:t>.</w:t>
      </w:r>
      <w:r w:rsidRPr="005D7567">
        <w:rPr>
          <w:vertAlign w:val="superscript"/>
        </w:rPr>
        <w:footnoteReference w:id="114"/>
      </w:r>
      <w:r>
        <w:t xml:space="preserve">  </w:t>
      </w:r>
      <w:r w:rsidRPr="002C0351">
        <w:t xml:space="preserve">In its </w:t>
      </w:r>
      <w:r w:rsidR="00793225">
        <w:rPr>
          <w:lang w:val="en-US"/>
        </w:rPr>
        <w:t xml:space="preserve">recent </w:t>
      </w:r>
      <w:r w:rsidRPr="002C0351">
        <w:t xml:space="preserve">commitment letter, AT&amp;T states that “high power broadcasts currently permitted in Channel 51 </w:t>
      </w:r>
      <w:r w:rsidR="005A5769">
        <w:rPr>
          <w:lang w:val="en-US"/>
        </w:rPr>
        <w:t>and in the L</w:t>
      </w:r>
      <w:r w:rsidR="00587A39">
        <w:rPr>
          <w:lang w:val="en-US"/>
        </w:rPr>
        <w:t>ower 700 MHz E block</w:t>
      </w:r>
      <w:r w:rsidR="00587A39">
        <w:t xml:space="preserve"> </w:t>
      </w:r>
      <w:r w:rsidRPr="002C0351">
        <w:t>create the potential for significant interference problems for LTE deployment</w:t>
      </w:r>
      <w:r>
        <w:t>s</w:t>
      </w:r>
      <w:r w:rsidRPr="002C0351">
        <w:t>.”</w:t>
      </w:r>
      <w:r w:rsidRPr="002C0351">
        <w:rPr>
          <w:vertAlign w:val="superscript"/>
        </w:rPr>
        <w:footnoteReference w:id="115"/>
      </w:r>
      <w:r w:rsidRPr="002C0351">
        <w:t xml:space="preserve">  </w:t>
      </w:r>
    </w:p>
    <w:p w:rsidR="002969FA" w:rsidDel="00BD11EF" w:rsidRDefault="002969FA" w:rsidP="00D03910">
      <w:pPr>
        <w:pStyle w:val="ParaNum"/>
        <w:keepNext/>
        <w:widowControl/>
        <w:snapToGrid w:val="0"/>
      </w:pPr>
      <w:r w:rsidRPr="005D7567">
        <w:rPr>
          <w:i/>
        </w:rPr>
        <w:t>Discussion</w:t>
      </w:r>
      <w:r w:rsidRPr="005D7567">
        <w:t>.</w:t>
      </w:r>
      <w:r>
        <w:t xml:space="preserve">  </w:t>
      </w:r>
      <w:r w:rsidR="00573C9E" w:rsidRPr="00573C9E">
        <w:rPr>
          <w:lang w:val="en-US"/>
        </w:rPr>
        <w:t>Based on the extensive record in this proceeding</w:t>
      </w:r>
      <w:r w:rsidR="00D87EAF">
        <w:rPr>
          <w:lang w:val="en-US"/>
        </w:rPr>
        <w:t xml:space="preserve"> and</w:t>
      </w:r>
      <w:r w:rsidR="00573C9E" w:rsidRPr="00573C9E">
        <w:rPr>
          <w:lang w:val="en-US"/>
        </w:rPr>
        <w:t xml:space="preserve"> our technical and predictive judgment, we conclude that harmful interference to Lower 700 MHz mobile devices operating on the Lower 700 MHz B and C Blocks as a result of Channel 51 broadcast operations </w:t>
      </w:r>
      <w:r w:rsidR="00D87EAF">
        <w:rPr>
          <w:lang w:val="en-US"/>
        </w:rPr>
        <w:t>is</w:t>
      </w:r>
      <w:r w:rsidR="00573C9E" w:rsidRPr="00573C9E">
        <w:rPr>
          <w:lang w:val="en-US"/>
        </w:rPr>
        <w:t xml:space="preserve"> unlikely</w:t>
      </w:r>
      <w:r w:rsidR="00D87EAF" w:rsidRPr="00D87EAF">
        <w:rPr>
          <w:lang w:val="en-US" w:eastAsia="en-US"/>
        </w:rPr>
        <w:t xml:space="preserve"> </w:t>
      </w:r>
      <w:r w:rsidR="00D87EAF" w:rsidRPr="00D87EAF">
        <w:rPr>
          <w:lang w:val="en-US"/>
        </w:rPr>
        <w:t>for a number of reasons</w:t>
      </w:r>
      <w:r w:rsidR="00573C9E" w:rsidRPr="00573C9E">
        <w:rPr>
          <w:lang w:val="en-US"/>
        </w:rPr>
        <w:t>.</w:t>
      </w:r>
      <w:r w:rsidR="008D1C08">
        <w:rPr>
          <w:rStyle w:val="FootnoteReference"/>
        </w:rPr>
        <w:footnoteReference w:id="116"/>
      </w:r>
      <w:r w:rsidR="00573C9E" w:rsidRPr="00573C9E">
        <w:rPr>
          <w:lang w:val="en-US"/>
        </w:rPr>
        <w:t xml:space="preserve">  Moreover, </w:t>
      </w:r>
      <w:r w:rsidR="00D87EAF" w:rsidRPr="00D87EAF">
        <w:rPr>
          <w:lang w:val="en-US"/>
        </w:rPr>
        <w:t xml:space="preserve">we find that </w:t>
      </w:r>
      <w:r w:rsidR="00573C9E" w:rsidRPr="00573C9E">
        <w:rPr>
          <w:lang w:val="en-US"/>
        </w:rPr>
        <w:t xml:space="preserve">providers can undertake reasonable steps to mitigate the impacts of </w:t>
      </w:r>
      <w:r w:rsidR="00573C9E" w:rsidRPr="000C0B9E">
        <w:rPr>
          <w:lang w:val="en-US"/>
        </w:rPr>
        <w:t>any</w:t>
      </w:r>
      <w:r w:rsidR="00573C9E" w:rsidRPr="00573C9E">
        <w:rPr>
          <w:lang w:val="en-US"/>
        </w:rPr>
        <w:t xml:space="preserve"> interference </w:t>
      </w:r>
      <w:r w:rsidR="00D87EAF">
        <w:rPr>
          <w:lang w:val="en-US"/>
        </w:rPr>
        <w:t xml:space="preserve">that might occur </w:t>
      </w:r>
      <w:r w:rsidR="00573C9E" w:rsidRPr="00573C9E">
        <w:rPr>
          <w:lang w:val="en-US"/>
        </w:rPr>
        <w:t>from Channel 51 transmissions to LTE Band Class 12 devices.</w:t>
      </w:r>
      <w:r w:rsidR="003D7BE1">
        <w:rPr>
          <w:rStyle w:val="FootnoteReference"/>
          <w:lang w:val="en-US"/>
        </w:rPr>
        <w:footnoteReference w:id="117"/>
      </w:r>
      <w:r w:rsidR="00573C9E" w:rsidRPr="00573C9E">
        <w:rPr>
          <w:lang w:val="en-US"/>
        </w:rPr>
        <w:t xml:space="preserve">  In addition, </w:t>
      </w:r>
      <w:r w:rsidR="00D87EAF">
        <w:rPr>
          <w:lang w:val="en-US"/>
        </w:rPr>
        <w:t>any</w:t>
      </w:r>
      <w:r w:rsidR="00573C9E" w:rsidRPr="00573C9E">
        <w:rPr>
          <w:lang w:val="en-US"/>
        </w:rPr>
        <w:t xml:space="preserve"> issue is likely to be time-limited, as the number of full-power Channel 51 stations decrease</w:t>
      </w:r>
      <w:r w:rsidR="00D87EAF">
        <w:rPr>
          <w:lang w:val="en-US"/>
        </w:rPr>
        <w:t>s</w:t>
      </w:r>
      <w:r w:rsidR="00573C9E" w:rsidRPr="00573C9E">
        <w:rPr>
          <w:lang w:val="en-US"/>
        </w:rPr>
        <w:t xml:space="preserve"> over time.  </w:t>
      </w:r>
      <w:r w:rsidR="00D87EAF">
        <w:rPr>
          <w:lang w:val="en-US"/>
        </w:rPr>
        <w:t>W</w:t>
      </w:r>
      <w:r w:rsidR="00573C9E" w:rsidRPr="00573C9E">
        <w:rPr>
          <w:lang w:val="en-US"/>
        </w:rPr>
        <w:t xml:space="preserve">e note </w:t>
      </w:r>
      <w:r w:rsidR="00D87EAF">
        <w:rPr>
          <w:lang w:val="en-US"/>
        </w:rPr>
        <w:t xml:space="preserve">as well </w:t>
      </w:r>
      <w:r w:rsidR="00573C9E" w:rsidRPr="00573C9E">
        <w:rPr>
          <w:lang w:val="en-US"/>
        </w:rPr>
        <w:t>that, even though AT&amp;T identifies this issue in its September 10 letter, the proposed conditions in its letter and attachment, upon which its commitment of interoperability is based, address only potential E Block interference, and do not include any provisions relating to potential reverse intermodulation interference from Channel 51 broadcast operations</w:t>
      </w:r>
      <w:r w:rsidR="00573C9E">
        <w:rPr>
          <w:lang w:val="en-US"/>
        </w:rPr>
        <w:t>.</w:t>
      </w:r>
      <w:r w:rsidR="008D1C08" w:rsidRPr="008D1C08">
        <w:rPr>
          <w:rStyle w:val="FootnoteReference"/>
        </w:rPr>
        <w:t xml:space="preserve"> </w:t>
      </w:r>
      <w:r w:rsidR="008D1C08">
        <w:rPr>
          <w:rStyle w:val="FootnoteReference"/>
        </w:rPr>
        <w:footnoteReference w:id="118"/>
      </w:r>
      <w:r w:rsidR="00573C9E">
        <w:rPr>
          <w:lang w:val="en-US"/>
        </w:rPr>
        <w:t xml:space="preserve">  </w:t>
      </w:r>
    </w:p>
    <w:p w:rsidR="002969FA" w:rsidRDefault="008D1C08" w:rsidP="00D03910">
      <w:pPr>
        <w:pStyle w:val="ParaNum"/>
        <w:keepNext/>
        <w:widowControl/>
        <w:snapToGrid w:val="0"/>
      </w:pPr>
      <w:r w:rsidRPr="008D1C08">
        <w:rPr>
          <w:lang w:val="en-US"/>
        </w:rPr>
        <w:t xml:space="preserve">We find first that reverse intermodulation interference would </w:t>
      </w:r>
      <w:r w:rsidR="00D87EAF" w:rsidRPr="00D87EAF">
        <w:rPr>
          <w:lang w:val="en-US"/>
        </w:rPr>
        <w:t xml:space="preserve">occur only in the </w:t>
      </w:r>
      <w:r w:rsidR="00AC1138">
        <w:rPr>
          <w:lang w:val="en-US"/>
        </w:rPr>
        <w:t xml:space="preserve">unlikely </w:t>
      </w:r>
      <w:r w:rsidR="00D87EAF" w:rsidRPr="00D87EAF">
        <w:rPr>
          <w:lang w:val="en-US"/>
        </w:rPr>
        <w:t xml:space="preserve">event of a coincidence of a number of different factors.  For Channel 51 broadcast transmission to cause reverse intermodulation interference, all of the following would have to occur at the same time:  </w:t>
      </w:r>
      <w:r w:rsidRPr="008D1C08">
        <w:rPr>
          <w:lang w:val="en-US"/>
        </w:rPr>
        <w:t xml:space="preserve">the Channel 51 </w:t>
      </w:r>
      <w:r w:rsidR="002969FA" w:rsidRPr="00391A6A">
        <w:t>broadcast transmission reaches a very strong signal strength threshold received at the LTE mobile device, the LTE device is transmitting and receiving in certain specific frequencies within that carrier, and the mobile device is transmitting at maximum power.</w:t>
      </w:r>
      <w:r w:rsidR="002969FA" w:rsidRPr="00BD11EF">
        <w:rPr>
          <w:vertAlign w:val="superscript"/>
        </w:rPr>
        <w:footnoteReference w:id="119"/>
      </w:r>
      <w:r w:rsidR="00FC639A">
        <w:rPr>
          <w:lang w:val="en-US"/>
        </w:rPr>
        <w:t xml:space="preserve">  </w:t>
      </w:r>
      <w:r w:rsidR="002969FA" w:rsidRPr="00391A6A">
        <w:t>We also note there is a stable set of no more than 27 full-power, licensed broadcast facilities in the U.S.</w:t>
      </w:r>
      <w:r w:rsidR="00FC639A">
        <w:rPr>
          <w:lang w:val="en-US"/>
        </w:rPr>
        <w:t>,</w:t>
      </w:r>
      <w:r w:rsidR="002969FA" w:rsidRPr="00391A6A">
        <w:t xml:space="preserve"> including Puerto Rico, and over time the number of full-power Channel 51 stations will </w:t>
      </w:r>
      <w:r w:rsidR="00C240AE">
        <w:t xml:space="preserve">likely </w:t>
      </w:r>
      <w:r w:rsidR="002969FA" w:rsidRPr="00391A6A">
        <w:t>decrease</w:t>
      </w:r>
      <w:r w:rsidR="00FC639A">
        <w:rPr>
          <w:lang w:val="en-US"/>
        </w:rPr>
        <w:t xml:space="preserve">, </w:t>
      </w:r>
      <w:r w:rsidR="00FC639A" w:rsidRPr="00FC639A">
        <w:rPr>
          <w:lang w:val="en-US"/>
        </w:rPr>
        <w:t>principally as a result of the incentive auction proceeding</w:t>
      </w:r>
      <w:r w:rsidR="002969FA" w:rsidRPr="00391A6A">
        <w:t>.</w:t>
      </w:r>
      <w:r w:rsidR="002969FA" w:rsidRPr="00FA07EF">
        <w:t xml:space="preserve"> </w:t>
      </w:r>
      <w:r w:rsidR="002969FA">
        <w:t xml:space="preserve"> </w:t>
      </w:r>
    </w:p>
    <w:p w:rsidR="002969FA" w:rsidRDefault="002969FA" w:rsidP="00D03910">
      <w:pPr>
        <w:pStyle w:val="ParaNum"/>
        <w:keepNext/>
        <w:widowControl/>
        <w:snapToGrid w:val="0"/>
      </w:pPr>
      <w:r>
        <w:t>O</w:t>
      </w:r>
      <w:r w:rsidR="00D87EAF">
        <w:rPr>
          <w:lang w:val="en-US"/>
        </w:rPr>
        <w:t>ur</w:t>
      </w:r>
      <w:r>
        <w:t xml:space="preserve"> </w:t>
      </w:r>
      <w:r w:rsidR="00FC639A">
        <w:rPr>
          <w:lang w:val="en-US"/>
        </w:rPr>
        <w:t xml:space="preserve">conclusions </w:t>
      </w:r>
      <w:r w:rsidR="00FC639A" w:rsidRPr="00FC639A">
        <w:rPr>
          <w:lang w:val="en-US"/>
        </w:rPr>
        <w:t xml:space="preserve">rely as well on our evaluation of the evidence in the record.  </w:t>
      </w:r>
      <w:r w:rsidR="00D87EAF">
        <w:rPr>
          <w:lang w:val="en-US"/>
        </w:rPr>
        <w:t>W</w:t>
      </w:r>
      <w:r w:rsidRPr="005D7567">
        <w:t xml:space="preserve">e find that the tests and analyses of the proponents of an interoperability rule are more convincing than the tests and analyses submitted by opponents because, </w:t>
      </w:r>
      <w:r w:rsidRPr="005D7567">
        <w:rPr>
          <w:i/>
        </w:rPr>
        <w:t>inter alia,</w:t>
      </w:r>
      <w:r w:rsidRPr="005D7567">
        <w:t xml:space="preserve"> the proponents used more reasonable testing parameters such as the placement of the LTE carrier frequency and the number of resource blocks.</w:t>
      </w:r>
      <w:r w:rsidRPr="005D7567">
        <w:rPr>
          <w:vertAlign w:val="superscript"/>
        </w:rPr>
        <w:footnoteReference w:id="120"/>
      </w:r>
      <w:r w:rsidRPr="005D7567">
        <w:t xml:space="preserve">  The proponents also tested more devices under more possible interference scenarios which give a more comprehensive picture of the overall device performance, in both lab and field tests.</w:t>
      </w:r>
      <w:r>
        <w:rPr>
          <w:rStyle w:val="FootnoteReference"/>
        </w:rPr>
        <w:footnoteReference w:id="121"/>
      </w:r>
      <w:r>
        <w:t xml:space="preserve">  </w:t>
      </w:r>
      <w:r w:rsidRPr="005D7567">
        <w:t>Qualcomm used a “commercially-available power amplifier” that transmitted at 1930 MHz,</w:t>
      </w:r>
      <w:r w:rsidRPr="005D7567">
        <w:rPr>
          <w:vertAlign w:val="superscript"/>
        </w:rPr>
        <w:footnoteReference w:id="122"/>
      </w:r>
      <w:r w:rsidRPr="005D7567">
        <w:t xml:space="preserve"> which is not as representative of operating in the 700 MHz band as the 700 MHz devices that were used in the other tests.</w:t>
      </w:r>
      <w:r>
        <w:t xml:space="preserve">  </w:t>
      </w:r>
    </w:p>
    <w:p w:rsidR="002969FA" w:rsidRDefault="00FC639A" w:rsidP="00D03910">
      <w:pPr>
        <w:pStyle w:val="ParaNum"/>
        <w:keepNext/>
        <w:widowControl/>
        <w:snapToGrid w:val="0"/>
      </w:pPr>
      <w:r w:rsidRPr="00FC639A">
        <w:rPr>
          <w:lang w:val="en-US"/>
        </w:rPr>
        <w:t xml:space="preserve">The evidence in the record also shows that the high Channel 51 signal levels that raise the risk of interference </w:t>
      </w:r>
      <w:r w:rsidR="00D87EAF">
        <w:rPr>
          <w:lang w:val="en-US"/>
        </w:rPr>
        <w:t>occur</w:t>
      </w:r>
      <w:r w:rsidRPr="00FC639A">
        <w:rPr>
          <w:lang w:val="en-US"/>
        </w:rPr>
        <w:t xml:space="preserve"> rare</w:t>
      </w:r>
      <w:r w:rsidR="00D87EAF">
        <w:rPr>
          <w:lang w:val="en-US"/>
        </w:rPr>
        <w:t>ly</w:t>
      </w:r>
      <w:r w:rsidRPr="00FC639A">
        <w:rPr>
          <w:lang w:val="en-US"/>
        </w:rPr>
        <w:t>.</w:t>
      </w:r>
      <w:r>
        <w:rPr>
          <w:lang w:val="en-US"/>
        </w:rPr>
        <w:t xml:space="preserve">  For instance,</w:t>
      </w:r>
      <w:r w:rsidR="002969FA" w:rsidRPr="005D7567">
        <w:t xml:space="preserve"> V-COMM’s testing shows that the level of a Channel 51 signal strength threshold that would likely cause interference is -13 dBm with 1</w:t>
      </w:r>
      <w:r w:rsidR="00C51BB4">
        <w:rPr>
          <w:lang w:val="en-US"/>
        </w:rPr>
        <w:t xml:space="preserve"> </w:t>
      </w:r>
      <w:r w:rsidR="002969FA" w:rsidRPr="005D7567">
        <w:t>dB desense.</w:t>
      </w:r>
      <w:r w:rsidR="002969FA" w:rsidRPr="005D7567">
        <w:rPr>
          <w:vertAlign w:val="superscript"/>
        </w:rPr>
        <w:footnoteReference w:id="123"/>
      </w:r>
      <w:r w:rsidR="002969FA">
        <w:t xml:space="preserve">  </w:t>
      </w:r>
      <w:r w:rsidR="002969FA" w:rsidRPr="005D7567">
        <w:t>According to the record, only 8 of 26 Channel 51 full-power, licensed broadcast facilities in the continental U.S. could, using the conservative line-of-sight (LOS) propagation model, theoretically exceed the signal strength threshold of -13 dBm, and these areas are limited to 450 meters or less from the Channel 51 broadcast tower.</w:t>
      </w:r>
      <w:r w:rsidR="002969FA" w:rsidRPr="005D7567">
        <w:rPr>
          <w:vertAlign w:val="superscript"/>
        </w:rPr>
        <w:footnoteReference w:id="124"/>
      </w:r>
      <w:r w:rsidR="002969FA" w:rsidRPr="005D7567">
        <w:t xml:space="preserve">  In addition, V-COMM’s drive testing results near actual Channel 51 DTV transmitters show that very high Channel 51 signal strengths, </w:t>
      </w:r>
      <w:r w:rsidR="002969FA" w:rsidRPr="005D7567">
        <w:rPr>
          <w:i/>
        </w:rPr>
        <w:t>e.g.</w:t>
      </w:r>
      <w:r w:rsidR="002969FA" w:rsidRPr="005D7567">
        <w:t xml:space="preserve"> above -13</w:t>
      </w:r>
      <w:r w:rsidR="00C51BB4">
        <w:rPr>
          <w:lang w:val="en-US"/>
        </w:rPr>
        <w:t xml:space="preserve"> </w:t>
      </w:r>
      <w:r w:rsidR="002969FA" w:rsidRPr="005D7567">
        <w:t>dBm, are mostly confined to locations near Channel 51 transmitters.</w:t>
      </w:r>
      <w:r w:rsidR="002969FA" w:rsidRPr="005D7567">
        <w:rPr>
          <w:vertAlign w:val="superscript"/>
        </w:rPr>
        <w:footnoteReference w:id="125"/>
      </w:r>
      <w:r w:rsidR="002969FA" w:rsidRPr="005D7567">
        <w:t xml:space="preserve">  </w:t>
      </w:r>
      <w:r w:rsidR="00915AD8" w:rsidRPr="00915AD8">
        <w:rPr>
          <w:lang w:val="en-US"/>
        </w:rPr>
        <w:t xml:space="preserve">However, to be consistent with the </w:t>
      </w:r>
      <w:r w:rsidR="002D793E">
        <w:rPr>
          <w:lang w:val="en-US"/>
        </w:rPr>
        <w:t>Commission’s analysis in the H B</w:t>
      </w:r>
      <w:r w:rsidR="00915AD8" w:rsidRPr="00915AD8">
        <w:rPr>
          <w:lang w:val="en-US"/>
        </w:rPr>
        <w:t>lock proceeding</w:t>
      </w:r>
      <w:r w:rsidR="00915AD8">
        <w:rPr>
          <w:lang w:val="en-US"/>
        </w:rPr>
        <w:t>,</w:t>
      </w:r>
      <w:r w:rsidR="00915AD8">
        <w:rPr>
          <w:rStyle w:val="FootnoteReference"/>
          <w:lang w:val="en-US"/>
        </w:rPr>
        <w:footnoteReference w:id="126"/>
      </w:r>
      <w:r w:rsidR="00915AD8">
        <w:rPr>
          <w:lang w:val="en-US"/>
        </w:rPr>
        <w:t xml:space="preserve"> </w:t>
      </w:r>
      <w:r w:rsidR="00574B99" w:rsidRPr="00574B99">
        <w:rPr>
          <w:lang w:val="en-US"/>
        </w:rPr>
        <w:t xml:space="preserve">we </w:t>
      </w:r>
      <w:r w:rsidR="00D87EAF">
        <w:rPr>
          <w:lang w:val="en-US"/>
        </w:rPr>
        <w:t>find that using</w:t>
      </w:r>
      <w:r w:rsidR="00574B99" w:rsidRPr="00574B99">
        <w:rPr>
          <w:lang w:val="en-US"/>
        </w:rPr>
        <w:t xml:space="preserve"> a 3dB desensitization level</w:t>
      </w:r>
      <w:r w:rsidR="00D87EAF" w:rsidRPr="00D87EAF">
        <w:rPr>
          <w:lang w:val="en-US" w:eastAsia="en-US"/>
        </w:rPr>
        <w:t xml:space="preserve"> </w:t>
      </w:r>
      <w:r w:rsidR="00D87EAF" w:rsidRPr="00D87EAF">
        <w:rPr>
          <w:lang w:val="en-US"/>
        </w:rPr>
        <w:t>is more appropriate in this case</w:t>
      </w:r>
      <w:r w:rsidR="00574B99" w:rsidRPr="00574B99">
        <w:rPr>
          <w:lang w:val="en-US"/>
        </w:rPr>
        <w:t xml:space="preserve">.  According to lab tests in the record, this requires a Channel 51 signal strength of -9 dBm, or 4 dB stronger than the level used by V-COMM.  The drive tests in the record demonstrate that a signal level of -9 dBm </w:t>
      </w:r>
      <w:r w:rsidR="002969FA" w:rsidRPr="005D7567">
        <w:t xml:space="preserve">is very rare in the field.  </w:t>
      </w:r>
    </w:p>
    <w:p w:rsidR="002969FA" w:rsidRPr="00735914" w:rsidRDefault="002969FA" w:rsidP="00D03910">
      <w:pPr>
        <w:pStyle w:val="ParaNum"/>
        <w:keepNext/>
        <w:widowControl/>
        <w:snapToGrid w:val="0"/>
      </w:pPr>
      <w:r>
        <w:t xml:space="preserve">Accordingly, </w:t>
      </w:r>
      <w:r w:rsidR="007D393A">
        <w:rPr>
          <w:lang w:val="en-US"/>
        </w:rPr>
        <w:t xml:space="preserve">we conclude that </w:t>
      </w:r>
      <w:r w:rsidR="00C240AE">
        <w:t xml:space="preserve">interference </w:t>
      </w:r>
      <w:r w:rsidR="00D87EAF" w:rsidRPr="00D87EAF">
        <w:rPr>
          <w:lang w:val="en-US"/>
        </w:rPr>
        <w:t xml:space="preserve">allegations based on </w:t>
      </w:r>
      <w:r w:rsidRPr="00FA07EF">
        <w:t xml:space="preserve">reverse intermodulation </w:t>
      </w:r>
      <w:r w:rsidR="00C240AE">
        <w:t xml:space="preserve">products arising from </w:t>
      </w:r>
      <w:r w:rsidRPr="00FA07EF">
        <w:t xml:space="preserve">Channel 51 broadcast operations </w:t>
      </w:r>
      <w:r w:rsidR="00D87EAF">
        <w:rPr>
          <w:lang w:val="en-US"/>
        </w:rPr>
        <w:t>are</w:t>
      </w:r>
      <w:r w:rsidR="007D393A" w:rsidRPr="00FA07EF">
        <w:t xml:space="preserve"> </w:t>
      </w:r>
      <w:r w:rsidR="00D87EAF">
        <w:t>not</w:t>
      </w:r>
      <w:r w:rsidR="00D87EAF">
        <w:rPr>
          <w:lang w:val="en-US"/>
        </w:rPr>
        <w:t xml:space="preserve"> </w:t>
      </w:r>
      <w:r w:rsidRPr="00FA07EF">
        <w:t xml:space="preserve">an impediment </w:t>
      </w:r>
      <w:r w:rsidR="00C240AE">
        <w:rPr>
          <w:lang w:val="en-US"/>
        </w:rPr>
        <w:t xml:space="preserve">to implementation of the </w:t>
      </w:r>
      <w:r w:rsidR="007D393A">
        <w:rPr>
          <w:lang w:val="en-US"/>
        </w:rPr>
        <w:t>voluntary industry</w:t>
      </w:r>
      <w:r w:rsidR="00C240AE">
        <w:rPr>
          <w:lang w:val="en-US"/>
        </w:rPr>
        <w:t xml:space="preserve"> solution </w:t>
      </w:r>
      <w:r w:rsidR="00C240AE">
        <w:t xml:space="preserve">for achieving </w:t>
      </w:r>
      <w:r>
        <w:t>interoperability.</w:t>
      </w:r>
    </w:p>
    <w:p w:rsidR="00735914" w:rsidRDefault="00735914" w:rsidP="00D03910">
      <w:pPr>
        <w:pStyle w:val="Heading3"/>
        <w:widowControl/>
      </w:pPr>
      <w:bookmarkStart w:id="258" w:name="_Toc367297832"/>
      <w:bookmarkStart w:id="259" w:name="_Toc367384482"/>
      <w:bookmarkStart w:id="260" w:name="_Toc367385267"/>
      <w:bookmarkStart w:id="261" w:name="_Toc367463245"/>
      <w:bookmarkStart w:id="262" w:name="_Toc367715577"/>
      <w:bookmarkStart w:id="263" w:name="_Toc367975865"/>
      <w:bookmarkStart w:id="264" w:name="_Toc367978238"/>
      <w:bookmarkStart w:id="265" w:name="_Toc368049350"/>
      <w:bookmarkStart w:id="266" w:name="_Toc370401668"/>
      <w:r>
        <w:rPr>
          <w:lang w:val="en-US"/>
        </w:rPr>
        <w:t>Clearing Channel 51</w:t>
      </w:r>
      <w:bookmarkEnd w:id="258"/>
      <w:bookmarkEnd w:id="259"/>
      <w:bookmarkEnd w:id="260"/>
      <w:bookmarkEnd w:id="261"/>
      <w:bookmarkEnd w:id="262"/>
      <w:bookmarkEnd w:id="263"/>
      <w:bookmarkEnd w:id="264"/>
      <w:bookmarkEnd w:id="265"/>
      <w:bookmarkEnd w:id="266"/>
    </w:p>
    <w:p w:rsidR="007B0D64" w:rsidRPr="005D7567" w:rsidRDefault="005520A4" w:rsidP="00D03910">
      <w:pPr>
        <w:pStyle w:val="ParaNum"/>
        <w:keepNext/>
        <w:widowControl/>
        <w:snapToGrid w:val="0"/>
      </w:pPr>
      <w:r>
        <w:t xml:space="preserve">While we find that the </w:t>
      </w:r>
      <w:r w:rsidR="002969FA" w:rsidRPr="007038F9">
        <w:t xml:space="preserve">presence of Channel 51 broadcast stations </w:t>
      </w:r>
      <w:r w:rsidR="007D393A">
        <w:rPr>
          <w:lang w:val="en-US"/>
        </w:rPr>
        <w:t xml:space="preserve">is </w:t>
      </w:r>
      <w:r w:rsidR="002969FA" w:rsidRPr="007038F9">
        <w:t xml:space="preserve">not </w:t>
      </w:r>
      <w:r w:rsidR="007D393A">
        <w:rPr>
          <w:lang w:val="en-US"/>
        </w:rPr>
        <w:t xml:space="preserve">an impediment to </w:t>
      </w:r>
      <w:r w:rsidR="002969FA" w:rsidRPr="007038F9">
        <w:t xml:space="preserve">700 MHz interoperability, the clearing of Channel 51 broadcast stations can lead to </w:t>
      </w:r>
      <w:r w:rsidR="00C240AE">
        <w:t xml:space="preserve">other </w:t>
      </w:r>
      <w:r w:rsidR="002969FA" w:rsidRPr="007038F9">
        <w:t>important public interest benefits by removing certain limitations placed on operations in the adjacent Lower A Block.</w:t>
      </w:r>
      <w:r w:rsidR="002969FA" w:rsidRPr="007038F9">
        <w:rPr>
          <w:vertAlign w:val="superscript"/>
        </w:rPr>
        <w:footnoteReference w:id="127"/>
      </w:r>
      <w:r w:rsidR="002969FA" w:rsidRPr="007038F9">
        <w:t xml:space="preserve">  </w:t>
      </w:r>
      <w:r w:rsidR="007B0D64">
        <w:rPr>
          <w:szCs w:val="22"/>
        </w:rPr>
        <w:t>T</w:t>
      </w:r>
      <w:r w:rsidR="007B0D64" w:rsidRPr="005D7567">
        <w:t>he Commission has taken a number of steps to limit the potential impact of Channel 51 broadcast operations on the use of Lower 700 MHz band spectrum.</w:t>
      </w:r>
      <w:r w:rsidR="005B49D0">
        <w:rPr>
          <w:rStyle w:val="FootnoteReference"/>
        </w:rPr>
        <w:footnoteReference w:id="128"/>
      </w:r>
      <w:r w:rsidR="007B0D64" w:rsidRPr="005D7567">
        <w:t xml:space="preserve">  </w:t>
      </w:r>
      <w:r w:rsidR="007B0D64" w:rsidRPr="005D7567">
        <w:rPr>
          <w:color w:val="010101"/>
        </w:rPr>
        <w:t>In August 2011</w:t>
      </w:r>
      <w:r w:rsidR="007B0D64" w:rsidRPr="005D7567">
        <w:t xml:space="preserve">, </w:t>
      </w:r>
      <w:r w:rsidR="007B0D64" w:rsidRPr="005D7567">
        <w:rPr>
          <w:color w:val="010101"/>
        </w:rPr>
        <w:t xml:space="preserve">the Media Bureau adopted a </w:t>
      </w:r>
      <w:r w:rsidR="007B0D64" w:rsidRPr="005D7567">
        <w:t>freeze</w:t>
      </w:r>
      <w:r w:rsidR="007B0D64" w:rsidRPr="005D7567">
        <w:rPr>
          <w:color w:val="010101"/>
        </w:rPr>
        <w:t xml:space="preserve"> on both the filing of new applications and the processing of pending applications with respect to operations on Channel 51, in order to permit the Commission to evaluate claims of interference for Lower 700 MHz A Block licensees in planning their network deployments.</w:t>
      </w:r>
      <w:r w:rsidR="007B0D64" w:rsidRPr="005D7567">
        <w:rPr>
          <w:rStyle w:val="FootnoteReference"/>
        </w:rPr>
        <w:footnoteReference w:id="129"/>
      </w:r>
      <w:r w:rsidR="007B0D64" w:rsidRPr="005D7567">
        <w:rPr>
          <w:color w:val="010101"/>
        </w:rPr>
        <w:t xml:space="preserve">  In addition, the Media Bureau lifted the previous freeze on the filing of </w:t>
      </w:r>
      <w:r w:rsidR="007B0D64" w:rsidRPr="001360C6">
        <w:t>petitions</w:t>
      </w:r>
      <w:r w:rsidR="007B0D64" w:rsidRPr="005D7567">
        <w:rPr>
          <w:color w:val="010101"/>
        </w:rPr>
        <w:t xml:space="preserve"> for rulemaking by full power television stations seeking to relocate from Channel 51 pursuant to voluntary relocation agreements with Lower 700 MHz A Block licensees.</w:t>
      </w:r>
      <w:r w:rsidR="007B0D64" w:rsidRPr="005D7567">
        <w:rPr>
          <w:rStyle w:val="FootnoteReference"/>
        </w:rPr>
        <w:footnoteReference w:id="130"/>
      </w:r>
      <w:r w:rsidR="007B0D64" w:rsidRPr="005D7567">
        <w:rPr>
          <w:color w:val="010101"/>
        </w:rPr>
        <w:t xml:space="preserve">  Media Bureau staff has approved, or has under review, agreements to relocate Channel 51 operations or otherwise modify those operations that reduce the possibility of interference.</w:t>
      </w:r>
      <w:r w:rsidR="007B0D64" w:rsidRPr="005D7567">
        <w:rPr>
          <w:rStyle w:val="FootnoteReference"/>
        </w:rPr>
        <w:footnoteReference w:id="131"/>
      </w:r>
    </w:p>
    <w:p w:rsidR="004359B9" w:rsidRDefault="007B0D64" w:rsidP="00D03910">
      <w:pPr>
        <w:pStyle w:val="ParaNum"/>
        <w:keepNext/>
        <w:widowControl/>
        <w:snapToGrid w:val="0"/>
      </w:pPr>
      <w:r w:rsidRPr="005D7567">
        <w:t>Moreover, in September 2012, the Commission launched, pursuant to the Spectrum Act, the incentive auction process with the aim of repurposing broadcast television spectrum for mobile broadband use.</w:t>
      </w:r>
      <w:r w:rsidRPr="005D7567">
        <w:rPr>
          <w:rStyle w:val="FootnoteReference"/>
        </w:rPr>
        <w:footnoteReference w:id="132"/>
      </w:r>
      <w:r w:rsidRPr="005D7567">
        <w:t xml:space="preserve">  In the </w:t>
      </w:r>
      <w:r w:rsidRPr="005D7567">
        <w:rPr>
          <w:i/>
        </w:rPr>
        <w:t>Incentive Auctions NPRM</w:t>
      </w:r>
      <w:r w:rsidRPr="005D7567">
        <w:t xml:space="preserve">, the Commission sought comment on </w:t>
      </w:r>
      <w:r w:rsidRPr="005D7567">
        <w:rPr>
          <w:rFonts w:eastAsia="TimesNewRoman"/>
          <w:color w:val="010101"/>
        </w:rPr>
        <w:t xml:space="preserve">facilitating requests for channel relocation prior to the auction </w:t>
      </w:r>
      <w:r w:rsidRPr="001360C6">
        <w:t>associated</w:t>
      </w:r>
      <w:r w:rsidRPr="005D7567">
        <w:rPr>
          <w:rFonts w:eastAsia="TimesNewRoman"/>
          <w:color w:val="010101"/>
        </w:rPr>
        <w:t xml:space="preserve"> with voluntary agreements between the affected parties.</w:t>
      </w:r>
      <w:r w:rsidRPr="005D7567">
        <w:rPr>
          <w:rStyle w:val="FootnoteReference"/>
          <w:rFonts w:eastAsia="TimesNewRoman"/>
        </w:rPr>
        <w:footnoteReference w:id="133"/>
      </w:r>
      <w:r w:rsidRPr="005D7567">
        <w:rPr>
          <w:rFonts w:eastAsia="TimesNewRoman"/>
          <w:color w:val="010101"/>
        </w:rPr>
        <w:t xml:space="preserve">  </w:t>
      </w:r>
      <w:r w:rsidRPr="005D7567">
        <w:t xml:space="preserve">In addition, the Commission clarified that any Channel 51 station that relocates pursuant to a private arrangement, and is subsequently required to relocate a second time </w:t>
      </w:r>
      <w:r w:rsidRPr="005D7567">
        <w:rPr>
          <w:rFonts w:eastAsia="TimesNewRoman"/>
          <w:color w:val="010101"/>
        </w:rPr>
        <w:t>because its channel assignment is changed during the auction’s repacking process, will be eligible for payment of costs and will not be disadvantaged in its ability to claim reimbursement.</w:t>
      </w:r>
      <w:r w:rsidRPr="005D7567">
        <w:rPr>
          <w:rStyle w:val="FootnoteReference"/>
          <w:rFonts w:eastAsia="TimesNewRoman"/>
        </w:rPr>
        <w:footnoteReference w:id="134"/>
      </w:r>
      <w:r w:rsidR="004359B9" w:rsidRPr="004359B9">
        <w:t xml:space="preserve"> </w:t>
      </w:r>
    </w:p>
    <w:p w:rsidR="002969FA" w:rsidRPr="005D7567" w:rsidRDefault="004359B9" w:rsidP="00D03910">
      <w:pPr>
        <w:pStyle w:val="ParaNum"/>
        <w:keepNext/>
        <w:widowControl/>
        <w:snapToGrid w:val="0"/>
      </w:pPr>
      <w:r>
        <w:t>I</w:t>
      </w:r>
      <w:r w:rsidRPr="005D7567">
        <w:t>n April 2012, the Commission adopted rules for the sharing of broadcast channels in connection with the incentive auction.</w:t>
      </w:r>
      <w:r w:rsidRPr="005D7567">
        <w:rPr>
          <w:vertAlign w:val="superscript"/>
        </w:rPr>
        <w:footnoteReference w:id="135"/>
      </w:r>
      <w:r w:rsidRPr="005D7567">
        <w:t xml:space="preserve"> </w:t>
      </w:r>
      <w:r>
        <w:t xml:space="preserve"> </w:t>
      </w:r>
      <w:r w:rsidR="002969FA" w:rsidRPr="005D7567">
        <w:t>The Commission is interested in possibly authorizing one or more channel sharing pilots in order to demonstrate the technical and legal arrangements necessary to implement a successful channel sharing operation.</w:t>
      </w:r>
      <w:r w:rsidR="002969FA">
        <w:t xml:space="preserve">  </w:t>
      </w:r>
      <w:r w:rsidR="002969FA" w:rsidRPr="007038F9">
        <w:t>We encourage Channel 51 broadcasters to consider participating in such a pilot and to bring proposals for channel sharing pilots to the Media Bureau for consideration.</w:t>
      </w:r>
      <w:bookmarkEnd w:id="246"/>
      <w:bookmarkEnd w:id="247"/>
      <w:bookmarkEnd w:id="248"/>
      <w:r w:rsidRPr="004359B9">
        <w:t xml:space="preserve"> </w:t>
      </w:r>
      <w:r>
        <w:t xml:space="preserve">  Although it is likely that Channel 51 clearing issues in connection with the </w:t>
      </w:r>
      <w:r w:rsidRPr="004359B9">
        <w:rPr>
          <w:i/>
        </w:rPr>
        <w:t>Incentive Auctions</w:t>
      </w:r>
      <w:r>
        <w:t xml:space="preserve"> proceeding will not be resolved and fully implemented for several years, w</w:t>
      </w:r>
      <w:r w:rsidRPr="005D7567">
        <w:t xml:space="preserve">e note that all of the band plans in the </w:t>
      </w:r>
      <w:r w:rsidRPr="004359B9">
        <w:rPr>
          <w:i/>
        </w:rPr>
        <w:t>Incentive Auctions NPRM</w:t>
      </w:r>
      <w:r w:rsidRPr="005D7567">
        <w:t xml:space="preserve"> and record propose to clear </w:t>
      </w:r>
      <w:r>
        <w:t>C</w:t>
      </w:r>
      <w:r w:rsidRPr="005D7567">
        <w:t xml:space="preserve">hannel 51, and that the </w:t>
      </w:r>
      <w:r w:rsidRPr="004359B9">
        <w:rPr>
          <w:i/>
        </w:rPr>
        <w:t>Incentive Auctions NPRM</w:t>
      </w:r>
      <w:r w:rsidRPr="005D7567">
        <w:t xml:space="preserve"> seeks comment on the appropriate length of time for television stations to move channels or cease broadcasting after the completion of the incentive auction.</w:t>
      </w:r>
      <w:r w:rsidRPr="005D7567">
        <w:rPr>
          <w:vertAlign w:val="superscript"/>
        </w:rPr>
        <w:footnoteReference w:id="136"/>
      </w:r>
      <w:r>
        <w:t xml:space="preserve">  </w:t>
      </w:r>
    </w:p>
    <w:p w:rsidR="002969FA" w:rsidRPr="005D7567" w:rsidRDefault="00735914" w:rsidP="005B76F1">
      <w:pPr>
        <w:pStyle w:val="Heading2"/>
      </w:pPr>
      <w:bookmarkStart w:id="267" w:name="_Toc366677421"/>
      <w:bookmarkStart w:id="268" w:name="_Toc366696627"/>
      <w:bookmarkStart w:id="269" w:name="_Toc366740269"/>
      <w:bookmarkStart w:id="270" w:name="_Toc366766676"/>
      <w:bookmarkStart w:id="271" w:name="_Toc366771503"/>
      <w:bookmarkStart w:id="272" w:name="_Toc367201508"/>
      <w:bookmarkStart w:id="273" w:name="_Toc363670220"/>
      <w:bookmarkStart w:id="274" w:name="_Toc363239554"/>
      <w:bookmarkStart w:id="275" w:name="_Toc363239524"/>
      <w:bookmarkStart w:id="276" w:name="_Toc363219732"/>
      <w:bookmarkStart w:id="277" w:name="_Toc359508232"/>
      <w:bookmarkStart w:id="278" w:name="_Toc359484926"/>
      <w:bookmarkStart w:id="279" w:name="_Toc359484863"/>
      <w:bookmarkStart w:id="280" w:name="_Toc358638695"/>
      <w:bookmarkStart w:id="281" w:name="_Toc358638674"/>
      <w:bookmarkStart w:id="282" w:name="_Toc358638632"/>
      <w:bookmarkStart w:id="283" w:name="_Toc358635147"/>
      <w:bookmarkStart w:id="284" w:name="_Toc358634933"/>
      <w:bookmarkStart w:id="285" w:name="_Toc358105133"/>
      <w:bookmarkStart w:id="286" w:name="_Toc351730489"/>
      <w:bookmarkStart w:id="287" w:name="_Toc351376944"/>
      <w:bookmarkStart w:id="288" w:name="_Toc351376397"/>
      <w:bookmarkStart w:id="289" w:name="_Toc350949349"/>
      <w:bookmarkStart w:id="290" w:name="_Toc350949288"/>
      <w:bookmarkStart w:id="291" w:name="_Toc350175395"/>
      <w:bookmarkStart w:id="292" w:name="_Toc364339641"/>
      <w:bookmarkStart w:id="293" w:name="_Toc364363111"/>
      <w:bookmarkStart w:id="294" w:name="_Toc365289473"/>
      <w:bookmarkStart w:id="295" w:name="_Toc365297790"/>
      <w:bookmarkStart w:id="296" w:name="_Toc366080752"/>
      <w:bookmarkStart w:id="297" w:name="_Toc366081288"/>
      <w:bookmarkStart w:id="298" w:name="_Toc366142307"/>
      <w:bookmarkStart w:id="299" w:name="_Toc366160460"/>
      <w:bookmarkStart w:id="300" w:name="_Toc366161312"/>
      <w:bookmarkStart w:id="301" w:name="_Toc366677420"/>
      <w:bookmarkStart w:id="302" w:name="_Toc366696626"/>
      <w:bookmarkStart w:id="303" w:name="_Toc366740268"/>
      <w:bookmarkStart w:id="304" w:name="_Toc366766675"/>
      <w:bookmarkStart w:id="305" w:name="_Toc366771502"/>
      <w:bookmarkStart w:id="306" w:name="_Toc367201507"/>
      <w:bookmarkStart w:id="307" w:name="_Toc367297833"/>
      <w:bookmarkStart w:id="308" w:name="_Toc367384483"/>
      <w:bookmarkStart w:id="309" w:name="_Toc367385268"/>
      <w:bookmarkStart w:id="310" w:name="_Toc367463246"/>
      <w:bookmarkStart w:id="311" w:name="_Toc367715578"/>
      <w:bookmarkStart w:id="312" w:name="_Toc367975866"/>
      <w:bookmarkStart w:id="313" w:name="_Toc367978239"/>
      <w:bookmarkStart w:id="314" w:name="_Toc368049351"/>
      <w:bookmarkStart w:id="315" w:name="_Toc370401669"/>
      <w:bookmarkStart w:id="316" w:name="_Toc316060983"/>
      <w:bookmarkStart w:id="317" w:name="_Toc316059846"/>
      <w:bookmarkStart w:id="318" w:name="_Toc316043791"/>
      <w:bookmarkStart w:id="319" w:name="_Toc316041928"/>
      <w:bookmarkStart w:id="320" w:name="_Toc316038583"/>
      <w:bookmarkStart w:id="321" w:name="_Toc316038491"/>
      <w:bookmarkStart w:id="322" w:name="_Toc316038299"/>
      <w:bookmarkStart w:id="323" w:name="_Toc316037267"/>
      <w:bookmarkStart w:id="324" w:name="_Toc316037002"/>
      <w:bookmarkStart w:id="325" w:name="_Toc316033714"/>
      <w:bookmarkStart w:id="326" w:name="_Toc316032517"/>
      <w:bookmarkStart w:id="327" w:name="_Toc316030672"/>
      <w:bookmarkStart w:id="328" w:name="_Toc315443564"/>
      <w:bookmarkStart w:id="329" w:name="_Toc315352208"/>
      <w:bookmarkStart w:id="330" w:name="_Toc315351122"/>
      <w:bookmarkStart w:id="331" w:name="_Toc315349726"/>
      <w:bookmarkStart w:id="332" w:name="_Toc315349304"/>
      <w:bookmarkStart w:id="333" w:name="_Toc315349199"/>
      <w:bookmarkStart w:id="334" w:name="_Toc315344704"/>
      <w:bookmarkStart w:id="335" w:name="_Toc314238381"/>
      <w:bookmarkStart w:id="336" w:name="_Toc314236017"/>
      <w:bookmarkStart w:id="337" w:name="_Toc314234886"/>
      <w:bookmarkStart w:id="338" w:name="_Toc314234431"/>
      <w:bookmarkStart w:id="339" w:name="_Toc314229196"/>
      <w:bookmarkStart w:id="340" w:name="_Toc314228879"/>
      <w:bookmarkStart w:id="341" w:name="_Toc314218139"/>
      <w:bookmarkStart w:id="342" w:name="_Toc314216882"/>
      <w:bookmarkStart w:id="343" w:name="_Toc314216646"/>
      <w:bookmarkStart w:id="344" w:name="_Toc313881002"/>
      <w:bookmarkStart w:id="345" w:name="_Toc313638364"/>
      <w:bookmarkStart w:id="346" w:name="_Toc313637859"/>
      <w:bookmarkStart w:id="347" w:name="_Toc313637347"/>
      <w:bookmarkStart w:id="348" w:name="_Toc313636644"/>
      <w:bookmarkStart w:id="349" w:name="_Toc316987912"/>
      <w:bookmarkStart w:id="350" w:name="_Toc316987353"/>
      <w:bookmarkStart w:id="351" w:name="_Toc316396209"/>
      <w:bookmarkStart w:id="352" w:name="_Toc316394221"/>
      <w:bookmarkStart w:id="353" w:name="_Toc316393425"/>
      <w:bookmarkStart w:id="354" w:name="_Toc316393259"/>
      <w:bookmarkStart w:id="355" w:name="_Toc318119676"/>
      <w:bookmarkStart w:id="356" w:name="_Toc318119550"/>
      <w:bookmarkStart w:id="357" w:name="_Toc317786514"/>
      <w:bookmarkStart w:id="358" w:name="_Toc317786303"/>
      <w:bookmarkStart w:id="359" w:name="_Toc317785245"/>
      <w:bookmarkStart w:id="360" w:name="_Toc317785091"/>
      <w:bookmarkStart w:id="361" w:name="_Toc317781491"/>
      <w:bookmarkStart w:id="362" w:name="_Toc317781339"/>
      <w:bookmarkStart w:id="363" w:name="_Toc317775901"/>
      <w:bookmarkStart w:id="364" w:name="_Toc317775782"/>
      <w:bookmarkStart w:id="365" w:name="_Toc317775712"/>
      <w:bookmarkStart w:id="366" w:name="_Toc317769085"/>
      <w:bookmarkStart w:id="367" w:name="_Toc317764592"/>
      <w:bookmarkStart w:id="368" w:name="_Toc317759409"/>
      <w:bookmarkStart w:id="369" w:name="_Toc317263572"/>
      <w:bookmarkStart w:id="370" w:name="_Toc317240451"/>
      <w:bookmarkStart w:id="371" w:name="_Toc317240004"/>
      <w:bookmarkStart w:id="372" w:name="_Toc317174476"/>
      <w:bookmarkStart w:id="373" w:name="_Toc317168469"/>
      <w:bookmarkStart w:id="374" w:name="_Toc317164381"/>
      <w:bookmarkStart w:id="375" w:name="_Toc317002566"/>
      <w:bookmarkStart w:id="376" w:name="_Toc316999203"/>
      <w:bookmarkStart w:id="377" w:name="_Toc316992265"/>
      <w:bookmarkStart w:id="378" w:name="_Toc316987907"/>
      <w:bookmarkStart w:id="379" w:name="_Toc316987348"/>
      <w:bookmarkStart w:id="380" w:name="_Toc316060928"/>
      <w:bookmarkStart w:id="381" w:name="_Toc316059793"/>
      <w:bookmarkStart w:id="382" w:name="_Toc316043737"/>
      <w:bookmarkStart w:id="383" w:name="_Toc316041874"/>
      <w:bookmarkStart w:id="384" w:name="_Toc316038529"/>
      <w:bookmarkStart w:id="385" w:name="_Toc316038437"/>
      <w:bookmarkStart w:id="386" w:name="_Toc316038249"/>
      <w:bookmarkStart w:id="387" w:name="_Toc316037217"/>
      <w:bookmarkStart w:id="388" w:name="_Toc316036952"/>
      <w:bookmarkStart w:id="389" w:name="_Toc316033678"/>
      <w:bookmarkStart w:id="390" w:name="_Toc316032482"/>
      <w:bookmarkStart w:id="391" w:name="_Toc316030656"/>
      <w:bookmarkStart w:id="392" w:name="_Toc316028541"/>
      <w:bookmarkStart w:id="393" w:name="_Toc315443513"/>
      <w:bookmarkStart w:id="394" w:name="_Toc315352157"/>
      <w:bookmarkStart w:id="395" w:name="_Toc315351081"/>
      <w:bookmarkStart w:id="396" w:name="_Toc314238327"/>
      <w:bookmarkStart w:id="397" w:name="_Toc314235963"/>
      <w:bookmarkStart w:id="398" w:name="_Toc314234832"/>
      <w:bookmarkStart w:id="399" w:name="_Toc314234377"/>
      <w:bookmarkStart w:id="400" w:name="_Toc314229136"/>
      <w:bookmarkStart w:id="401" w:name="_Toc314228819"/>
      <w:bookmarkStart w:id="402" w:name="_Toc314218079"/>
      <w:bookmarkStart w:id="403" w:name="_Toc314216824"/>
      <w:bookmarkStart w:id="404" w:name="_Toc314216589"/>
      <w:bookmarkStart w:id="405" w:name="_Toc316396198"/>
      <w:bookmarkStart w:id="406" w:name="_Toc316394211"/>
      <w:bookmarkStart w:id="407" w:name="_Toc316393415"/>
      <w:bookmarkStart w:id="408" w:name="_Toc316393249"/>
      <w:bookmarkStart w:id="409" w:name="_Toc316392543"/>
      <w:bookmarkStart w:id="410" w:name="_Toc316060933"/>
      <w:bookmarkStart w:id="411" w:name="_Toc316059798"/>
      <w:bookmarkStart w:id="412" w:name="_Toc316043743"/>
      <w:bookmarkStart w:id="413" w:name="_Toc316041880"/>
      <w:bookmarkStart w:id="414" w:name="_Toc316038535"/>
      <w:bookmarkStart w:id="415" w:name="_Toc316038443"/>
      <w:bookmarkStart w:id="416" w:name="_Toc316038251"/>
      <w:bookmarkStart w:id="417" w:name="_Toc316037219"/>
      <w:bookmarkStart w:id="418" w:name="_Toc316036954"/>
      <w:bookmarkStart w:id="419" w:name="_Toc317161298"/>
      <w:bookmarkStart w:id="420" w:name="_Toc317002570"/>
      <w:bookmarkStart w:id="421" w:name="_Toc316999207"/>
      <w:bookmarkStart w:id="422" w:name="_Toc31699226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Transition to Interoperability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C06036" w:rsidRPr="001A0A30" w:rsidRDefault="00C06036" w:rsidP="00D03910">
      <w:pPr>
        <w:pStyle w:val="ParaNum"/>
        <w:keepNext/>
        <w:widowControl/>
        <w:snapToGrid w:val="0"/>
      </w:pPr>
      <w:bookmarkStart w:id="423" w:name="_Toc350175397"/>
      <w:r w:rsidRPr="001A0A30">
        <w:rPr>
          <w:i/>
        </w:rPr>
        <w:t>Background.</w:t>
      </w:r>
      <w:r w:rsidRPr="005D7567">
        <w:t xml:space="preserve"> </w:t>
      </w:r>
      <w:r>
        <w:t xml:space="preserve"> </w:t>
      </w:r>
      <w:r w:rsidRPr="005D7567">
        <w:t xml:space="preserve">In the </w:t>
      </w:r>
      <w:r w:rsidRPr="001A0A30">
        <w:rPr>
          <w:i/>
        </w:rPr>
        <w:t>Interoperability NPRM</w:t>
      </w:r>
      <w:r w:rsidRPr="005D7567">
        <w:t xml:space="preserve">, the Commission </w:t>
      </w:r>
      <w:r w:rsidRPr="001A0A30">
        <w:rPr>
          <w:snapToGrid/>
        </w:rPr>
        <w:t xml:space="preserve">expressed its preference for an industry solution to the </w:t>
      </w:r>
      <w:r w:rsidR="00F054C0">
        <w:rPr>
          <w:snapToGrid/>
          <w:lang w:val="en-US"/>
        </w:rPr>
        <w:t>lack</w:t>
      </w:r>
      <w:r w:rsidRPr="001A0A30">
        <w:rPr>
          <w:snapToGrid/>
        </w:rPr>
        <w:t xml:space="preserve"> of interoperability in the Lower 700 MHz band.</w:t>
      </w:r>
      <w:r>
        <w:rPr>
          <w:rStyle w:val="FootnoteReference"/>
          <w:snapToGrid/>
        </w:rPr>
        <w:footnoteReference w:id="137"/>
      </w:r>
      <w:r w:rsidRPr="001A0A30">
        <w:rPr>
          <w:snapToGrid/>
        </w:rPr>
        <w:t xml:space="preserve">  The Commission stated that an industry solution would be preferable because it would allow the market greater flexibility in responding to evolving consumer needs and dynamic and fast-paced technological developments.</w:t>
      </w:r>
      <w:r>
        <w:rPr>
          <w:rStyle w:val="FootnoteReference"/>
          <w:snapToGrid/>
        </w:rPr>
        <w:footnoteReference w:id="138"/>
      </w:r>
      <w:r w:rsidRPr="001A0A30">
        <w:rPr>
          <w:snapToGrid/>
        </w:rPr>
        <w:t xml:space="preserve">  At the same time, the Commission recognized that, if the industry failed to move toward interoperability in a timely manner, additional regulatory steps might be justified.</w:t>
      </w:r>
      <w:r>
        <w:rPr>
          <w:rStyle w:val="FootnoteReference"/>
          <w:snapToGrid/>
        </w:rPr>
        <w:footnoteReference w:id="139"/>
      </w:r>
      <w:r w:rsidRPr="001A0A30">
        <w:rPr>
          <w:snapToGrid/>
        </w:rPr>
        <w:t xml:space="preserve">  </w:t>
      </w:r>
    </w:p>
    <w:p w:rsidR="00C06036" w:rsidRDefault="00C06036" w:rsidP="00D03910">
      <w:pPr>
        <w:pStyle w:val="ParaNum"/>
        <w:keepNext/>
        <w:widowControl/>
        <w:snapToGrid w:val="0"/>
      </w:pPr>
      <w:r w:rsidRPr="005D7567">
        <w:rPr>
          <w:i/>
        </w:rPr>
        <w:t>Discussion</w:t>
      </w:r>
      <w:r w:rsidRPr="005D7567">
        <w:t xml:space="preserve">.  </w:t>
      </w:r>
      <w:r>
        <w:t>As noted above, an industry solution that will resolve the lack of interoperability in the Lower 700 MHz band has now been developed.  In a letter filed on September 10, 2013, AT&amp;T committed to adopting interoperability upon resolution of interference issues associated with high power broadcast transmissions from the Lower 700 MHz E Block.</w:t>
      </w:r>
      <w:r>
        <w:rPr>
          <w:rStyle w:val="FootnoteReference"/>
        </w:rPr>
        <w:footnoteReference w:id="140"/>
      </w:r>
      <w:r>
        <w:t xml:space="preserve">  </w:t>
      </w:r>
      <w:r>
        <w:rPr>
          <w:szCs w:val="22"/>
        </w:rPr>
        <w:t xml:space="preserve">A coalition of Lower 700 MHz A Block licensees, joined by the Competitive Carriers Association, filed a </w:t>
      </w:r>
      <w:r w:rsidRPr="00670101">
        <w:t>letter</w:t>
      </w:r>
      <w:r>
        <w:rPr>
          <w:szCs w:val="22"/>
        </w:rPr>
        <w:t xml:space="preserve"> supporting AT&amp;T’s commitments as a means to ensure restoration of interoperability.</w:t>
      </w:r>
      <w:r>
        <w:rPr>
          <w:rStyle w:val="FootnoteReference"/>
          <w:szCs w:val="22"/>
        </w:rPr>
        <w:footnoteReference w:id="141"/>
      </w:r>
      <w:r>
        <w:rPr>
          <w:szCs w:val="22"/>
        </w:rPr>
        <w:t xml:space="preserve">  </w:t>
      </w:r>
      <w:r w:rsidRPr="005D7567">
        <w:t>Having resolved the</w:t>
      </w:r>
      <w:r>
        <w:t xml:space="preserve"> potential interference issues as discussed above, </w:t>
      </w:r>
      <w:r w:rsidRPr="005D7567">
        <w:t xml:space="preserve">we </w:t>
      </w:r>
      <w:r>
        <w:t xml:space="preserve">now take steps to implement AT&amp;T’s voluntary commitments and establish a path to interoperability in the Lower 700 MHz band.  </w:t>
      </w:r>
    </w:p>
    <w:p w:rsidR="007C028E" w:rsidRPr="009F191E" w:rsidRDefault="00C06036" w:rsidP="00D03910">
      <w:pPr>
        <w:pStyle w:val="ParaNum"/>
        <w:keepNext/>
        <w:widowControl/>
        <w:snapToGrid w:val="0"/>
      </w:pPr>
      <w:r>
        <w:t xml:space="preserve">Specifically, pursuant to Section 316, we propose </w:t>
      </w:r>
      <w:r w:rsidR="00107F70">
        <w:rPr>
          <w:lang w:val="en-US"/>
        </w:rPr>
        <w:t xml:space="preserve">in the </w:t>
      </w:r>
      <w:r w:rsidR="00107F70" w:rsidRPr="00062312">
        <w:rPr>
          <w:lang w:val="en-US"/>
        </w:rPr>
        <w:t>Order of Proposed Modification</w:t>
      </w:r>
      <w:r w:rsidR="00107F70">
        <w:rPr>
          <w:i/>
          <w:lang w:val="en-US"/>
        </w:rPr>
        <w:t xml:space="preserve"> </w:t>
      </w:r>
      <w:r w:rsidR="00107F70">
        <w:rPr>
          <w:lang w:val="en-US"/>
        </w:rPr>
        <w:t xml:space="preserve">below </w:t>
      </w:r>
      <w:r>
        <w:t>to modify AT&amp;T’s B and C Block licenses</w:t>
      </w:r>
      <w:r w:rsidRPr="003444BC">
        <w:t xml:space="preserve"> </w:t>
      </w:r>
      <w:r>
        <w:t xml:space="preserve">to implement </w:t>
      </w:r>
      <w:r>
        <w:rPr>
          <w:lang w:val="en-US"/>
        </w:rPr>
        <w:t>its</w:t>
      </w:r>
      <w:r>
        <w:t xml:space="preserve"> interoperability commitments</w:t>
      </w:r>
      <w:r>
        <w:rPr>
          <w:lang w:val="en-US"/>
        </w:rPr>
        <w:t>.</w:t>
      </w:r>
      <w:r>
        <w:rPr>
          <w:rStyle w:val="FootnoteReference"/>
          <w:lang w:val="en-US"/>
        </w:rPr>
        <w:footnoteReference w:id="142"/>
      </w:r>
      <w:r>
        <w:rPr>
          <w:lang w:val="en-US"/>
        </w:rPr>
        <w:t xml:space="preserve">  </w:t>
      </w:r>
      <w:r>
        <w:t>These commitments relate both to AT&amp;T’s deployment of a Multi-Frequency Band Indicator (MFBI) software feature (a network technology that enables interoperability by permitting simultaneous support of both Band Class 12 and Band Class17 devices) and to AT&amp;T’s transition to Band Class 12 capable device</w:t>
      </w:r>
      <w:r>
        <w:rPr>
          <w:lang w:val="en-US"/>
        </w:rPr>
        <w:t>s</w:t>
      </w:r>
      <w:r w:rsidR="00E560C8">
        <w:rPr>
          <w:lang w:val="en-US"/>
        </w:rPr>
        <w:t xml:space="preserve">. </w:t>
      </w:r>
      <w:r w:rsidR="009210E7">
        <w:rPr>
          <w:lang w:val="en-US"/>
        </w:rPr>
        <w:t xml:space="preserve"> </w:t>
      </w:r>
      <w:r w:rsidR="00E560C8">
        <w:rPr>
          <w:lang w:val="en-US"/>
        </w:rPr>
        <w:t>As set out in AT&amp;T’s letter:</w:t>
      </w:r>
    </w:p>
    <w:p w:rsidR="00C06036" w:rsidRPr="008E0027" w:rsidRDefault="00C06036" w:rsidP="00D03910">
      <w:pPr>
        <w:pStyle w:val="ParaNum"/>
        <w:keepNext/>
        <w:widowControl/>
        <w:numPr>
          <w:ilvl w:val="0"/>
          <w:numId w:val="0"/>
        </w:numPr>
        <w:snapToGrid w:val="0"/>
        <w:rPr>
          <w:szCs w:val="22"/>
          <w:u w:val="single"/>
        </w:rPr>
      </w:pPr>
      <w:r w:rsidRPr="008E0027">
        <w:rPr>
          <w:szCs w:val="22"/>
          <w:u w:val="single"/>
        </w:rPr>
        <w:t>Deployment of MFBI</w:t>
      </w: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AT&amp;T commits to moving forward expeditiously with testing the 3GPP Multi-Frequency Band Indicator software feature as soon as it is made available to AT&amp;T by its RAN vendors.  AT&amp;T further agrees to fully deploy the new MFBI software feature in its 700 MHz network within 24 months of September 30, 2013.  The end of the 24-month period will also commence the beginning of the device roll-out period. </w:t>
      </w:r>
    </w:p>
    <w:p w:rsidR="009210E7" w:rsidRPr="009210E7" w:rsidRDefault="009210E7" w:rsidP="00D03910">
      <w:pPr>
        <w:pStyle w:val="ParaNum"/>
        <w:keepNext/>
        <w:widowControl/>
        <w:numPr>
          <w:ilvl w:val="0"/>
          <w:numId w:val="0"/>
        </w:numPr>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If AT&amp;T concludes that, despite its best efforts, implementation of the MFBI feature within 24 months as committed to herein will result in significant negative customer impact, AT&amp;T will file a certification, consistent with Commission rules (including but not limited to Sections 1.16, 1.17 and 1.65</w:t>
      </w:r>
      <w:r w:rsidRPr="009210E7">
        <w:rPr>
          <w:snapToGrid/>
          <w:color w:val="000000"/>
          <w:kern w:val="0"/>
          <w:szCs w:val="22"/>
          <w:vertAlign w:val="superscript"/>
        </w:rPr>
        <w:footnoteReference w:id="143"/>
      </w:r>
      <w:r w:rsidRPr="009210E7">
        <w:rPr>
          <w:snapToGrid/>
          <w:color w:val="000000"/>
          <w:kern w:val="0"/>
          <w:szCs w:val="22"/>
        </w:rPr>
        <w:t>), so asserting and outlining in specific detail the commercially reasonable steps taken to meet the deadline and the reason for the delay.  Any such filing must be made on or before August 31, 2015.  With the filing of such a certification, the 24-month deadline for MFBI implementation and the start of the Band 12 capable device roll-out period shall be extended by the period requested in the certification, up to an additional 6 months.</w:t>
      </w:r>
    </w:p>
    <w:p w:rsidR="009210E7" w:rsidRPr="009210E7" w:rsidRDefault="009210E7" w:rsidP="00D03910">
      <w:pPr>
        <w:pStyle w:val="ParaNum"/>
        <w:keepNext/>
        <w:widowControl/>
        <w:numPr>
          <w:ilvl w:val="0"/>
          <w:numId w:val="0"/>
        </w:numPr>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Once MFBI has been fully implemented by AT&amp;T consistent with paragraph 2, AT&amp;T shall provide LTE roaming to carriers with compatible Band 12 devices, consistent with the Commission’s rules on roaming. </w:t>
      </w:r>
    </w:p>
    <w:p w:rsidR="00C06036" w:rsidRPr="008E0027" w:rsidRDefault="00C06036" w:rsidP="00D03910">
      <w:pPr>
        <w:pStyle w:val="Default"/>
        <w:keepNext/>
        <w:rPr>
          <w:sz w:val="22"/>
          <w:szCs w:val="22"/>
        </w:rPr>
      </w:pPr>
    </w:p>
    <w:p w:rsidR="00C06036" w:rsidRDefault="00C06036" w:rsidP="00D03910">
      <w:pPr>
        <w:pStyle w:val="ParaNum"/>
        <w:keepNext/>
        <w:widowControl/>
        <w:numPr>
          <w:ilvl w:val="0"/>
          <w:numId w:val="0"/>
        </w:numPr>
        <w:tabs>
          <w:tab w:val="num" w:pos="1440"/>
        </w:tabs>
        <w:snapToGrid w:val="0"/>
        <w:spacing w:after="0"/>
        <w:rPr>
          <w:szCs w:val="22"/>
          <w:u w:val="single"/>
          <w:lang w:val="en-US"/>
        </w:rPr>
      </w:pPr>
      <w:r w:rsidRPr="008E0027">
        <w:rPr>
          <w:szCs w:val="22"/>
          <w:u w:val="single"/>
        </w:rPr>
        <w:t>The Transition</w:t>
      </w:r>
    </w:p>
    <w:p w:rsidR="00F3559E" w:rsidRPr="00D258B2" w:rsidRDefault="00F3559E" w:rsidP="00D03910">
      <w:pPr>
        <w:pStyle w:val="ParaNum"/>
        <w:keepNext/>
        <w:widowControl/>
        <w:numPr>
          <w:ilvl w:val="0"/>
          <w:numId w:val="0"/>
        </w:numPr>
        <w:tabs>
          <w:tab w:val="num" w:pos="1440"/>
        </w:tabs>
        <w:snapToGrid w:val="0"/>
        <w:spacing w:after="0"/>
        <w:rPr>
          <w:szCs w:val="22"/>
          <w:u w:val="single"/>
          <w:lang w:val="en-US"/>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“Band 12 capable device” shall mean any device that is capable of supporting 3GPP Band Class 12.  At this time, AT&amp;T is exploring various Band 12 implementation approaches with its chipset and OEM partners and AT&amp;T reserves the right to pursue the most efficient solutions available based on evolving network and device capabilities on a technology neutral basis.</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During the first year of the device roll-out period, 50% of all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Machine-to- Machine (M-to-M) devices shall not be counted as “new unique devices” for purposes of this commitment.</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During the second year of the device roll-out period, 75% of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M-to-M devices shall not be counted as “new unique devices” for purposes of this commitment. </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Commencing at the conclusion of the second year of the device roll-out period, all new unique devices that operate on the paired Lower 700 MHz bands introduced by AT&amp;T into its device portfolio will be Band 12 capable devices.  In addition, from that time forward, AT&amp;T will agree that its specifications for all new devices that are designed to operate in the paired Lower 700 MHz frequencies, including M-to-M devices, will call for Band 12 capability.  However, M-to-M devices shall not be counted as “new unique devices” for purposes of this commitment. </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The commitments outlined above apply to all new unique data-capable devices that connect to or provide connectivity on AT&amp;T’s paired Lower 700 MHz FDD network.  AT&amp;T’s commitment shall not extend to any devices that are uniquely designed to operate on spectrum bands owned and operated by AT&amp;T that are not in the paired Lower 700 MHz bands</w:t>
      </w:r>
      <w:r w:rsidR="00EE5009">
        <w:rPr>
          <w:snapToGrid/>
          <w:color w:val="000000"/>
          <w:kern w:val="0"/>
          <w:szCs w:val="22"/>
        </w:rPr>
        <w:t>.  AT&amp;T reserves the express</w:t>
      </w:r>
      <w:r w:rsidRPr="009210E7">
        <w:rPr>
          <w:snapToGrid/>
          <w:color w:val="000000"/>
          <w:kern w:val="0"/>
          <w:szCs w:val="22"/>
        </w:rPr>
        <w:t xml:space="preserve"> right to support devices that do not operate in t</w:t>
      </w:r>
      <w:r w:rsidR="00E606F6">
        <w:rPr>
          <w:snapToGrid/>
          <w:color w:val="000000"/>
          <w:kern w:val="0"/>
          <w:szCs w:val="22"/>
        </w:rPr>
        <w:t xml:space="preserve">he paired </w:t>
      </w:r>
      <w:r w:rsidR="00E606F6">
        <w:rPr>
          <w:snapToGrid/>
          <w:color w:val="000000"/>
          <w:kern w:val="0"/>
          <w:szCs w:val="22"/>
          <w:lang w:val="en-US"/>
        </w:rPr>
        <w:t>L</w:t>
      </w:r>
      <w:r w:rsidRPr="009210E7">
        <w:rPr>
          <w:snapToGrid/>
          <w:color w:val="000000"/>
          <w:kern w:val="0"/>
          <w:szCs w:val="22"/>
        </w:rPr>
        <w:t>ower 700 MHz bands.</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To demonstrate progress on its commitments, AT&amp;T shall submit comprehensive written reports and meet with the Commission staff at each of 12 months, 18 months and 24 months from the date of its September 10, 2013 commitment letter that will provide information on AT&amp;T’s progress toward meeting these commitments.  Additionally, AT&amp;T shall provide comprehensive written reports at 28 months, 40 months and 46 months to report on progress during the device roll-out period, and it shall file a certification to the Commission at the end of the device roll-out period to certify final completion of these commitments within 30 days. </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 xml:space="preserve">Fulfillment of these commitments will require the implementation of new functionality in AT&amp;T’s paired </w:t>
      </w:r>
      <w:r w:rsidR="00E606F6">
        <w:rPr>
          <w:snapToGrid/>
          <w:color w:val="000000"/>
          <w:kern w:val="0"/>
          <w:szCs w:val="22"/>
          <w:lang w:val="en-US"/>
        </w:rPr>
        <w:t>L</w:t>
      </w:r>
      <w:r w:rsidRPr="009210E7">
        <w:rPr>
          <w:snapToGrid/>
          <w:color w:val="000000"/>
          <w:kern w:val="0"/>
          <w:szCs w:val="22"/>
        </w:rPr>
        <w:t xml:space="preserve">ower 700 MHz network as well as collaboration with AT&amp;T’s chipset and OEM partners and vendors.  AT&amp;T will use its best efforts to proceed diligently to complete the activities necessary to fulfill its commitments.  However, if at any time, AT&amp;T encounters obstacles beyond its control that threaten its ability to meet these commitments, or undermine the quality of the service it is providing on its network, AT&amp;T reserves the right to so inform the Commission and seek an extension of time or a waiver as appropriate. </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9210E7" w:rsidP="00D03910">
      <w:pPr>
        <w:pStyle w:val="ParaNum"/>
        <w:keepNext/>
        <w:widowControl/>
        <w:numPr>
          <w:ilvl w:val="0"/>
          <w:numId w:val="12"/>
        </w:numPr>
        <w:snapToGrid w:val="0"/>
        <w:spacing w:after="0"/>
        <w:rPr>
          <w:snapToGrid/>
          <w:color w:val="000000"/>
          <w:kern w:val="0"/>
          <w:szCs w:val="22"/>
        </w:rPr>
      </w:pPr>
      <w:r w:rsidRPr="009210E7">
        <w:rPr>
          <w:snapToGrid/>
          <w:color w:val="000000"/>
          <w:kern w:val="0"/>
          <w:szCs w:val="22"/>
        </w:rPr>
        <w:t>Consistent with these commitments, AT&amp;T anticipates that its focus and advocacy within the 3GPP standards setting process will shift to Band 12 related projects and work streams.  More specifically, upon adoption of this commitment, AT&amp;T commits to placing priority within the 3GPP RAN committee on the development of various Band 12 carrier aggregation scenarios.  Upon completing implementation of the MFBI feature, AT&amp;T anticipates that its focus on new s</w:t>
      </w:r>
      <w:r w:rsidR="00E606F6">
        <w:rPr>
          <w:snapToGrid/>
          <w:color w:val="000000"/>
          <w:kern w:val="0"/>
          <w:szCs w:val="22"/>
        </w:rPr>
        <w:t xml:space="preserve">tandards related to the paired </w:t>
      </w:r>
      <w:r w:rsidR="00E606F6">
        <w:rPr>
          <w:snapToGrid/>
          <w:color w:val="000000"/>
          <w:kern w:val="0"/>
          <w:szCs w:val="22"/>
          <w:lang w:val="en-US"/>
        </w:rPr>
        <w:t>L</w:t>
      </w:r>
      <w:r w:rsidRPr="009210E7">
        <w:rPr>
          <w:snapToGrid/>
          <w:color w:val="000000"/>
          <w:kern w:val="0"/>
          <w:szCs w:val="22"/>
        </w:rPr>
        <w:t>ower 700 MHz spectrum will be almost exclusively on Band 12 configurations, features and capabilities.  AT&amp;T reserves the right to seek revisions and updates to Band 17 standards to the extent necessary to support legacy Band 17 devices and continuing Band 17 functionality on its network.</w:t>
      </w:r>
    </w:p>
    <w:p w:rsidR="009210E7" w:rsidRPr="009210E7" w:rsidRDefault="009210E7" w:rsidP="00D03910">
      <w:pPr>
        <w:pStyle w:val="ParaNum"/>
        <w:keepNext/>
        <w:widowControl/>
        <w:numPr>
          <w:ilvl w:val="0"/>
          <w:numId w:val="0"/>
        </w:numPr>
        <w:tabs>
          <w:tab w:val="num" w:pos="1440"/>
        </w:tabs>
        <w:snapToGrid w:val="0"/>
        <w:spacing w:after="0"/>
        <w:ind w:left="720"/>
        <w:rPr>
          <w:snapToGrid/>
          <w:color w:val="000000"/>
          <w:kern w:val="0"/>
          <w:szCs w:val="22"/>
        </w:rPr>
      </w:pPr>
    </w:p>
    <w:p w:rsidR="009210E7" w:rsidRPr="009210E7" w:rsidRDefault="00E606F6" w:rsidP="00D03910">
      <w:pPr>
        <w:pStyle w:val="ParaNum"/>
        <w:keepNext/>
        <w:widowControl/>
        <w:numPr>
          <w:ilvl w:val="0"/>
          <w:numId w:val="12"/>
        </w:numPr>
        <w:snapToGrid w:val="0"/>
        <w:spacing w:after="0"/>
        <w:rPr>
          <w:snapToGrid/>
          <w:color w:val="000000"/>
          <w:kern w:val="0"/>
          <w:szCs w:val="22"/>
        </w:rPr>
      </w:pPr>
      <w:r>
        <w:rPr>
          <w:snapToGrid/>
          <w:color w:val="000000"/>
          <w:kern w:val="0"/>
          <w:szCs w:val="22"/>
        </w:rPr>
        <w:t xml:space="preserve">AT&amp;T’s commitments to </w:t>
      </w:r>
      <w:r>
        <w:rPr>
          <w:snapToGrid/>
          <w:color w:val="000000"/>
          <w:kern w:val="0"/>
          <w:szCs w:val="22"/>
          <w:lang w:val="en-US"/>
        </w:rPr>
        <w:t>L</w:t>
      </w:r>
      <w:r w:rsidR="009210E7" w:rsidRPr="009210E7">
        <w:rPr>
          <w:snapToGrid/>
          <w:color w:val="000000"/>
          <w:kern w:val="0"/>
          <w:szCs w:val="22"/>
        </w:rPr>
        <w:t>ower 700 MHz interoperability outlined in its letter are premised on final resolution of the E Block interference issues, which requires the Commission to adopt</w:t>
      </w:r>
      <w:r>
        <w:rPr>
          <w:snapToGrid/>
          <w:color w:val="000000"/>
          <w:kern w:val="0"/>
          <w:szCs w:val="22"/>
        </w:rPr>
        <w:t xml:space="preserve"> an Order requiring that all E </w:t>
      </w:r>
      <w:r>
        <w:rPr>
          <w:snapToGrid/>
          <w:color w:val="000000"/>
          <w:kern w:val="0"/>
          <w:szCs w:val="22"/>
          <w:lang w:val="en-US"/>
        </w:rPr>
        <w:t>B</w:t>
      </w:r>
      <w:r w:rsidR="009210E7" w:rsidRPr="009210E7">
        <w:rPr>
          <w:snapToGrid/>
          <w:color w:val="000000"/>
          <w:kern w:val="0"/>
          <w:szCs w:val="22"/>
        </w:rPr>
        <w:t>lock licensees transmitting a signal with an emission bandwidth greater than 1 megahertz are restricted to an ERP of 1,000 to 2,000 watts/MHz and an antenna height of 305 m above average terrain.  AT&amp;T anticipates that the Commission will adopt such an Order no later than December 31, 2013.  If such an Order is not adopted by the Commission, or if it is adopted but subject to appellate review, AT&amp;T reserves the right to declare these commitments null and void.</w:t>
      </w:r>
    </w:p>
    <w:p w:rsidR="007C028E" w:rsidRPr="009210E7" w:rsidRDefault="007C028E" w:rsidP="00D03910">
      <w:pPr>
        <w:pStyle w:val="Default"/>
        <w:keepNext/>
        <w:rPr>
          <w:color w:val="auto"/>
          <w:sz w:val="22"/>
          <w:szCs w:val="22"/>
        </w:rPr>
      </w:pPr>
    </w:p>
    <w:p w:rsidR="00C06036" w:rsidRDefault="00C06036" w:rsidP="00D03910">
      <w:pPr>
        <w:pStyle w:val="ParaNum"/>
        <w:keepNext/>
        <w:widowControl/>
        <w:snapToGrid w:val="0"/>
      </w:pPr>
      <w:r>
        <w:t xml:space="preserve">We find that implementing the voluntary industry solution for interoperability by adopting AT&amp;T’s commitments as modifications </w:t>
      </w:r>
      <w:r>
        <w:rPr>
          <w:lang w:val="en-US"/>
        </w:rPr>
        <w:t xml:space="preserve">would promote the public interest, convenience and necessity.  </w:t>
      </w:r>
      <w:r>
        <w:t xml:space="preserve">These modifications </w:t>
      </w:r>
      <w:r>
        <w:rPr>
          <w:lang w:val="en-US"/>
        </w:rPr>
        <w:t xml:space="preserve">would </w:t>
      </w:r>
      <w:r>
        <w:t xml:space="preserve">establish a clear path toward interoperability for the Lower 700 MHz band.  </w:t>
      </w:r>
      <w:r>
        <w:rPr>
          <w:lang w:val="en-US"/>
        </w:rPr>
        <w:t>In doing so</w:t>
      </w:r>
      <w:r>
        <w:t xml:space="preserve">, they </w:t>
      </w:r>
      <w:r w:rsidRPr="009D523E">
        <w:t>w</w:t>
      </w:r>
      <w:r>
        <w:rPr>
          <w:lang w:val="en-US"/>
        </w:rPr>
        <w:t>ould</w:t>
      </w:r>
      <w:r w:rsidRPr="009D523E">
        <w:t xml:space="preserve"> promote the efficient use of spectrum, the avai</w:t>
      </w:r>
      <w:r>
        <w:t>lability of higher quality and l</w:t>
      </w:r>
      <w:r w:rsidRPr="009D523E">
        <w:t>ower priced offerings</w:t>
      </w:r>
      <w:r>
        <w:t xml:space="preserve"> and enhanced choices </w:t>
      </w:r>
      <w:r w:rsidRPr="009D523E">
        <w:t>for customers of all wireless broadband providers, overall timely deployment of nationwide wireless broadband coverage, and the delivery of such service to rural and underserved areas.</w:t>
      </w:r>
      <w:r>
        <w:t xml:space="preserve">  Our actions</w:t>
      </w:r>
      <w:r w:rsidRPr="002F19C5">
        <w:t xml:space="preserve"> </w:t>
      </w:r>
      <w:r>
        <w:rPr>
          <w:lang w:val="en-US"/>
        </w:rPr>
        <w:t xml:space="preserve">in proposing these modifications </w:t>
      </w:r>
      <w:r w:rsidRPr="002F19C5">
        <w:t xml:space="preserve">here </w:t>
      </w:r>
      <w:r>
        <w:t xml:space="preserve">are </w:t>
      </w:r>
      <w:r w:rsidRPr="002F19C5">
        <w:t xml:space="preserve">consistent </w:t>
      </w:r>
      <w:r>
        <w:t xml:space="preserve">with </w:t>
      </w:r>
      <w:r w:rsidRPr="00F142C7">
        <w:t>the Commission’s longstanding interest in promoting the interoperability of mobile services (an objective that has been realized for cellular, PCS, AWS, and public safety</w:t>
      </w:r>
      <w:r>
        <w:t xml:space="preserve"> broadband service), and </w:t>
      </w:r>
      <w:r w:rsidRPr="002F19C5">
        <w:t>allow the market greater flexibility in responding to evolving consumer needs and dynamic and fast-paced technological developments</w:t>
      </w:r>
      <w:r w:rsidRPr="00F142C7">
        <w:t>.</w:t>
      </w:r>
      <w:r>
        <w:rPr>
          <w:lang w:val="en-US"/>
        </w:rPr>
        <w:t xml:space="preserve">  </w:t>
      </w:r>
      <w:r w:rsidR="004C7272">
        <w:rPr>
          <w:lang w:val="en-US"/>
        </w:rPr>
        <w:t>B</w:t>
      </w:r>
      <w:r>
        <w:rPr>
          <w:lang w:val="en-US"/>
        </w:rPr>
        <w:t xml:space="preserve">y ensuring that AT&amp;T, the largest license holder of spectrum in the B and C Blocks, transitions to interoperability, </w:t>
      </w:r>
      <w:r w:rsidR="004C7272">
        <w:rPr>
          <w:lang w:val="en-US"/>
        </w:rPr>
        <w:t xml:space="preserve">we conclude that </w:t>
      </w:r>
      <w:r>
        <w:rPr>
          <w:lang w:val="en-US"/>
        </w:rPr>
        <w:t>the steps we take today will be enough to ensure that the public interest benefits of interoperability are realized</w:t>
      </w:r>
      <w:r w:rsidR="004C7272">
        <w:rPr>
          <w:lang w:val="en-US"/>
        </w:rPr>
        <w:t xml:space="preserve"> while avoiding unnecessary regulatory burdens</w:t>
      </w:r>
      <w:r>
        <w:rPr>
          <w:lang w:val="en-US"/>
        </w:rPr>
        <w:t xml:space="preserve">.  </w:t>
      </w:r>
    </w:p>
    <w:p w:rsidR="00C06036" w:rsidRPr="005D7567" w:rsidRDefault="00C06036" w:rsidP="00D03910">
      <w:pPr>
        <w:pStyle w:val="ParaNum"/>
        <w:keepNext/>
        <w:widowControl/>
        <w:snapToGrid w:val="0"/>
      </w:pPr>
      <w:r w:rsidRPr="005D7567">
        <w:t xml:space="preserve">The record </w:t>
      </w:r>
      <w:r>
        <w:t xml:space="preserve">demonstrates that the existence of two incompatible band classes </w:t>
      </w:r>
      <w:r w:rsidRPr="005D7567">
        <w:t>is a substantial obstacle to the ability of subscribers to switch their service provider to take advantage of higher quality or lower cost service.</w:t>
      </w:r>
      <w:r w:rsidRPr="005D7567">
        <w:rPr>
          <w:rStyle w:val="FootnoteReference"/>
        </w:rPr>
        <w:footnoteReference w:id="144"/>
      </w:r>
      <w:r w:rsidRPr="005D7567">
        <w:t xml:space="preserve">  </w:t>
      </w:r>
      <w:r w:rsidRPr="00CB603E">
        <w:rPr>
          <w:lang w:val="en-US"/>
        </w:rPr>
        <w:t xml:space="preserve">Conversely, as </w:t>
      </w:r>
      <w:r w:rsidR="007C028E">
        <w:rPr>
          <w:lang w:val="en-US"/>
        </w:rPr>
        <w:t>t</w:t>
      </w:r>
      <w:r w:rsidR="007C028E" w:rsidRPr="005D7567">
        <w:t>he</w:t>
      </w:r>
      <w:r w:rsidRPr="005D7567">
        <w:t xml:space="preserve"> Commission has recognized</w:t>
      </w:r>
      <w:r w:rsidR="007C028E">
        <w:rPr>
          <w:lang w:val="en-US"/>
        </w:rPr>
        <w:t>,</w:t>
      </w:r>
      <w:r w:rsidRPr="005D7567">
        <w:t xml:space="preserve"> interoperability directly promotes “the ability of consumers to switch </w:t>
      </w:r>
      <w:r>
        <w:t>. . .</w:t>
      </w:r>
      <w:r w:rsidRPr="005D7567">
        <w:t xml:space="preserve"> at low cost.”</w:t>
      </w:r>
      <w:r w:rsidRPr="005D7567">
        <w:rPr>
          <w:rStyle w:val="FootnoteReference"/>
        </w:rPr>
        <w:t xml:space="preserve"> </w:t>
      </w:r>
      <w:r w:rsidRPr="005D7567">
        <w:rPr>
          <w:rStyle w:val="FootnoteReference"/>
        </w:rPr>
        <w:footnoteReference w:id="145"/>
      </w:r>
      <w:r w:rsidRPr="005D7567">
        <w:t xml:space="preserve">  </w:t>
      </w:r>
      <w:r>
        <w:rPr>
          <w:lang w:val="en-US"/>
        </w:rPr>
        <w:t>Accordingly, b</w:t>
      </w:r>
      <w:r w:rsidRPr="005D7567">
        <w:t xml:space="preserve">y </w:t>
      </w:r>
      <w:r>
        <w:t xml:space="preserve">establishing a clear path to interoperability, </w:t>
      </w:r>
      <w:r w:rsidRPr="005D7567">
        <w:t>we promote consumers’ ability to choose the higher quality service at affordable prices</w:t>
      </w:r>
      <w:r>
        <w:rPr>
          <w:lang w:val="en-US"/>
        </w:rPr>
        <w:t xml:space="preserve"> and thus increased competition</w:t>
      </w:r>
      <w:r w:rsidRPr="005D7567">
        <w:t xml:space="preserve">.  </w:t>
      </w:r>
    </w:p>
    <w:p w:rsidR="008E7C29" w:rsidRPr="005D7567" w:rsidRDefault="00C06036" w:rsidP="00D03910">
      <w:pPr>
        <w:pStyle w:val="ParaNum"/>
        <w:keepNext/>
        <w:widowControl/>
        <w:snapToGrid w:val="0"/>
      </w:pPr>
      <w:r>
        <w:rPr>
          <w:snapToGrid/>
          <w:kern w:val="0"/>
          <w:szCs w:val="22"/>
        </w:rPr>
        <w:t xml:space="preserve">In addition, adopting the industry plan for achieving interoperability </w:t>
      </w:r>
      <w:r w:rsidRPr="005D7567">
        <w:rPr>
          <w:snapToGrid/>
          <w:kern w:val="0"/>
          <w:szCs w:val="22"/>
        </w:rPr>
        <w:t>will help promote deployment of mobile broadband services and the full and efficient use of Lower 700 MHz spectrum</w:t>
      </w:r>
      <w:r w:rsidRPr="005D7567">
        <w:t>.  The record shows that the absence of interoperability has delayed deployment of networks in Lower 700 MHz band spectrum.  U.S. Cellular, for example, asserts that</w:t>
      </w:r>
      <w:r w:rsidRPr="005D7567">
        <w:rPr>
          <w:snapToGrid/>
          <w:kern w:val="0"/>
          <w:szCs w:val="22"/>
        </w:rPr>
        <w:t xml:space="preserve">, except for its own deployment, </w:t>
      </w:r>
      <w:r w:rsidRPr="005D7567">
        <w:t>“there has been no comparable deployment of advanced 4G LTE services by Band 12 licensees, including Cavalier Wire</w:t>
      </w:r>
      <w:r w:rsidR="009A1C8D">
        <w:t xml:space="preserve">less, LLC, Continuum 700 LLC, C </w:t>
      </w:r>
      <w:r w:rsidRPr="005D7567">
        <w:t>Spire Wireless, Vulcan Wireless LLC and others, despite significant efforts to overcome the lack of a Band 12 device ecosystem.  Cox TMI Wireless LLC even was forced to abandon its original plans to launch 4G LTE services.”</w:t>
      </w:r>
      <w:r w:rsidRPr="005D7567">
        <w:rPr>
          <w:rStyle w:val="FootnoteReference"/>
        </w:rPr>
        <w:footnoteReference w:id="146"/>
      </w:r>
      <w:r w:rsidRPr="005D7567">
        <w:t xml:space="preserve">  Likewise, Cellular South, Inc. d/b/a C Sp</w:t>
      </w:r>
      <w:r>
        <w:t xml:space="preserve">ire Wireless (Cellular South) </w:t>
      </w:r>
      <w:r w:rsidRPr="005D7567">
        <w:t xml:space="preserve">asserts that the lack of available Band Class 12 devices and the inability of such devices to roam nationwide </w:t>
      </w:r>
      <w:r>
        <w:rPr>
          <w:lang w:val="en-US"/>
        </w:rPr>
        <w:t>render the current environment</w:t>
      </w:r>
      <w:r w:rsidRPr="005D7567">
        <w:t xml:space="preserve"> </w:t>
      </w:r>
      <w:r w:rsidR="000C3385">
        <w:t xml:space="preserve"> i</w:t>
      </w:r>
      <w:r w:rsidRPr="005D7567">
        <w:t xml:space="preserve">nadequate </w:t>
      </w:r>
      <w:r w:rsidR="000C3385">
        <w:t>“</w:t>
      </w:r>
      <w:r w:rsidRPr="005D7567">
        <w:t>to support commercial deployment of a LTE network on Band 12.”</w:t>
      </w:r>
      <w:r w:rsidRPr="005D7567">
        <w:rPr>
          <w:rStyle w:val="FootnoteReference"/>
        </w:rPr>
        <w:footnoteReference w:id="147"/>
      </w:r>
      <w:r w:rsidRPr="005D7567">
        <w:t xml:space="preserve">  Cavalier Wireless argues that the lack of interoperability has “delayed new wireless broadband deployments, services, and competition in Mississippi, Arkansas, and in rural states across the country.”</w:t>
      </w:r>
      <w:r w:rsidRPr="005D7567">
        <w:rPr>
          <w:rStyle w:val="FootnoteReference"/>
        </w:rPr>
        <w:footnoteReference w:id="148"/>
      </w:r>
      <w:r w:rsidRPr="005D7567">
        <w:t xml:space="preserve">  </w:t>
      </w:r>
    </w:p>
    <w:p w:rsidR="00C06036" w:rsidRDefault="00C06036" w:rsidP="00D03910">
      <w:pPr>
        <w:pStyle w:val="ParaNum"/>
        <w:keepNext/>
        <w:widowControl/>
        <w:snapToGrid w:val="0"/>
      </w:pPr>
      <w:r w:rsidRPr="005D7567">
        <w:t xml:space="preserve">The record indicates that interoperability </w:t>
      </w:r>
      <w:r>
        <w:t>will promote</w:t>
      </w:r>
      <w:r w:rsidRPr="005D7567">
        <w:t xml:space="preserve"> further build out and deployment of Lower 700 MHz spectrum, with the resulting benefits of competitive mobile broadband service available to consumers</w:t>
      </w:r>
      <w:r>
        <w:t xml:space="preserve">.  Cellular South, for example, </w:t>
      </w:r>
      <w:r w:rsidRPr="005D7567">
        <w:t xml:space="preserve">asserts that, upon adoption of an interoperability requirement, it would </w:t>
      </w:r>
      <w:r>
        <w:t>begin “</w:t>
      </w:r>
      <w:r w:rsidRPr="005D7567">
        <w:t>network design, site acquisition, and engaging equipment and device vendors to support the deployment of 4G LTE services</w:t>
      </w:r>
      <w:r>
        <w:t>.</w:t>
      </w:r>
      <w:r w:rsidRPr="005D7567">
        <w:t>”</w:t>
      </w:r>
      <w:r w:rsidRPr="005D7567">
        <w:rPr>
          <w:rStyle w:val="FootnoteReference"/>
        </w:rPr>
        <w:footnoteReference w:id="149"/>
      </w:r>
      <w:r w:rsidRPr="005D7567">
        <w:t xml:space="preserve">  Other parties likewise assert that resolving interoperability would facilitate their deployment of advanced wireless services.</w:t>
      </w:r>
      <w:r w:rsidRPr="005D7567">
        <w:rPr>
          <w:rStyle w:val="FootnoteReference"/>
        </w:rPr>
        <w:footnoteReference w:id="150"/>
      </w:r>
      <w:r w:rsidRPr="005D7567">
        <w:t xml:space="preserve">  </w:t>
      </w:r>
      <w:r>
        <w:t xml:space="preserve">We find that </w:t>
      </w:r>
      <w:r w:rsidRPr="005D7567">
        <w:t xml:space="preserve">the lack of interoperability and of the development of a Band Class 12 ecosystem has seriously limited development of </w:t>
      </w:r>
      <w:r>
        <w:t xml:space="preserve">the </w:t>
      </w:r>
      <w:r w:rsidRPr="005D7567">
        <w:t xml:space="preserve">Lower 700 MHz band and that 700 MHz interoperability will encourage and enable Lower 700 MHz A Block licensees to further invest in and build out advanced broadband networks. </w:t>
      </w:r>
      <w:r>
        <w:t xml:space="preserve"> </w:t>
      </w:r>
      <w:r w:rsidRPr="005D7567">
        <w:t xml:space="preserve">The difficulties of obtaining prompt delivery from vendors of the choices of 4G devices at affordable prices necessary to attract and retain subscribers have discouraged LTE network deployments for smaller new market entrants.  We conclude that, by promoting deployment of advanced mobile broadband networks, </w:t>
      </w:r>
      <w:r w:rsidR="000779D7">
        <w:rPr>
          <w:lang w:val="en-US"/>
        </w:rPr>
        <w:t>AT&amp;T’s</w:t>
      </w:r>
      <w:r w:rsidR="000779D7">
        <w:t xml:space="preserve"> </w:t>
      </w:r>
      <w:r>
        <w:t xml:space="preserve">interoperability </w:t>
      </w:r>
      <w:r w:rsidRPr="00CB603E">
        <w:rPr>
          <w:lang w:val="en-US"/>
        </w:rPr>
        <w:t xml:space="preserve">commitments would </w:t>
      </w:r>
      <w:r w:rsidRPr="005D7567">
        <w:t xml:space="preserve">serve the public interest by encouraging licensees to deploy networks in the </w:t>
      </w:r>
      <w:r>
        <w:t xml:space="preserve">Lower </w:t>
      </w:r>
      <w:r w:rsidRPr="005D7567">
        <w:t xml:space="preserve">700 MHz band using the most efficient wireless technology available today.  </w:t>
      </w:r>
    </w:p>
    <w:p w:rsidR="00C06036" w:rsidRDefault="00C06036" w:rsidP="00D03910">
      <w:pPr>
        <w:pStyle w:val="ParaNum"/>
        <w:keepNext/>
        <w:widowControl/>
        <w:snapToGrid w:val="0"/>
      </w:pPr>
      <w:r>
        <w:t xml:space="preserve">Our actions today also </w:t>
      </w:r>
      <w:r w:rsidRPr="009D523E">
        <w:t>further our statutory mandate to promote nationwide service</w:t>
      </w:r>
      <w:r>
        <w:rPr>
          <w:lang w:val="en-US"/>
        </w:rPr>
        <w:t>.</w:t>
      </w:r>
      <w:r w:rsidRPr="009D523E">
        <w:rPr>
          <w:vertAlign w:val="superscript"/>
        </w:rPr>
        <w:footnoteReference w:id="151"/>
      </w:r>
      <w:r>
        <w:t xml:space="preserve"> M</w:t>
      </w:r>
      <w:r w:rsidRPr="009D523E">
        <w:t>ost A Block licensees are small or regional businesses,</w:t>
      </w:r>
      <w:r>
        <w:rPr>
          <w:rStyle w:val="FootnoteReference"/>
        </w:rPr>
        <w:footnoteReference w:id="152"/>
      </w:r>
      <w:r w:rsidRPr="009D523E">
        <w:t xml:space="preserve"> many of which provide or would be able to provide wireless broadband service to nearly 50 million people </w:t>
      </w:r>
      <w:r>
        <w:t xml:space="preserve">in </w:t>
      </w:r>
      <w:r w:rsidRPr="009D523E">
        <w:t>rural areas, where 1.3 million people (and approximately 13% of rural road miles) still lack any such service at all.  More than one-third of the population in rural areas still lacks coverage from more than two mobile broadband service providers.</w:t>
      </w:r>
      <w:r w:rsidRPr="009D523E">
        <w:rPr>
          <w:vertAlign w:val="superscript"/>
        </w:rPr>
        <w:footnoteReference w:id="153"/>
      </w:r>
      <w:r>
        <w:t xml:space="preserve">  </w:t>
      </w:r>
      <w:r w:rsidRPr="009D523E">
        <w:t>Rural low density areas are often low income areas (per capita income less than $30,000 per year.)</w:t>
      </w:r>
      <w:r w:rsidRPr="005F5D1D">
        <w:t xml:space="preserve"> </w:t>
      </w:r>
      <w:r>
        <w:t xml:space="preserve">  Evidence in the record shows that the absence of interoperability has affected these licensees’ ability to deplo</w:t>
      </w:r>
      <w:r w:rsidR="007C028E">
        <w:t xml:space="preserve">y broadband services in the </w:t>
      </w:r>
      <w:r>
        <w:t>Lower 700 MHz bands.</w:t>
      </w:r>
      <w:r>
        <w:rPr>
          <w:rStyle w:val="FootnoteReference"/>
        </w:rPr>
        <w:footnoteReference w:id="154"/>
      </w:r>
      <w:r w:rsidRPr="00CD71CA">
        <w:t xml:space="preserve"> </w:t>
      </w:r>
      <w:r w:rsidRPr="00EC22B5">
        <w:t>By eliminating barriers to deploy</w:t>
      </w:r>
      <w:r>
        <w:t xml:space="preserve">ment by </w:t>
      </w:r>
      <w:r w:rsidRPr="00EC22B5">
        <w:t>small and rural providers, we take another important step toward fulfilling our mandate to bring these advanced services, “so far as possible, to all the people of the United States.”</w:t>
      </w:r>
      <w:r w:rsidRPr="00EC22B5">
        <w:rPr>
          <w:vertAlign w:val="superscript"/>
        </w:rPr>
        <w:footnoteReference w:id="155"/>
      </w:r>
    </w:p>
    <w:p w:rsidR="007A645B" w:rsidRPr="005D7567" w:rsidRDefault="00C06036" w:rsidP="00D03910">
      <w:pPr>
        <w:pStyle w:val="ParaNum"/>
        <w:keepNext/>
        <w:widowControl/>
        <w:snapToGrid w:val="0"/>
      </w:pPr>
      <w:r>
        <w:t xml:space="preserve">In addition, the </w:t>
      </w:r>
      <w:r w:rsidRPr="00107F70">
        <w:rPr>
          <w:lang w:val="en-US"/>
        </w:rPr>
        <w:t xml:space="preserve">AT&amp;T license modifications we propose today </w:t>
      </w:r>
      <w:r w:rsidR="00107F70" w:rsidRPr="00107F70">
        <w:rPr>
          <w:lang w:val="en-US"/>
        </w:rPr>
        <w:t xml:space="preserve">in the </w:t>
      </w:r>
      <w:r w:rsidR="00107F70" w:rsidRPr="00062312">
        <w:rPr>
          <w:lang w:val="en-US"/>
        </w:rPr>
        <w:t>Order of Proposed</w:t>
      </w:r>
      <w:r w:rsidR="00107F70" w:rsidRPr="00062312">
        <w:t xml:space="preserve"> Modification</w:t>
      </w:r>
      <w:r w:rsidR="00107F70" w:rsidRPr="00107F70">
        <w:rPr>
          <w:i/>
        </w:rPr>
        <w:t xml:space="preserve"> </w:t>
      </w:r>
      <w:r w:rsidR="00107F70" w:rsidRPr="00107F70">
        <w:t xml:space="preserve">below </w:t>
      </w:r>
      <w:r w:rsidRPr="005D7567">
        <w:t>also will help promote reasonable roaming arrangements among 700 MHz providers</w:t>
      </w:r>
      <w:r>
        <w:t>.  As noted above, AT&amp;T commits to providing LTE roaming to carriers with compatible Band 12 devices once AT&amp;T has implemented the MFBI software feature in its network.</w:t>
      </w:r>
      <w:r>
        <w:rPr>
          <w:rStyle w:val="FootnoteReference"/>
        </w:rPr>
        <w:footnoteReference w:id="156"/>
      </w:r>
      <w:r>
        <w:t xml:space="preserve">  As a result, </w:t>
      </w:r>
      <w:r w:rsidRPr="005D7567">
        <w:t xml:space="preserve">the number of technically compatible providers for </w:t>
      </w:r>
      <w:r>
        <w:t xml:space="preserve">nationwide LTE </w:t>
      </w:r>
      <w:r w:rsidRPr="005D7567">
        <w:t>roaming partnerships</w:t>
      </w:r>
      <w:r>
        <w:t xml:space="preserve"> </w:t>
      </w:r>
      <w:r w:rsidRPr="00107F70">
        <w:rPr>
          <w:lang w:val="en-US"/>
        </w:rPr>
        <w:t>would</w:t>
      </w:r>
      <w:r>
        <w:t xml:space="preserve"> increase</w:t>
      </w:r>
      <w:r w:rsidRPr="005D7567">
        <w:t xml:space="preserve">. </w:t>
      </w:r>
    </w:p>
    <w:p w:rsidR="002969FA" w:rsidRDefault="002969FA" w:rsidP="005B76F1">
      <w:pPr>
        <w:pStyle w:val="Heading2"/>
      </w:pPr>
      <w:bookmarkStart w:id="424" w:name="_Toc366696628"/>
      <w:bookmarkStart w:id="425" w:name="_Toc366740270"/>
      <w:bookmarkStart w:id="426" w:name="_Toc366766677"/>
      <w:bookmarkStart w:id="427" w:name="_Toc366771504"/>
      <w:bookmarkStart w:id="428" w:name="_Toc367201509"/>
      <w:bookmarkStart w:id="429" w:name="_Toc367297834"/>
      <w:bookmarkStart w:id="430" w:name="_Toc367384484"/>
      <w:bookmarkStart w:id="431" w:name="_Toc367385269"/>
      <w:bookmarkStart w:id="432" w:name="_Toc367463247"/>
      <w:bookmarkStart w:id="433" w:name="_Toc367715579"/>
      <w:bookmarkStart w:id="434" w:name="_Toc367975867"/>
      <w:bookmarkStart w:id="435" w:name="_Toc367978240"/>
      <w:bookmarkStart w:id="436" w:name="_Toc368049352"/>
      <w:bookmarkStart w:id="437" w:name="_Toc370401670"/>
      <w:bookmarkStart w:id="438" w:name="_Toc363670224"/>
      <w:bookmarkStart w:id="439" w:name="_Toc364339645"/>
      <w:bookmarkStart w:id="440" w:name="_Toc364363115"/>
      <w:bookmarkStart w:id="441" w:name="_Toc365289477"/>
      <w:bookmarkStart w:id="442" w:name="_Toc365297794"/>
      <w:bookmarkStart w:id="443" w:name="_Toc366080756"/>
      <w:bookmarkStart w:id="444" w:name="_Toc366081292"/>
      <w:bookmarkStart w:id="445" w:name="_Toc366142311"/>
      <w:bookmarkStart w:id="446" w:name="_Toc366160464"/>
      <w:bookmarkStart w:id="447" w:name="_Toc366161316"/>
      <w:bookmarkStart w:id="448" w:name="_Toc366677422"/>
      <w:r>
        <w:t xml:space="preserve">Performance Requirements and </w:t>
      </w:r>
      <w:r w:rsidRPr="005D7567">
        <w:t xml:space="preserve">Construction </w:t>
      </w:r>
      <w:r>
        <w:t>Benchmarks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 xml:space="preserve"> </w:t>
      </w:r>
      <w:bookmarkEnd w:id="438"/>
      <w:bookmarkEnd w:id="439"/>
      <w:bookmarkEnd w:id="440"/>
      <w:bookmarkEnd w:id="441"/>
      <w:bookmarkEnd w:id="442"/>
      <w:bookmarkEnd w:id="443"/>
      <w:bookmarkEnd w:id="444"/>
      <w:bookmarkEnd w:id="445"/>
      <w:bookmarkEnd w:id="446"/>
      <w:bookmarkEnd w:id="447"/>
      <w:bookmarkEnd w:id="448"/>
    </w:p>
    <w:p w:rsidR="002969FA" w:rsidRDefault="002969FA" w:rsidP="00D03910">
      <w:pPr>
        <w:pStyle w:val="Heading3"/>
        <w:widowControl/>
      </w:pPr>
      <w:bookmarkStart w:id="449" w:name="_Toc367201510"/>
      <w:bookmarkStart w:id="450" w:name="_Toc367297835"/>
      <w:bookmarkStart w:id="451" w:name="_Toc367384485"/>
      <w:bookmarkStart w:id="452" w:name="_Toc367385270"/>
      <w:bookmarkStart w:id="453" w:name="_Toc367463248"/>
      <w:bookmarkStart w:id="454" w:name="_Toc367715580"/>
      <w:bookmarkStart w:id="455" w:name="_Toc367975868"/>
      <w:bookmarkStart w:id="456" w:name="_Toc367978241"/>
      <w:bookmarkStart w:id="457" w:name="_Toc368049353"/>
      <w:bookmarkStart w:id="458" w:name="_Toc370401671"/>
      <w:r>
        <w:t>Construction Benchmarks A</w:t>
      </w:r>
      <w:r w:rsidRPr="0015529F">
        <w:t>pplicable</w:t>
      </w:r>
      <w:r>
        <w:t xml:space="preserve"> to Lower 700 MHz E Block</w:t>
      </w:r>
      <w:bookmarkEnd w:id="449"/>
      <w:bookmarkEnd w:id="450"/>
      <w:bookmarkEnd w:id="451"/>
      <w:bookmarkEnd w:id="452"/>
      <w:bookmarkEnd w:id="453"/>
      <w:bookmarkEnd w:id="454"/>
      <w:bookmarkEnd w:id="455"/>
      <w:bookmarkEnd w:id="456"/>
      <w:bookmarkEnd w:id="457"/>
      <w:bookmarkEnd w:id="458"/>
    </w:p>
    <w:p w:rsidR="002969FA" w:rsidRDefault="002969FA" w:rsidP="00D03910">
      <w:pPr>
        <w:pStyle w:val="ParaNum"/>
        <w:keepNext/>
        <w:widowControl/>
        <w:snapToGrid w:val="0"/>
      </w:pPr>
      <w:r>
        <w:rPr>
          <w:i/>
        </w:rPr>
        <w:t>Background.</w:t>
      </w:r>
      <w:r>
        <w:t xml:space="preserve">  </w:t>
      </w:r>
      <w:r w:rsidRPr="009911BA">
        <w:t>Section 27.14(g) of the Commission’s rules requires EA licensees holding authorizations for Block E in the 722-728 MHz bands to provide signal coverage and offer service over at least 35 percent of the geographic area of their license no later than June 13, 2013, or within four years of initial license grant, if the initial authorization is granted after June 13, 2009.</w:t>
      </w:r>
      <w:r w:rsidRPr="009911BA">
        <w:rPr>
          <w:rStyle w:val="FootnoteReference"/>
          <w:sz w:val="22"/>
          <w:szCs w:val="22"/>
        </w:rPr>
        <w:footnoteReference w:id="157"/>
      </w:r>
      <w:r w:rsidRPr="009911BA">
        <w:t xml:space="preserve"> </w:t>
      </w:r>
      <w:r w:rsidR="008507E6">
        <w:rPr>
          <w:lang w:val="en-US"/>
        </w:rPr>
        <w:t xml:space="preserve"> Certain </w:t>
      </w:r>
      <w:r w:rsidRPr="009911BA">
        <w:t xml:space="preserve">E Block licensees in the band, including DISH, </w:t>
      </w:r>
      <w:r w:rsidR="00B25BE3">
        <w:rPr>
          <w:lang w:val="en-US"/>
        </w:rPr>
        <w:t xml:space="preserve">have </w:t>
      </w:r>
      <w:r w:rsidRPr="009911BA">
        <w:t>requested a waiver of 27.14(g) seeking an extension of the interim construction benchmark deadline to at least two years from the current deadline,</w:t>
      </w:r>
      <w:r w:rsidRPr="009911BA">
        <w:rPr>
          <w:rStyle w:val="FootnoteReference"/>
          <w:kern w:val="0"/>
          <w:sz w:val="22"/>
          <w:szCs w:val="22"/>
        </w:rPr>
        <w:footnoteReference w:id="158"/>
      </w:r>
      <w:r w:rsidRPr="009911BA">
        <w:t xml:space="preserve"> stating they have faced challenges related to equipment availability and uncertainty created by the </w:t>
      </w:r>
      <w:r w:rsidRPr="009911BA">
        <w:rPr>
          <w:i/>
        </w:rPr>
        <w:t>Interoperability NPRM,</w:t>
      </w:r>
      <w:r w:rsidRPr="009911BA">
        <w:rPr>
          <w:rStyle w:val="FootnoteReference"/>
          <w:kern w:val="0"/>
          <w:sz w:val="22"/>
          <w:szCs w:val="22"/>
        </w:rPr>
        <w:footnoteReference w:id="159"/>
      </w:r>
      <w:r w:rsidRPr="009911BA">
        <w:rPr>
          <w:i/>
        </w:rPr>
        <w:t xml:space="preserve"> </w:t>
      </w:r>
      <w:r w:rsidRPr="009911BA">
        <w:t>including the possibility that the Commission may “dramatically reduce maximum operation power in the Lower 700 MHz E Block.”</w:t>
      </w:r>
      <w:r w:rsidRPr="009911BA">
        <w:rPr>
          <w:rStyle w:val="FootnoteReference"/>
          <w:kern w:val="0"/>
          <w:sz w:val="22"/>
          <w:szCs w:val="22"/>
        </w:rPr>
        <w:footnoteReference w:id="160"/>
      </w:r>
      <w:r w:rsidRPr="009911BA">
        <w:t xml:space="preserve">  As discussed above, DISH outlined </w:t>
      </w:r>
      <w:r>
        <w:t>its proposal</w:t>
      </w:r>
      <w:r w:rsidRPr="009911BA">
        <w:t xml:space="preserve"> to address interference concerns regarding high-powered operations in the E Block spectrum, contingent on certain Commission actions, including extending relief regarding its Lower 700 MHz E Block buildout requirements.</w:t>
      </w:r>
      <w:r w:rsidRPr="009911BA">
        <w:rPr>
          <w:rStyle w:val="FootnoteReference"/>
          <w:sz w:val="22"/>
          <w:szCs w:val="22"/>
        </w:rPr>
        <w:footnoteReference w:id="161"/>
      </w:r>
    </w:p>
    <w:p w:rsidR="002969FA" w:rsidRDefault="002969FA" w:rsidP="00D03910">
      <w:pPr>
        <w:pStyle w:val="ParaNum"/>
        <w:keepNext/>
        <w:widowControl/>
        <w:snapToGrid w:val="0"/>
      </w:pPr>
      <w:r>
        <w:rPr>
          <w:i/>
        </w:rPr>
        <w:t>Discussion.</w:t>
      </w:r>
      <w:r>
        <w:t xml:space="preserve">  </w:t>
      </w:r>
      <w:r w:rsidRPr="009911BA">
        <w:t xml:space="preserve">Today we adopt technical rule changes affecting all Lower 700 MHz E Block licensees to reduce potential interference and facilitate interoperability in the 700 MHz band, and in order to more fully implement the voluntary industry solution, including DISH’s commitment, we </w:t>
      </w:r>
      <w:r w:rsidR="00A036D7">
        <w:rPr>
          <w:lang w:val="en-US"/>
        </w:rPr>
        <w:t xml:space="preserve">find </w:t>
      </w:r>
      <w:r w:rsidRPr="009911BA">
        <w:t>it is in the public interest to provide the same regulatory flexibility to all E Block licensees to promote rapid deployment of mobile broadband services.  Accordingly, we take various actions discussed below.</w:t>
      </w:r>
      <w:r w:rsidRPr="005E13C0">
        <w:rPr>
          <w:rStyle w:val="FootnoteReference"/>
          <w:sz w:val="22"/>
          <w:szCs w:val="22"/>
        </w:rPr>
        <w:footnoteReference w:id="162"/>
      </w:r>
      <w:r>
        <w:rPr>
          <w:rStyle w:val="FootnoteReference"/>
          <w:sz w:val="22"/>
          <w:szCs w:val="22"/>
          <w:vertAlign w:val="baseline"/>
        </w:rPr>
        <w:t xml:space="preserve">  </w:t>
      </w:r>
      <w:r w:rsidRPr="009911BA">
        <w:t xml:space="preserve">We grant the requests for extension of time </w:t>
      </w:r>
      <w:r w:rsidR="00D14FDA">
        <w:t xml:space="preserve">or waiver regarding 700 MHz E </w:t>
      </w:r>
      <w:r w:rsidR="00D14FDA">
        <w:rPr>
          <w:lang w:val="en-US"/>
        </w:rPr>
        <w:t>B</w:t>
      </w:r>
      <w:r w:rsidRPr="009911BA">
        <w:t>lock licenses filed by DISH and Kurian only to the extent discussed herein and extend relief to all active Lower 700 MHz band E Block licensees regarding certain buildout requirements.  We also provide additional relief on our own motion to all active Lower E Block licensees as discussed below to facilitate implementation of the industry solution.</w:t>
      </w:r>
      <w:r w:rsidR="007402A7">
        <w:rPr>
          <w:rStyle w:val="FootnoteReference"/>
        </w:rPr>
        <w:footnoteReference w:id="163"/>
      </w:r>
      <w:r w:rsidRPr="009911BA">
        <w:t xml:space="preserve">  Specifically, for all active Lower 700 MHz E Block licensees, we extend the interim construction benchmark deadline in Section 27.14(g) until March 7, 2017 and the end-of-term construction benchmark deadline in Section 27.14(g) until March 7, 2021.  This additional time will afford licensees a sufficient opportunity to adjust their business plans in light of the technical changes to the band and also provide valuable services to the public in the near term.  We also waive the ten-year license period set forth in Section 27.13(b) and extend the license term for all active Lower 700 MHz E Block licensees until March 7, 2021.</w:t>
      </w:r>
      <w:r w:rsidRPr="005E13C0">
        <w:rPr>
          <w:rStyle w:val="FootnoteReference"/>
          <w:sz w:val="22"/>
          <w:szCs w:val="22"/>
        </w:rPr>
        <w:footnoteReference w:id="164"/>
      </w:r>
      <w:r w:rsidRPr="005E13C0">
        <w:rPr>
          <w:rStyle w:val="FootnoteReference"/>
          <w:sz w:val="22"/>
          <w:szCs w:val="22"/>
        </w:rPr>
        <w:t xml:space="preserve"> </w:t>
      </w:r>
      <w:r w:rsidRPr="009911BA">
        <w:t xml:space="preserve">   </w:t>
      </w:r>
    </w:p>
    <w:p w:rsidR="002969FA" w:rsidRPr="005633D7" w:rsidRDefault="004B35B6" w:rsidP="00D03910">
      <w:pPr>
        <w:pStyle w:val="ParaNum"/>
        <w:keepNext/>
        <w:widowControl/>
        <w:snapToGrid w:val="0"/>
      </w:pPr>
      <w:r w:rsidRPr="006D7C6F">
        <w:rPr>
          <w:szCs w:val="22"/>
        </w:rPr>
        <w:t xml:space="preserve">We waive section 27.14(g) for all active Lower E Block licensees </w:t>
      </w:r>
      <w:r>
        <w:rPr>
          <w:szCs w:val="22"/>
          <w:lang w:val="en-US"/>
        </w:rPr>
        <w:t>in order to</w:t>
      </w:r>
      <w:r w:rsidRPr="006D7C6F">
        <w:rPr>
          <w:szCs w:val="22"/>
        </w:rPr>
        <w:t xml:space="preserve"> permit them to meet a population-based coverage requirement as an alternative to the geographic-based requirement in Section 27.14(g).</w:t>
      </w:r>
      <w:r w:rsidRPr="005E13C0">
        <w:rPr>
          <w:rStyle w:val="FootnoteReference"/>
          <w:sz w:val="22"/>
          <w:szCs w:val="22"/>
        </w:rPr>
        <w:footnoteReference w:id="165"/>
      </w:r>
      <w:r>
        <w:rPr>
          <w:rStyle w:val="FootnoteReference"/>
          <w:sz w:val="22"/>
          <w:vertAlign w:val="baseline"/>
        </w:rPr>
        <w:t xml:space="preserve"> </w:t>
      </w:r>
      <w:r w:rsidRPr="006D7C6F">
        <w:rPr>
          <w:szCs w:val="22"/>
        </w:rPr>
        <w:t xml:space="preserve"> Specifically, we waive the requirement that Lower 700 MHz band E Block licensees must provide signal coverage and offer service over at least 35 percent of the geographic area to meet the interim construction benchmark deadline and provide signal coverage and provide service over at least 70 percent of the geographic area to meet the end-of-term construction benchmark deadline.</w:t>
      </w:r>
      <w:r w:rsidRPr="005E13C0">
        <w:rPr>
          <w:rStyle w:val="FootnoteReference"/>
          <w:sz w:val="22"/>
          <w:szCs w:val="22"/>
        </w:rPr>
        <w:footnoteReference w:id="166"/>
      </w:r>
      <w:r>
        <w:rPr>
          <w:rStyle w:val="FootnoteReference"/>
          <w:sz w:val="22"/>
          <w:vertAlign w:val="baseline"/>
        </w:rPr>
        <w:t xml:space="preserve"> </w:t>
      </w:r>
      <w:r w:rsidRPr="006D7C6F">
        <w:rPr>
          <w:szCs w:val="22"/>
        </w:rPr>
        <w:t xml:space="preserve"> </w:t>
      </w:r>
      <w:r>
        <w:rPr>
          <w:szCs w:val="22"/>
          <w:lang w:val="en-US"/>
        </w:rPr>
        <w:t>Under this waiver</w:t>
      </w:r>
      <w:r w:rsidRPr="006D7C6F">
        <w:rPr>
          <w:szCs w:val="22"/>
        </w:rPr>
        <w:t xml:space="preserve">, all active Lower 700 MHz band E Block licensees may meet their interim construction benchmark </w:t>
      </w:r>
      <w:r>
        <w:rPr>
          <w:szCs w:val="22"/>
          <w:lang w:val="en-US"/>
        </w:rPr>
        <w:t xml:space="preserve">deadline </w:t>
      </w:r>
      <w:r w:rsidRPr="006D7C6F">
        <w:rPr>
          <w:szCs w:val="22"/>
        </w:rPr>
        <w:t xml:space="preserve">by providing </w:t>
      </w:r>
      <w:r w:rsidRPr="00670101">
        <w:t>signal</w:t>
      </w:r>
      <w:r w:rsidRPr="006D7C6F">
        <w:rPr>
          <w:szCs w:val="22"/>
        </w:rPr>
        <w:t xml:space="preserve"> coverage and offering service to at least 40 percent of </w:t>
      </w:r>
      <w:r>
        <w:rPr>
          <w:szCs w:val="22"/>
          <w:lang w:val="en-US"/>
        </w:rPr>
        <w:t>its total E Block</w:t>
      </w:r>
      <w:r w:rsidRPr="006D7C6F">
        <w:rPr>
          <w:szCs w:val="22"/>
        </w:rPr>
        <w:t xml:space="preserve"> population</w:t>
      </w:r>
      <w:r>
        <w:rPr>
          <w:szCs w:val="22"/>
          <w:lang w:val="en-US"/>
        </w:rPr>
        <w:t>, and a licensee’s total E Block population shall b</w:t>
      </w:r>
      <w:r w:rsidR="00A93CF8">
        <w:rPr>
          <w:szCs w:val="22"/>
          <w:lang w:val="en-US"/>
        </w:rPr>
        <w:t>e</w:t>
      </w:r>
      <w:r>
        <w:rPr>
          <w:szCs w:val="22"/>
          <w:lang w:val="en-US"/>
        </w:rPr>
        <w:t xml:space="preserve"> calculated</w:t>
      </w:r>
      <w:r w:rsidRPr="006D7C6F">
        <w:rPr>
          <w:szCs w:val="22"/>
        </w:rPr>
        <w:t xml:space="preserve"> </w:t>
      </w:r>
      <w:r>
        <w:rPr>
          <w:szCs w:val="22"/>
          <w:lang w:val="en-US"/>
        </w:rPr>
        <w:t>by summing the population of each</w:t>
      </w:r>
      <w:r w:rsidR="00A93CF8">
        <w:rPr>
          <w:szCs w:val="22"/>
          <w:lang w:val="en-US"/>
        </w:rPr>
        <w:t xml:space="preserve"> of</w:t>
      </w:r>
      <w:r>
        <w:rPr>
          <w:szCs w:val="22"/>
          <w:lang w:val="en-US"/>
        </w:rPr>
        <w:t xml:space="preserve"> its license areas in the E Block.  Under this waiver, all active Lower 700 MHz band E Block licensees </w:t>
      </w:r>
      <w:r w:rsidRPr="006D7C6F">
        <w:rPr>
          <w:szCs w:val="22"/>
        </w:rPr>
        <w:t>may meet their end-of</w:t>
      </w:r>
      <w:r w:rsidR="008F64CD">
        <w:rPr>
          <w:szCs w:val="22"/>
          <w:lang w:val="en-US"/>
        </w:rPr>
        <w:t>-</w:t>
      </w:r>
      <w:r w:rsidRPr="006D7C6F">
        <w:rPr>
          <w:szCs w:val="22"/>
        </w:rPr>
        <w:t xml:space="preserve">term construction benchmark </w:t>
      </w:r>
      <w:r>
        <w:rPr>
          <w:szCs w:val="22"/>
          <w:lang w:val="en-US"/>
        </w:rPr>
        <w:t xml:space="preserve">deadline </w:t>
      </w:r>
      <w:r w:rsidRPr="006D7C6F">
        <w:rPr>
          <w:szCs w:val="22"/>
        </w:rPr>
        <w:t>by providing signal coverage to at least 70 percent of the population in each of its license areas.</w:t>
      </w:r>
      <w:r w:rsidRPr="005E13C0">
        <w:rPr>
          <w:rStyle w:val="FootnoteReference"/>
          <w:sz w:val="22"/>
          <w:szCs w:val="22"/>
        </w:rPr>
        <w:footnoteReference w:id="167"/>
      </w:r>
      <w:r w:rsidRPr="005E13C0">
        <w:rPr>
          <w:rStyle w:val="FootnoteReference"/>
          <w:sz w:val="22"/>
          <w:vertAlign w:val="baseline"/>
        </w:rPr>
        <w:t xml:space="preserve"> </w:t>
      </w:r>
      <w:r>
        <w:rPr>
          <w:szCs w:val="22"/>
        </w:rPr>
        <w:t xml:space="preserve"> </w:t>
      </w:r>
      <w:r w:rsidRPr="006D7C6F">
        <w:rPr>
          <w:szCs w:val="22"/>
        </w:rPr>
        <w:t>When filing a notification of construction pursuant to section 1.946(d),</w:t>
      </w:r>
      <w:r w:rsidRPr="005E13C0">
        <w:rPr>
          <w:rStyle w:val="FootnoteReference"/>
          <w:sz w:val="22"/>
          <w:szCs w:val="22"/>
        </w:rPr>
        <w:footnoteReference w:id="168"/>
      </w:r>
      <w:r>
        <w:rPr>
          <w:rStyle w:val="FootnoteReference"/>
          <w:sz w:val="22"/>
          <w:vertAlign w:val="baseline"/>
        </w:rPr>
        <w:t xml:space="preserve"> </w:t>
      </w:r>
      <w:r w:rsidRPr="006D7C6F">
        <w:rPr>
          <w:szCs w:val="22"/>
        </w:rPr>
        <w:t>licensees must state whether they are using the population-based performance benchmark or the geographic-based performance benchmark to meet the respective interi</w:t>
      </w:r>
      <w:r>
        <w:rPr>
          <w:szCs w:val="22"/>
        </w:rPr>
        <w:t>m and end-of-term requirements.</w:t>
      </w:r>
    </w:p>
    <w:p w:rsidR="00C06036" w:rsidRPr="006D7C6F" w:rsidRDefault="00C06036" w:rsidP="00D03910">
      <w:pPr>
        <w:pStyle w:val="ParaNum"/>
        <w:keepNext/>
        <w:widowControl/>
        <w:snapToGrid w:val="0"/>
      </w:pPr>
      <w:r>
        <w:rPr>
          <w:lang w:val="en-US"/>
        </w:rPr>
        <w:t>We also waive section 27.14(g)(1) to the extent necessary and, accordingly</w:t>
      </w:r>
      <w:r w:rsidR="00730090">
        <w:rPr>
          <w:lang w:val="en-US"/>
        </w:rPr>
        <w:t>,</w:t>
      </w:r>
      <w:r>
        <w:rPr>
          <w:lang w:val="en-US"/>
        </w:rPr>
        <w:t xml:space="preserve"> provide that</w:t>
      </w:r>
      <w:r w:rsidR="00E74CCF">
        <w:rPr>
          <w:lang w:val="en-US"/>
        </w:rPr>
        <w:t>, depending on the elected benchmark,</w:t>
      </w:r>
      <w:r>
        <w:rPr>
          <w:lang w:val="en-US"/>
        </w:rPr>
        <w:t xml:space="preserve"> in the event a Lower 700 MHz E Block </w:t>
      </w:r>
      <w:r w:rsidR="00C96946">
        <w:rPr>
          <w:lang w:val="en-US"/>
        </w:rPr>
        <w:t xml:space="preserve">licensee </w:t>
      </w:r>
      <w:r>
        <w:t xml:space="preserve">fails </w:t>
      </w:r>
      <w:r w:rsidR="00E74CCF">
        <w:rPr>
          <w:lang w:val="en-US"/>
        </w:rPr>
        <w:t xml:space="preserve">(a) </w:t>
      </w:r>
      <w:r>
        <w:t xml:space="preserve">to provide signal coverage and offer service to either 40 percent of </w:t>
      </w:r>
      <w:r w:rsidR="005B5EEF">
        <w:rPr>
          <w:lang w:val="en-US"/>
        </w:rPr>
        <w:t>its total E Block</w:t>
      </w:r>
      <w:r>
        <w:t xml:space="preserve"> population or </w:t>
      </w:r>
      <w:r w:rsidR="00E74CCF">
        <w:rPr>
          <w:lang w:val="en-US"/>
        </w:rPr>
        <w:t xml:space="preserve">(b) </w:t>
      </w:r>
      <w:r>
        <w:t xml:space="preserve">provide signal coverage or offer service over at least 35 percent of the geographic area by March 7, 2017, </w:t>
      </w:r>
      <w:r w:rsidR="00E74CCF">
        <w:rPr>
          <w:lang w:val="en-US"/>
        </w:rPr>
        <w:t xml:space="preserve">respectively, </w:t>
      </w:r>
      <w:r>
        <w:t xml:space="preserve">the term of </w:t>
      </w:r>
      <w:r w:rsidR="00E74CCF">
        <w:rPr>
          <w:lang w:val="en-US"/>
        </w:rPr>
        <w:t xml:space="preserve">all the </w:t>
      </w:r>
      <w:r>
        <w:t xml:space="preserve">that license authorization </w:t>
      </w:r>
      <w:r w:rsidR="00E74CCF">
        <w:rPr>
          <w:lang w:val="en-US"/>
        </w:rPr>
        <w:t>(in case of (a)) or each deficient license (in case of (b)</w:t>
      </w:r>
      <w:r w:rsidR="006C2D42">
        <w:rPr>
          <w:lang w:val="en-US"/>
        </w:rPr>
        <w:t>)</w:t>
      </w:r>
      <w:r w:rsidR="00E74CCF">
        <w:rPr>
          <w:lang w:val="en-US"/>
        </w:rPr>
        <w:t xml:space="preserve"> </w:t>
      </w:r>
      <w:r>
        <w:t>will be reduced by one year</w:t>
      </w:r>
      <w:r>
        <w:rPr>
          <w:lang w:val="en-US"/>
        </w:rPr>
        <w:t>.</w:t>
      </w:r>
      <w:r w:rsidRPr="007749C7">
        <w:rPr>
          <w:rStyle w:val="FootnoteReference"/>
          <w:szCs w:val="22"/>
        </w:rPr>
        <w:t xml:space="preserve"> </w:t>
      </w:r>
      <w:r>
        <w:rPr>
          <w:rStyle w:val="FootnoteReference"/>
          <w:szCs w:val="22"/>
        </w:rPr>
        <w:footnoteReference w:id="169"/>
      </w:r>
    </w:p>
    <w:p w:rsidR="002969FA" w:rsidRPr="006D7C6F" w:rsidRDefault="002969FA" w:rsidP="00D03910">
      <w:pPr>
        <w:pStyle w:val="ParaNum"/>
        <w:keepNext/>
        <w:widowControl/>
        <w:snapToGrid w:val="0"/>
      </w:pPr>
      <w:r w:rsidRPr="006D7C6F">
        <w:rPr>
          <w:szCs w:val="22"/>
        </w:rPr>
        <w:t>Finally, we grant a limited waiver of Section 27.14(l) to extend the deadline until March 7, 2019, for the filing of the required second status report regarding the licensees’ efforts to meet the performance requirements applicable to their authorizations in their respective spectrum bands and the manner in which that spectrum is being utilized.</w:t>
      </w:r>
      <w:r w:rsidRPr="007D2F4E">
        <w:rPr>
          <w:szCs w:val="22"/>
          <w:vertAlign w:val="superscript"/>
        </w:rPr>
        <w:footnoteReference w:id="170"/>
      </w:r>
      <w:r w:rsidR="007402A7">
        <w:rPr>
          <w:szCs w:val="22"/>
          <w:lang w:val="en-US"/>
        </w:rPr>
        <w:t xml:space="preserve">  </w:t>
      </w:r>
    </w:p>
    <w:p w:rsidR="002969FA" w:rsidRPr="00F34F14" w:rsidRDefault="002969FA" w:rsidP="00D03910">
      <w:pPr>
        <w:pStyle w:val="Heading3"/>
        <w:widowControl/>
      </w:pPr>
      <w:bookmarkStart w:id="459" w:name="_Toc366766679"/>
      <w:bookmarkStart w:id="460" w:name="_Toc366771506"/>
      <w:bookmarkStart w:id="461" w:name="_Toc367201511"/>
      <w:bookmarkStart w:id="462" w:name="_Toc367297836"/>
      <w:bookmarkStart w:id="463" w:name="_Toc367384486"/>
      <w:bookmarkStart w:id="464" w:name="_Toc367385271"/>
      <w:bookmarkStart w:id="465" w:name="_Toc367463249"/>
      <w:bookmarkStart w:id="466" w:name="_Toc367715581"/>
      <w:bookmarkStart w:id="467" w:name="_Toc367975869"/>
      <w:bookmarkStart w:id="468" w:name="_Toc367978242"/>
      <w:bookmarkStart w:id="469" w:name="_Toc368049354"/>
      <w:bookmarkStart w:id="470" w:name="_Toc370401672"/>
      <w:r>
        <w:t>Interim Construction Deadlines for A and B Block Licenses</w:t>
      </w:r>
      <w:bookmarkEnd w:id="459"/>
      <w:bookmarkEnd w:id="460"/>
      <w:bookmarkEnd w:id="461"/>
      <w:bookmarkEnd w:id="462"/>
      <w:bookmarkEnd w:id="463"/>
      <w:bookmarkEnd w:id="464"/>
      <w:bookmarkEnd w:id="465"/>
      <w:bookmarkEnd w:id="466"/>
      <w:bookmarkEnd w:id="467"/>
      <w:bookmarkEnd w:id="468"/>
      <w:bookmarkEnd w:id="469"/>
      <w:bookmarkEnd w:id="470"/>
    </w:p>
    <w:p w:rsidR="002969FA" w:rsidRDefault="002969FA" w:rsidP="00D03910">
      <w:pPr>
        <w:pStyle w:val="ParaNum"/>
        <w:keepNext/>
        <w:widowControl/>
        <w:snapToGrid w:val="0"/>
      </w:pPr>
      <w:r>
        <w:rPr>
          <w:i/>
        </w:rPr>
        <w:t>Background</w:t>
      </w:r>
      <w:r>
        <w:t>.  As noted above, the Commission adopted performance requirements for the 700 MHz band to promote commercial access to the spectrum that require licensees to provide specified levels of service and certain consequences for failing to meet those requirements within prescribed timeframes.</w:t>
      </w:r>
      <w:r>
        <w:rPr>
          <w:rStyle w:val="FootnoteReference"/>
        </w:rPr>
        <w:footnoteReference w:id="171"/>
      </w:r>
      <w:r>
        <w:t xml:space="preserve">  For licensees that fail to meet the applicable interim benchmark, the license term is reduced by two years, which would require that the end-of-term benchmark be met within eight years, and the Commission may take other enforcement action.</w:t>
      </w:r>
      <w:r>
        <w:rPr>
          <w:rStyle w:val="FootnoteReference"/>
        </w:rPr>
        <w:footnoteReference w:id="172"/>
      </w:r>
      <w:r>
        <w:t xml:space="preserve">  At the end of the license term, licensees that fail to meet the end-of-term benchmark are subject to a “keep what you use” rule, which will make unused spectrum available to other potential users.</w:t>
      </w:r>
      <w:r>
        <w:rPr>
          <w:rStyle w:val="FootnoteReference"/>
        </w:rPr>
        <w:footnoteReference w:id="173"/>
      </w:r>
    </w:p>
    <w:p w:rsidR="002969FA" w:rsidRDefault="002969FA" w:rsidP="00D03910">
      <w:pPr>
        <w:pStyle w:val="ParaNum"/>
        <w:keepNext/>
        <w:widowControl/>
        <w:snapToGrid w:val="0"/>
      </w:pPr>
      <w:r>
        <w:t xml:space="preserve">We take the opportunity in this </w:t>
      </w:r>
      <w:r w:rsidRPr="001B230C">
        <w:t>Report and Order</w:t>
      </w:r>
      <w:r w:rsidR="00B25BE3">
        <w:rPr>
          <w:lang w:val="en-US"/>
        </w:rPr>
        <w:t xml:space="preserve"> and Order of Proposed Modi</w:t>
      </w:r>
      <w:r w:rsidR="007C028E">
        <w:rPr>
          <w:lang w:val="en-US"/>
        </w:rPr>
        <w:t>fi</w:t>
      </w:r>
      <w:r w:rsidR="00B25BE3">
        <w:rPr>
          <w:lang w:val="en-US"/>
        </w:rPr>
        <w:t>cation</w:t>
      </w:r>
      <w:r w:rsidRPr="00F34F14">
        <w:rPr>
          <w:i/>
        </w:rPr>
        <w:t xml:space="preserve"> </w:t>
      </w:r>
      <w:r>
        <w:t>to address the requests for waiver and extension of the interim construction benchmark deadline filed individually by Lower 700 MHz band A and B Block licensees, which the Wireless Telecommunications Bureau placed on public notice in a separate docket.</w:t>
      </w:r>
      <w:r>
        <w:rPr>
          <w:rStyle w:val="FootnoteReference"/>
        </w:rPr>
        <w:footnoteReference w:id="174"/>
      </w:r>
      <w:r>
        <w:t xml:space="preserve">  We also recognize that the issues raised in this proceeding may substantially affect Lower 700 MHz band licensees that have not specifically sought an extension of the interim construction benchmark deadline.  </w:t>
      </w:r>
      <w:r w:rsidRPr="00F34F14">
        <w:rPr>
          <w:kern w:val="0"/>
          <w:szCs w:val="22"/>
        </w:rPr>
        <w:t xml:space="preserve">In light of </w:t>
      </w:r>
      <w:r w:rsidRPr="00670101">
        <w:t>today’s</w:t>
      </w:r>
      <w:r w:rsidRPr="00F34F14">
        <w:rPr>
          <w:kern w:val="0"/>
          <w:szCs w:val="22"/>
        </w:rPr>
        <w:t xml:space="preserve"> action reducing permissible ERP levels for D and E Blocks and voluntary industry commitments </w:t>
      </w:r>
      <w:r>
        <w:rPr>
          <w:kern w:val="0"/>
          <w:szCs w:val="22"/>
        </w:rPr>
        <w:t xml:space="preserve">on the record to promote </w:t>
      </w:r>
      <w:r w:rsidRPr="00F34F14">
        <w:rPr>
          <w:kern w:val="0"/>
          <w:szCs w:val="22"/>
        </w:rPr>
        <w:t>interoperability,</w:t>
      </w:r>
      <w:r>
        <w:rPr>
          <w:rStyle w:val="FootnoteReference"/>
          <w:kern w:val="0"/>
          <w:szCs w:val="22"/>
        </w:rPr>
        <w:footnoteReference w:id="175"/>
      </w:r>
      <w:r w:rsidRPr="00F34F14">
        <w:rPr>
          <w:kern w:val="0"/>
          <w:szCs w:val="22"/>
        </w:rPr>
        <w:t xml:space="preserve"> we extend the interim construction benchmark deadline for all active 700 MHz band Lower A and B Block licensees until </w:t>
      </w:r>
      <w:r w:rsidR="00A036D7">
        <w:rPr>
          <w:kern w:val="0"/>
          <w:szCs w:val="22"/>
          <w:lang w:val="en-US"/>
        </w:rPr>
        <w:t>December</w:t>
      </w:r>
      <w:r w:rsidR="007402A7">
        <w:rPr>
          <w:kern w:val="0"/>
          <w:szCs w:val="22"/>
          <w:lang w:val="en-US"/>
        </w:rPr>
        <w:t xml:space="preserve"> 1</w:t>
      </w:r>
      <w:r w:rsidR="00BB2D4E">
        <w:rPr>
          <w:kern w:val="0"/>
          <w:szCs w:val="22"/>
          <w:lang w:val="en-US"/>
        </w:rPr>
        <w:t>3</w:t>
      </w:r>
      <w:r w:rsidRPr="00F34F14">
        <w:rPr>
          <w:kern w:val="0"/>
          <w:szCs w:val="22"/>
        </w:rPr>
        <w:t>, 2016, and issue a waiver of the interim construction benchmark deadline for certain Lower 700 MHz A Block licensees as described below.</w:t>
      </w:r>
      <w:r>
        <w:rPr>
          <w:rStyle w:val="FootnoteReference"/>
        </w:rPr>
        <w:footnoteReference w:id="176"/>
      </w:r>
      <w:r w:rsidRPr="00F34F14">
        <w:rPr>
          <w:kern w:val="0"/>
          <w:szCs w:val="22"/>
        </w:rPr>
        <w:t xml:space="preserve">  </w:t>
      </w:r>
    </w:p>
    <w:p w:rsidR="008E7C29" w:rsidRDefault="002969FA" w:rsidP="00D03910">
      <w:pPr>
        <w:pStyle w:val="ParaNum"/>
        <w:keepNext/>
        <w:widowControl/>
        <w:snapToGrid w:val="0"/>
      </w:pPr>
      <w:r>
        <w:t>Specifically, as their interim construction benchmark deadlines approached, a number of Lower 700 MHz band A and B Block licensees requested a waiver of Section 27.14(g) of the rules</w:t>
      </w:r>
      <w:r>
        <w:rPr>
          <w:rStyle w:val="FootnoteReference"/>
        </w:rPr>
        <w:footnoteReference w:id="177"/>
      </w:r>
      <w:r>
        <w:t xml:space="preserve"> to provide for an extension of at least two years from the applicable interim construction deadlines.</w:t>
      </w:r>
      <w:r>
        <w:rPr>
          <w:rStyle w:val="FootnoteReference"/>
        </w:rPr>
        <w:footnoteReference w:id="178"/>
      </w:r>
      <w:r>
        <w:t xml:space="preserve">  These licensees generally claimed that an extension or a waiver is warranted for reasons including a lack of interoperability in the 700 MHz band.</w:t>
      </w:r>
      <w:r>
        <w:rPr>
          <w:rStyle w:val="FootnoteReference"/>
        </w:rPr>
        <w:footnoteReference w:id="179"/>
      </w:r>
      <w:r>
        <w:t xml:space="preserve">  Some of the licensees claimed an extension was warranted because of issues regarding protection of TV Channel 51 stations, and some licensees claimed that high power Lower 700 MHz band E Block operations have affected their ability to meet the deadline.</w:t>
      </w:r>
      <w:r>
        <w:rPr>
          <w:rStyle w:val="FootnoteReference"/>
        </w:rPr>
        <w:footnoteReference w:id="180"/>
      </w:r>
      <w:r>
        <w:t xml:space="preserve">  </w:t>
      </w:r>
    </w:p>
    <w:p w:rsidR="002969FA" w:rsidRDefault="002969FA" w:rsidP="00D03910">
      <w:pPr>
        <w:pStyle w:val="ParaNum"/>
        <w:keepNext/>
        <w:widowControl/>
        <w:snapToGrid w:val="0"/>
      </w:pPr>
      <w:r>
        <w:t>As discussed above, on September 10, 2013, DISH filed a letter stating that it will consent to an ERP reduction of its base stations for its Lower 700 MHz band E Block licenses.</w:t>
      </w:r>
      <w:r>
        <w:rPr>
          <w:rStyle w:val="FootnoteReference"/>
        </w:rPr>
        <w:footnoteReference w:id="181"/>
      </w:r>
      <w:r>
        <w:t xml:space="preserve">  AT&amp;T also filed a letter on September 10, 2013, stating that it is committed to supporting interoperability in the Lower 700 MHz band, conditioned on final resolution of the E Block interference issue.</w:t>
      </w:r>
      <w:r>
        <w:rPr>
          <w:rStyle w:val="FootnoteReference"/>
        </w:rPr>
        <w:footnoteReference w:id="182"/>
      </w:r>
      <w:r>
        <w:t xml:space="preserve">  As outlined above, AT&amp;T provided a number of commitments to achieve this goal including a staggered rollout period during which AT&amp;T will introduce Band Class 12 capable devices into its device portfolio.</w:t>
      </w:r>
      <w:r>
        <w:rPr>
          <w:rStyle w:val="FootnoteReference"/>
        </w:rPr>
        <w:footnoteReference w:id="183"/>
      </w:r>
      <w:r>
        <w:t xml:space="preserve"> </w:t>
      </w:r>
    </w:p>
    <w:p w:rsidR="002969FA" w:rsidRDefault="002969FA" w:rsidP="00D03910">
      <w:pPr>
        <w:pStyle w:val="ParaNum"/>
        <w:keepNext/>
        <w:widowControl/>
        <w:snapToGrid w:val="0"/>
      </w:pPr>
      <w:r w:rsidRPr="00F34F14">
        <w:rPr>
          <w:i/>
          <w:kern w:val="0"/>
          <w:szCs w:val="22"/>
        </w:rPr>
        <w:t>Discussion</w:t>
      </w:r>
      <w:r w:rsidRPr="00F34F14">
        <w:rPr>
          <w:kern w:val="0"/>
          <w:szCs w:val="22"/>
        </w:rPr>
        <w:t>.  In the extension requests, licensees claim that</w:t>
      </w:r>
      <w:r w:rsidR="00B25BE3">
        <w:rPr>
          <w:kern w:val="0"/>
          <w:szCs w:val="22"/>
          <w:lang w:val="en-US"/>
        </w:rPr>
        <w:t>,</w:t>
      </w:r>
      <w:r w:rsidRPr="00F34F14">
        <w:rPr>
          <w:kern w:val="0"/>
          <w:szCs w:val="22"/>
        </w:rPr>
        <w:t xml:space="preserve"> due to a lack of available devices, they are unable to offer compelling or competitive advanced mobile services to potential customers and therefore building out such a network by the current interim deadline is not economically viable.</w:t>
      </w:r>
      <w:r>
        <w:rPr>
          <w:vertAlign w:val="superscript"/>
        </w:rPr>
        <w:footnoteReference w:id="184"/>
      </w:r>
      <w:r w:rsidRPr="00F34F14">
        <w:rPr>
          <w:kern w:val="0"/>
          <w:szCs w:val="22"/>
        </w:rPr>
        <w:t xml:space="preserve">  Further, licensees state that the “</w:t>
      </w:r>
      <w:r>
        <w:t>fragmentation</w:t>
      </w:r>
      <w:r w:rsidRPr="00F34F14">
        <w:rPr>
          <w:kern w:val="0"/>
          <w:szCs w:val="22"/>
        </w:rPr>
        <w:t xml:space="preserve"> of the Lower 700 MHz band was unforeseen,” making the situation “unique and unusual.”</w:t>
      </w:r>
      <w:r>
        <w:rPr>
          <w:vertAlign w:val="superscript"/>
        </w:rPr>
        <w:footnoteReference w:id="185"/>
      </w:r>
      <w:r w:rsidRPr="00F34F14">
        <w:rPr>
          <w:kern w:val="0"/>
          <w:szCs w:val="22"/>
        </w:rPr>
        <w:t xml:space="preserve">  We </w:t>
      </w:r>
      <w:r w:rsidR="00A036D7">
        <w:rPr>
          <w:kern w:val="0"/>
          <w:szCs w:val="22"/>
          <w:lang w:val="en-US"/>
        </w:rPr>
        <w:t>find</w:t>
      </w:r>
      <w:r w:rsidRPr="00F34F14">
        <w:rPr>
          <w:kern w:val="0"/>
          <w:szCs w:val="22"/>
        </w:rPr>
        <w:t xml:space="preserve"> that today’s decision, in conjunction with the voluntary industry commitments on the record, addresses these con</w:t>
      </w:r>
      <w:r w:rsidR="00977762">
        <w:rPr>
          <w:kern w:val="0"/>
          <w:szCs w:val="22"/>
        </w:rPr>
        <w:t>cerns and will facilitate</w:t>
      </w:r>
      <w:r w:rsidRPr="00F34F14">
        <w:rPr>
          <w:kern w:val="0"/>
          <w:szCs w:val="22"/>
        </w:rPr>
        <w:t xml:space="preserve"> interoperability and promote rapid </w:t>
      </w:r>
      <w:r w:rsidRPr="00670101">
        <w:t>deployment</w:t>
      </w:r>
      <w:r w:rsidRPr="00F34F14">
        <w:rPr>
          <w:kern w:val="0"/>
          <w:szCs w:val="22"/>
        </w:rPr>
        <w:t xml:space="preserve"> of advanced mobile services for consumers.  The vast majority of licensees seek an extension of the interim construction benchmark deadline until two years after the Commission concludes the interoperability rulemaking proceeding.</w:t>
      </w:r>
      <w:r>
        <w:rPr>
          <w:rStyle w:val="FootnoteReference"/>
          <w:kern w:val="0"/>
          <w:szCs w:val="22"/>
        </w:rPr>
        <w:footnoteReference w:id="186"/>
      </w:r>
      <w:r w:rsidRPr="00F34F14">
        <w:rPr>
          <w:kern w:val="0"/>
          <w:szCs w:val="22"/>
        </w:rPr>
        <w:t xml:space="preserve">  Taking into account today’s action and the timeline specified by AT&amp;T for roll-out of Band Class 12 capable devices, we </w:t>
      </w:r>
      <w:r w:rsidR="00A036D7">
        <w:rPr>
          <w:kern w:val="0"/>
          <w:szCs w:val="22"/>
          <w:lang w:val="en-US"/>
        </w:rPr>
        <w:t>find</w:t>
      </w:r>
      <w:r w:rsidRPr="00F34F14">
        <w:rPr>
          <w:kern w:val="0"/>
          <w:szCs w:val="22"/>
        </w:rPr>
        <w:t xml:space="preserve"> that an extension until </w:t>
      </w:r>
      <w:r w:rsidR="00A036D7">
        <w:rPr>
          <w:kern w:val="0"/>
          <w:szCs w:val="22"/>
          <w:lang w:val="en-US"/>
        </w:rPr>
        <w:t xml:space="preserve">December </w:t>
      </w:r>
      <w:r w:rsidR="007402A7">
        <w:rPr>
          <w:kern w:val="0"/>
          <w:szCs w:val="22"/>
          <w:lang w:val="en-US"/>
        </w:rPr>
        <w:t>1</w:t>
      </w:r>
      <w:r w:rsidR="00BB2D4E">
        <w:rPr>
          <w:kern w:val="0"/>
          <w:szCs w:val="22"/>
          <w:lang w:val="en-US"/>
        </w:rPr>
        <w:t>3</w:t>
      </w:r>
      <w:r w:rsidRPr="00F34F14">
        <w:rPr>
          <w:kern w:val="0"/>
          <w:szCs w:val="22"/>
        </w:rPr>
        <w:t>, 2016 will allow licensees to make appropriate business decisions regarding build-out and to meet the interim construction benchmark deadline.</w:t>
      </w:r>
      <w:r w:rsidRPr="00F34F14">
        <w:rPr>
          <w:i/>
          <w:kern w:val="0"/>
          <w:szCs w:val="22"/>
        </w:rPr>
        <w:t xml:space="preserve">  </w:t>
      </w:r>
      <w:r w:rsidRPr="00F34F14">
        <w:rPr>
          <w:kern w:val="0"/>
          <w:szCs w:val="22"/>
        </w:rPr>
        <w:t xml:space="preserve">We therefore </w:t>
      </w:r>
      <w:r>
        <w:t>extend the interim construction benchmark deadline in Section 27.14(g)</w:t>
      </w:r>
      <w:r>
        <w:rPr>
          <w:rStyle w:val="FootnoteReference"/>
        </w:rPr>
        <w:footnoteReference w:id="187"/>
      </w:r>
      <w:r>
        <w:t xml:space="preserve"> until </w:t>
      </w:r>
      <w:r w:rsidR="00A036D7">
        <w:rPr>
          <w:lang w:val="en-US"/>
        </w:rPr>
        <w:t xml:space="preserve">December </w:t>
      </w:r>
      <w:r w:rsidR="007402A7">
        <w:rPr>
          <w:lang w:val="en-US"/>
        </w:rPr>
        <w:t>1</w:t>
      </w:r>
      <w:r w:rsidR="00BB2D4E">
        <w:rPr>
          <w:lang w:val="en-US"/>
        </w:rPr>
        <w:t>3</w:t>
      </w:r>
      <w:r>
        <w:t>, 2016 for all active Lower 700 MHz band A and B Block licensees, with certain exceptions described below.</w:t>
      </w:r>
    </w:p>
    <w:p w:rsidR="002969FA" w:rsidRDefault="002969FA" w:rsidP="00D03910">
      <w:pPr>
        <w:pStyle w:val="ParaNum"/>
        <w:keepNext/>
        <w:widowControl/>
        <w:snapToGrid w:val="0"/>
      </w:pPr>
      <w:r>
        <w:t>We find it in the public interest to waive the interim construction benchmark deadline for certain Lower 700 MHz A Block licensees that must limit their deployments in order to protect incumbent Channel 51 operations.</w:t>
      </w:r>
      <w:r>
        <w:rPr>
          <w:vertAlign w:val="superscript"/>
        </w:rPr>
        <w:footnoteReference w:id="188"/>
      </w:r>
      <w:r>
        <w:t xml:space="preserve">  Pursuant to Section 27.60, Lower 700 MHz band A Block licensees must provide interference protection to existing U.S. full power DTV and Class A stations</w:t>
      </w:r>
      <w:r>
        <w:rPr>
          <w:vertAlign w:val="superscript"/>
        </w:rPr>
        <w:footnoteReference w:id="189"/>
      </w:r>
      <w:r>
        <w:t xml:space="preserve"> operating in the adjacent Channel 51</w:t>
      </w:r>
      <w:r w:rsidRPr="00F34F14">
        <w:rPr>
          <w:b/>
        </w:rPr>
        <w:t xml:space="preserve"> </w:t>
      </w:r>
      <w:r>
        <w:t>by maintaining a minimum distance separation (from base station to TV transmitter) of as much as 108 km.</w:t>
      </w:r>
      <w:r>
        <w:rPr>
          <w:vertAlign w:val="superscript"/>
        </w:rPr>
        <w:footnoteReference w:id="190"/>
      </w:r>
      <w:r>
        <w:t xml:space="preserve">  Further, Section 27.60 specifies a minimum distance separation of 96.5 km between mobile units operating on the A Block adjacent to Channel 51 broadcast stations.</w:t>
      </w:r>
      <w:r>
        <w:rPr>
          <w:rStyle w:val="FootnoteReference"/>
        </w:rPr>
        <w:footnoteReference w:id="191"/>
      </w:r>
      <w:r>
        <w:t xml:space="preserve">  A substantial number of Lower 700 MHz A Block licensees argue in requests for extension of the interim construction benchmark deadline that Channel 51 broadcasters have been unwilling to negotiate consent or relocation agreements in advance of the impending incentive auction, leaving affected licensees with no reasonable alternative for providing service to certain areas of their markets before the interim deadline.</w:t>
      </w:r>
      <w:r>
        <w:rPr>
          <w:vertAlign w:val="superscript"/>
        </w:rPr>
        <w:footnoteReference w:id="192"/>
      </w:r>
      <w:r>
        <w:t xml:space="preserve">  Based on the record, we find that, although interoperability is likely to facilitate the provision of service by many licensees with Channel 51 broadcast stations in their license areas, relief from the particular interim construction benchmark deadline is warranted in certain circumstances.  We therefore waive, on our own motion, the interim construction benchmark deadline of Section 27.14(g) for each Lower 700 MHz band A Block licensee where a 108 km radius around a Channel 51 transmitter overlaps at least a portion of the license’s market area (“overlap”) and either: (1) 30 percent or more of the geographic license area is within that overlap; or (2) less than 30 percent of the geographic license area is within that overlap but more than two-thirds of the population is within that overlap.</w:t>
      </w:r>
      <w:r w:rsidRPr="00F34F14">
        <w:rPr>
          <w:rFonts w:eastAsia="Calibri"/>
          <w:kern w:val="0"/>
          <w:szCs w:val="22"/>
          <w:vertAlign w:val="superscript"/>
        </w:rPr>
        <w:t xml:space="preserve"> </w:t>
      </w:r>
      <w:r>
        <w:rPr>
          <w:vertAlign w:val="superscript"/>
        </w:rPr>
        <w:footnoteReference w:id="193"/>
      </w:r>
      <w:r>
        <w:t xml:space="preserve">  We find that such relief is necessary because these licensees either face siting restrictions in a substantial portion of their license areas, or a majority of the market’s population is in an area of overlap.  </w:t>
      </w:r>
      <w:r w:rsidR="007402A7" w:rsidRPr="007402A7">
        <w:rPr>
          <w:lang w:val="en-US"/>
        </w:rPr>
        <w:t>Accordingly, these licensees will only be subject to the end-of-term construction benchmark requirement and other status reporting</w:t>
      </w:r>
      <w:r>
        <w:t xml:space="preserve"> requirements.</w:t>
      </w:r>
      <w:r>
        <w:rPr>
          <w:vertAlign w:val="superscript"/>
        </w:rPr>
        <w:footnoteReference w:id="194"/>
      </w:r>
      <w:r>
        <w:t xml:space="preserve">  We expect that many Lower 700 MHz band A Block licensees will provide service in areas unaffected by the existence of Channel 51 and that others will take meaningful steps toward constructing their systems even while broadcasters remain on Channel 51—such as procuring equipment, designing their networks, and securing transmitter sites—so that installation, testing, and deployment can occur rapidly upon relocation of the broadcasters.  We note that 700 MHz band licensees are free to negotiate early relocation agreements with Channel 51 broadcasters to further speed deployment.</w:t>
      </w:r>
    </w:p>
    <w:p w:rsidR="002969FA" w:rsidRPr="005D7567" w:rsidRDefault="002969FA" w:rsidP="00D03910">
      <w:pPr>
        <w:pStyle w:val="ParaNum"/>
        <w:keepNext/>
        <w:widowControl/>
        <w:snapToGrid w:val="0"/>
      </w:pPr>
      <w:r>
        <w:t>Finally, for all active Lower 700 MHz band A and B Block licensees, other than licensees subject to a waiver of the interim construction benchmark deadline due to Channel 51 interference protection requirements, as described above, we waive the requirement in Section 27.14(l) of the Commission’s rules that these licensees file a second status report regarding the licensees’ efforts to meet the performance requirements applicable to their authorizations in their respective spectrum bands and the manner in which that spectrum is being utilized.</w:t>
      </w:r>
      <w:r>
        <w:rPr>
          <w:rStyle w:val="FootnoteReference"/>
        </w:rPr>
        <w:footnoteReference w:id="195"/>
      </w:r>
      <w:r>
        <w:t xml:space="preserve">  The Commission adopted reporting requirements “</w:t>
      </w:r>
      <w:r w:rsidRPr="00F34F14">
        <w:rPr>
          <w:color w:val="000000"/>
        </w:rPr>
        <w:t>to monitor whether further assessment of the rules or other actions are necessary in the event spectrum is being stockpiled or warehoused, or if it is otherwise not being made available despite existing demand</w:t>
      </w:r>
      <w:r>
        <w:t>.”</w:t>
      </w:r>
      <w:r>
        <w:rPr>
          <w:rStyle w:val="FootnoteReference"/>
        </w:rPr>
        <w:footnoteReference w:id="196"/>
      </w:r>
      <w:r>
        <w:t xml:space="preserve">  Due to the extended</w:t>
      </w:r>
      <w:r w:rsidRPr="00F34F14">
        <w:rPr>
          <w:i/>
        </w:rPr>
        <w:t xml:space="preserve"> </w:t>
      </w:r>
      <w:r>
        <w:t>interim construction benchmark deadline licensees will now file similar information in their notifications of construction in December 2016 shortly after the existing deadlines for the second status report.  Therefore, we find it is in the public interest to reduce filing burdens on the industry and waive the requirement that Lower 700 MHz band A and B Block licensees file a second status report.  However, because A Block licensees sufficiently affected by Channel 51 interference protection requirements to warrant a waiver of the interim construction benchmark deadline will not file interim notifications of construction, we do not waive the Section 27.14(l) requirement and these licensees are still required to file a second status report on June 13, 2016,</w:t>
      </w:r>
      <w:r w:rsidRPr="00F34F14">
        <w:rPr>
          <w:b/>
        </w:rPr>
        <w:t xml:space="preserve"> </w:t>
      </w:r>
      <w:r>
        <w:t xml:space="preserve">so that the Commission can monitor their buildout progress.  </w:t>
      </w:r>
    </w:p>
    <w:p w:rsidR="00603CD4" w:rsidRPr="00603CD4" w:rsidRDefault="00603CD4" w:rsidP="00D03910">
      <w:pPr>
        <w:pStyle w:val="Heading1"/>
        <w:widowControl/>
      </w:pPr>
      <w:bookmarkStart w:id="471" w:name="SR;32"/>
      <w:bookmarkStart w:id="472" w:name="SR;61"/>
      <w:bookmarkStart w:id="473" w:name="_Toc161735756"/>
      <w:bookmarkStart w:id="474" w:name="_Toc161735757"/>
      <w:bookmarkStart w:id="475" w:name="_Toc174862541"/>
      <w:bookmarkStart w:id="476" w:name="_Toc174862543"/>
      <w:bookmarkStart w:id="477" w:name="_Toc174862545"/>
      <w:bookmarkStart w:id="478" w:name="_Toc174862546"/>
      <w:bookmarkStart w:id="479" w:name="_Toc174862547"/>
      <w:bookmarkStart w:id="480" w:name="_Toc174862548"/>
      <w:bookmarkStart w:id="481" w:name="_Toc174862549"/>
      <w:bookmarkStart w:id="482" w:name="_Toc174862552"/>
      <w:bookmarkStart w:id="483" w:name="_Toc174862554"/>
      <w:bookmarkStart w:id="484" w:name="_Toc174862557"/>
      <w:bookmarkStart w:id="485" w:name="_Toc174862558"/>
      <w:bookmarkStart w:id="486" w:name="_Toc174862559"/>
      <w:bookmarkStart w:id="487" w:name="_Toc174862561"/>
      <w:bookmarkStart w:id="488" w:name="_Toc174862564"/>
      <w:bookmarkStart w:id="489" w:name="_Toc174862568"/>
      <w:bookmarkStart w:id="490" w:name="_Toc174862569"/>
      <w:bookmarkStart w:id="491" w:name="_Toc174862570"/>
      <w:bookmarkStart w:id="492" w:name="_Toc161053536"/>
      <w:bookmarkStart w:id="493" w:name="_Toc161735761"/>
      <w:bookmarkStart w:id="494" w:name="_Toc367297837"/>
      <w:bookmarkStart w:id="495" w:name="_Toc367384487"/>
      <w:bookmarkStart w:id="496" w:name="_Toc367385272"/>
      <w:bookmarkStart w:id="497" w:name="_Toc367463250"/>
      <w:bookmarkStart w:id="498" w:name="_Toc367715582"/>
      <w:bookmarkStart w:id="499" w:name="_Toc367975870"/>
      <w:bookmarkStart w:id="500" w:name="_Toc367978243"/>
      <w:bookmarkStart w:id="501" w:name="_Toc368049355"/>
      <w:bookmarkStart w:id="502" w:name="_Toc370401673"/>
      <w:bookmarkStart w:id="503" w:name="_Toc248739649"/>
      <w:bookmarkStart w:id="504" w:name="_Toc248740840"/>
      <w:bookmarkStart w:id="505" w:name="_Toc248803150"/>
      <w:bookmarkStart w:id="506" w:name="_Toc248804906"/>
      <w:bookmarkStart w:id="507" w:name="_Toc248814260"/>
      <w:bookmarkStart w:id="508" w:name="_Toc248909530"/>
      <w:bookmarkStart w:id="509" w:name="_Toc259178210"/>
      <w:bookmarkStart w:id="510" w:name="_Toc259178319"/>
      <w:bookmarkStart w:id="511" w:name="_Toc259779418"/>
      <w:bookmarkStart w:id="512" w:name="_Toc260058985"/>
      <w:bookmarkStart w:id="513" w:name="_Toc260125053"/>
      <w:bookmarkStart w:id="514" w:name="_Toc260135932"/>
      <w:bookmarkStart w:id="515" w:name="_Toc260388815"/>
      <w:bookmarkStart w:id="516" w:name="_Toc260905145"/>
      <w:bookmarkStart w:id="517" w:name="_Toc261507242"/>
      <w:bookmarkStart w:id="518" w:name="_Toc261585634"/>
      <w:bookmarkStart w:id="519" w:name="_Toc262717601"/>
      <w:bookmarkStart w:id="520" w:name="_Toc263400933"/>
      <w:bookmarkStart w:id="521" w:name="_Toc263688798"/>
      <w:bookmarkStart w:id="522" w:name="_Toc312236283"/>
      <w:bookmarkStart w:id="523" w:name="_Toc312237006"/>
      <w:bookmarkStart w:id="524" w:name="_Toc312237041"/>
      <w:bookmarkStart w:id="525" w:name="_Toc313634752"/>
      <w:bookmarkStart w:id="526" w:name="_Toc313635154"/>
      <w:bookmarkStart w:id="527" w:name="_Toc313635175"/>
      <w:bookmarkStart w:id="528" w:name="_Toc313635222"/>
      <w:bookmarkStart w:id="529" w:name="_Toc313635269"/>
      <w:bookmarkStart w:id="530" w:name="_Toc313635798"/>
      <w:bookmarkStart w:id="531" w:name="_Toc313635864"/>
      <w:bookmarkStart w:id="532" w:name="_Toc313636646"/>
      <w:bookmarkStart w:id="533" w:name="_Toc313637349"/>
      <w:bookmarkStart w:id="534" w:name="_Toc313637861"/>
      <w:bookmarkStart w:id="535" w:name="_Toc313638366"/>
      <w:bookmarkStart w:id="536" w:name="_Toc313881004"/>
      <w:bookmarkStart w:id="537" w:name="_Toc314216648"/>
      <w:bookmarkStart w:id="538" w:name="_Toc314216884"/>
      <w:bookmarkStart w:id="539" w:name="_Toc314218141"/>
      <w:bookmarkStart w:id="540" w:name="_Toc314228881"/>
      <w:bookmarkStart w:id="541" w:name="_Toc314229198"/>
      <w:bookmarkStart w:id="542" w:name="_Toc314234433"/>
      <w:bookmarkStart w:id="543" w:name="_Toc314234888"/>
      <w:bookmarkStart w:id="544" w:name="_Toc314236019"/>
      <w:bookmarkStart w:id="545" w:name="_Toc314238383"/>
      <w:bookmarkStart w:id="546" w:name="_Toc315344706"/>
      <w:bookmarkStart w:id="547" w:name="_Toc315349201"/>
      <w:bookmarkStart w:id="548" w:name="_Toc315349306"/>
      <w:bookmarkStart w:id="549" w:name="_Toc315349728"/>
      <w:bookmarkStart w:id="550" w:name="_Toc315351124"/>
      <w:bookmarkStart w:id="551" w:name="_Toc315352210"/>
      <w:bookmarkStart w:id="552" w:name="_Toc315443567"/>
      <w:bookmarkStart w:id="553" w:name="_Toc316030675"/>
      <w:bookmarkStart w:id="554" w:name="_Toc316032520"/>
      <w:bookmarkStart w:id="555" w:name="_Toc316033717"/>
      <w:bookmarkStart w:id="556" w:name="_Toc316037005"/>
      <w:bookmarkStart w:id="557" w:name="_Toc316037270"/>
      <w:bookmarkStart w:id="558" w:name="_Toc316038304"/>
      <w:bookmarkStart w:id="559" w:name="_Toc316038496"/>
      <w:bookmarkStart w:id="560" w:name="_Toc316038588"/>
      <w:bookmarkStart w:id="561" w:name="_Toc316041933"/>
      <w:bookmarkStart w:id="562" w:name="_Toc316043797"/>
      <w:bookmarkStart w:id="563" w:name="_Toc316059852"/>
      <w:bookmarkStart w:id="564" w:name="_Toc316060987"/>
      <w:bookmarkStart w:id="565" w:name="_Toc316392578"/>
      <w:bookmarkStart w:id="566" w:name="_Toc316393293"/>
      <w:bookmarkStart w:id="567" w:name="_Toc316393462"/>
      <w:bookmarkStart w:id="568" w:name="_Toc316394260"/>
      <w:bookmarkStart w:id="569" w:name="_Toc316396247"/>
      <w:bookmarkStart w:id="570" w:name="_Toc316987389"/>
      <w:bookmarkStart w:id="571" w:name="_Toc316987948"/>
      <w:bookmarkStart w:id="572" w:name="_Toc316992336"/>
      <w:bookmarkStart w:id="573" w:name="_Toc316999274"/>
      <w:bookmarkStart w:id="574" w:name="_Toc317002640"/>
      <w:bookmarkStart w:id="575" w:name="_Toc317161358"/>
      <w:bookmarkStart w:id="576" w:name="_Toc317164447"/>
      <w:bookmarkStart w:id="577" w:name="_Toc317168544"/>
      <w:bookmarkStart w:id="578" w:name="_Toc317174551"/>
      <w:bookmarkStart w:id="579" w:name="_Toc317240090"/>
      <w:bookmarkStart w:id="580" w:name="_Toc317240514"/>
      <w:bookmarkStart w:id="581" w:name="_Toc317263635"/>
      <w:bookmarkStart w:id="582" w:name="_Toc317759448"/>
      <w:bookmarkStart w:id="583" w:name="_Toc317764644"/>
      <w:bookmarkStart w:id="584" w:name="_Toc317769137"/>
      <w:bookmarkStart w:id="585" w:name="_Toc317775762"/>
      <w:bookmarkStart w:id="586" w:name="_Toc317775832"/>
      <w:bookmarkStart w:id="587" w:name="_Toc317775951"/>
      <w:bookmarkStart w:id="588" w:name="_Toc317781389"/>
      <w:bookmarkStart w:id="589" w:name="_Toc317781541"/>
      <w:bookmarkStart w:id="590" w:name="_Toc317785138"/>
      <w:bookmarkStart w:id="591" w:name="_Toc317785292"/>
      <w:bookmarkStart w:id="592" w:name="_Toc317786350"/>
      <w:bookmarkStart w:id="593" w:name="_Toc317786561"/>
      <w:bookmarkStart w:id="594" w:name="_Toc318119588"/>
      <w:bookmarkStart w:id="595" w:name="_Toc318119716"/>
      <w:bookmarkStart w:id="596" w:name="_Toc318120671"/>
      <w:bookmarkStart w:id="597" w:name="_Toc318121461"/>
      <w:bookmarkStart w:id="598" w:name="_Toc318136763"/>
      <w:bookmarkStart w:id="599" w:name="_Toc318213939"/>
      <w:bookmarkStart w:id="600" w:name="_Toc318286534"/>
      <w:bookmarkStart w:id="601" w:name="_Toc318296646"/>
      <w:bookmarkStart w:id="602" w:name="_Toc319056165"/>
      <w:bookmarkStart w:id="603" w:name="_Toc319073386"/>
      <w:bookmarkStart w:id="604" w:name="_Toc319077547"/>
      <w:bookmarkStart w:id="605" w:name="_Toc319316458"/>
      <w:bookmarkStart w:id="606" w:name="_Toc319402149"/>
      <w:bookmarkStart w:id="607" w:name="_Toc319571108"/>
      <w:bookmarkStart w:id="608" w:name="_Toc319573145"/>
      <w:bookmarkStart w:id="609" w:name="_Toc319947340"/>
      <w:bookmarkStart w:id="610" w:name="_Toc320013979"/>
      <w:bookmarkStart w:id="611" w:name="_Toc320085460"/>
      <w:bookmarkStart w:id="612" w:name="_Toc322936204"/>
      <w:bookmarkStart w:id="613" w:name="_Toc322936456"/>
      <w:bookmarkStart w:id="614" w:name="_Toc322940881"/>
      <w:bookmarkStart w:id="615" w:name="_Toc330388155"/>
      <w:bookmarkStart w:id="616" w:name="_Toc330388416"/>
      <w:bookmarkStart w:id="617" w:name="_Toc330390661"/>
      <w:bookmarkStart w:id="618" w:name="_Toc330391418"/>
      <w:bookmarkStart w:id="619" w:name="_Toc330391798"/>
      <w:bookmarkStart w:id="620" w:name="_Toc331429679"/>
      <w:bookmarkStart w:id="621" w:name="_Toc331690613"/>
      <w:bookmarkStart w:id="622" w:name="_Toc333476924"/>
      <w:bookmarkStart w:id="623" w:name="_Toc333477036"/>
      <w:bookmarkStart w:id="624" w:name="_Toc333477377"/>
      <w:bookmarkStart w:id="625" w:name="_Toc333479336"/>
      <w:bookmarkStart w:id="626" w:name="_Toc333482560"/>
      <w:bookmarkStart w:id="627" w:name="_Toc333562839"/>
      <w:bookmarkStart w:id="628" w:name="_Toc333573843"/>
      <w:bookmarkStart w:id="629" w:name="_Toc333590676"/>
      <w:bookmarkStart w:id="630" w:name="_Toc334027684"/>
      <w:bookmarkStart w:id="631" w:name="_Toc334198516"/>
      <w:bookmarkStart w:id="632" w:name="_Toc334199686"/>
      <w:bookmarkStart w:id="633" w:name="_Toc334199723"/>
      <w:bookmarkStart w:id="634" w:name="_Toc334693147"/>
      <w:bookmarkStart w:id="635" w:name="_Toc336533907"/>
      <w:bookmarkStart w:id="636" w:name="_Toc345332151"/>
      <w:bookmarkStart w:id="637" w:name="_Toc345332282"/>
      <w:bookmarkStart w:id="638" w:name="_Toc350175401"/>
      <w:bookmarkStart w:id="639" w:name="_Toc350949295"/>
      <w:bookmarkStart w:id="640" w:name="_Toc350949356"/>
      <w:bookmarkStart w:id="641" w:name="_Toc351376402"/>
      <w:bookmarkStart w:id="642" w:name="_Toc351376949"/>
      <w:bookmarkStart w:id="643" w:name="_Toc351730494"/>
      <w:bookmarkStart w:id="644" w:name="_Toc358105137"/>
      <w:bookmarkStart w:id="645" w:name="_Toc358634937"/>
      <w:bookmarkStart w:id="646" w:name="_Toc358635151"/>
      <w:bookmarkStart w:id="647" w:name="_Toc358638636"/>
      <w:bookmarkStart w:id="648" w:name="_Toc358638678"/>
      <w:bookmarkStart w:id="649" w:name="_Toc358638696"/>
      <w:bookmarkStart w:id="650" w:name="_Toc359484868"/>
      <w:bookmarkStart w:id="651" w:name="_Toc359484928"/>
      <w:bookmarkStart w:id="652" w:name="_Toc359508237"/>
      <w:bookmarkStart w:id="653" w:name="_Toc363219737"/>
      <w:bookmarkStart w:id="654" w:name="_Toc363239529"/>
      <w:bookmarkStart w:id="655" w:name="_Toc363239559"/>
      <w:bookmarkStart w:id="656" w:name="_Toc363670225"/>
      <w:bookmarkStart w:id="657" w:name="_Toc364339646"/>
      <w:bookmarkStart w:id="658" w:name="_Toc364363116"/>
      <w:bookmarkStart w:id="659" w:name="_Toc365289478"/>
      <w:bookmarkStart w:id="660" w:name="_Toc365297795"/>
      <w:bookmarkStart w:id="661" w:name="_Toc366080757"/>
      <w:bookmarkStart w:id="662" w:name="_Toc366081293"/>
      <w:bookmarkStart w:id="663" w:name="_Toc366142312"/>
      <w:bookmarkStart w:id="664" w:name="_Toc366160465"/>
      <w:bookmarkStart w:id="665" w:name="_Toc366161317"/>
      <w:bookmarkStart w:id="666" w:name="_Toc366677423"/>
      <w:bookmarkStart w:id="667" w:name="_Toc366696629"/>
      <w:bookmarkStart w:id="668" w:name="_Toc366740271"/>
      <w:bookmarkStart w:id="669" w:name="_Toc366766680"/>
      <w:bookmarkStart w:id="670" w:name="_Toc366771507"/>
      <w:bookmarkStart w:id="671" w:name="_Toc36720151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603CD4">
        <w:t>order o</w:t>
      </w:r>
      <w:r w:rsidR="00B25BE3">
        <w:rPr>
          <w:lang w:val="en-US"/>
        </w:rPr>
        <w:t>F</w:t>
      </w:r>
      <w:r w:rsidRPr="00603CD4">
        <w:t xml:space="preserve"> proposed modification</w:t>
      </w:r>
      <w:bookmarkEnd w:id="494"/>
      <w:bookmarkEnd w:id="495"/>
      <w:bookmarkEnd w:id="496"/>
      <w:bookmarkEnd w:id="497"/>
      <w:bookmarkEnd w:id="498"/>
      <w:bookmarkEnd w:id="499"/>
      <w:bookmarkEnd w:id="500"/>
      <w:bookmarkEnd w:id="501"/>
      <w:bookmarkEnd w:id="502"/>
    </w:p>
    <w:p w:rsidR="00603CD4" w:rsidRPr="00EF252A" w:rsidRDefault="00107F70" w:rsidP="00D03910">
      <w:pPr>
        <w:pStyle w:val="ParaNum"/>
        <w:keepNext/>
        <w:widowControl/>
        <w:snapToGrid w:val="0"/>
      </w:pPr>
      <w:r>
        <w:rPr>
          <w:lang w:val="en-US"/>
        </w:rPr>
        <w:t>For the reasons discussed above</w:t>
      </w:r>
      <w:r w:rsidR="006D748A">
        <w:rPr>
          <w:lang w:val="en-US"/>
        </w:rPr>
        <w:t xml:space="preserve">, </w:t>
      </w:r>
      <w:r w:rsidR="00603CD4" w:rsidRPr="00603CD4">
        <w:t xml:space="preserve">we </w:t>
      </w:r>
      <w:r w:rsidR="00A06C6B">
        <w:rPr>
          <w:lang w:val="en-US"/>
        </w:rPr>
        <w:t xml:space="preserve">propose to </w:t>
      </w:r>
      <w:r w:rsidR="00603CD4" w:rsidRPr="00603CD4">
        <w:t>modify AT&amp;T’s B and C B</w:t>
      </w:r>
      <w:r w:rsidR="00780EE3">
        <w:t>lock licenses</w:t>
      </w:r>
      <w:r>
        <w:rPr>
          <w:lang w:val="en-US"/>
        </w:rPr>
        <w:t xml:space="preserve"> pursuant to Section 316</w:t>
      </w:r>
      <w:r w:rsidR="00780EE3">
        <w:t xml:space="preserve"> </w:t>
      </w:r>
      <w:r w:rsidR="00EF252A">
        <w:rPr>
          <w:lang w:val="en-US"/>
        </w:rPr>
        <w:t xml:space="preserve">to implement the commitments contained in AT&amp;T’s </w:t>
      </w:r>
      <w:r w:rsidR="000672B4">
        <w:rPr>
          <w:lang w:val="en-US"/>
        </w:rPr>
        <w:t xml:space="preserve">letter of </w:t>
      </w:r>
      <w:r w:rsidR="00EF252A">
        <w:rPr>
          <w:lang w:val="en-US"/>
        </w:rPr>
        <w:t xml:space="preserve">September 10, 2013 and </w:t>
      </w:r>
      <w:r w:rsidR="00603CD4" w:rsidRPr="00603CD4">
        <w:t>effectuate the voluntary industry solution that will resolve the lack of interoperability in the Lower 700 MHz band in an effective and efficient manner.</w:t>
      </w:r>
      <w:r w:rsidR="00EF252A" w:rsidRPr="00EF252A">
        <w:rPr>
          <w:vertAlign w:val="superscript"/>
        </w:rPr>
        <w:t xml:space="preserve"> </w:t>
      </w:r>
      <w:r w:rsidR="00EF252A" w:rsidRPr="00603CD4">
        <w:rPr>
          <w:vertAlign w:val="superscript"/>
        </w:rPr>
        <w:footnoteReference w:id="197"/>
      </w:r>
      <w:r w:rsidR="00EF252A">
        <w:rPr>
          <w:lang w:val="en-US"/>
        </w:rPr>
        <w:t xml:space="preserve">  </w:t>
      </w:r>
      <w:r w:rsidR="00603CD4" w:rsidRPr="00603CD4">
        <w:t xml:space="preserve">Specifically, pursuant to Section 316, we propose to modify AT&amp;T’s B and C Block licenses to implement the following interoperability commitments.  These commitments relate both to AT&amp;T’s deployment of a Multi-Frequency Band Indicator (MFBI) software feature and to AT&amp;T’s transition to Band Class 12 capable devices.  For the reasons discussed throughout this </w:t>
      </w:r>
      <w:r w:rsidR="00603CD4" w:rsidRPr="004E2129">
        <w:t>Report and Order and Order of Proposed Modification</w:t>
      </w:r>
      <w:r w:rsidR="00603CD4" w:rsidRPr="00603CD4">
        <w:t>, we conclude that it is in the public interest, convenience, and necessity to propose</w:t>
      </w:r>
      <w:r w:rsidR="00B25BE3">
        <w:rPr>
          <w:lang w:val="en-US"/>
        </w:rPr>
        <w:t xml:space="preserve"> to</w:t>
      </w:r>
      <w:r w:rsidR="00603CD4" w:rsidRPr="00603CD4">
        <w:t xml:space="preserve"> modify AT&amp;T’s B and C Block licenses as follows:  </w:t>
      </w:r>
    </w:p>
    <w:p w:rsidR="00B7740E" w:rsidRPr="006949CA" w:rsidRDefault="00B7740E" w:rsidP="00D03910">
      <w:pPr>
        <w:keepNext/>
        <w:widowControl/>
        <w:numPr>
          <w:ilvl w:val="0"/>
          <w:numId w:val="14"/>
        </w:numPr>
        <w:rPr>
          <w:szCs w:val="22"/>
        </w:rPr>
      </w:pPr>
      <w:r w:rsidRPr="006949CA">
        <w:rPr>
          <w:szCs w:val="22"/>
        </w:rPr>
        <w:t>AT</w:t>
      </w:r>
      <w:r w:rsidRPr="00D258B2">
        <w:rPr>
          <w:spacing w:val="-3"/>
        </w:rPr>
        <w:t>&amp;</w:t>
      </w:r>
      <w:r w:rsidRPr="006949CA">
        <w:rPr>
          <w:szCs w:val="22"/>
        </w:rPr>
        <w:t>T</w:t>
      </w:r>
      <w:r w:rsidRPr="00D258B2">
        <w:rPr>
          <w:spacing w:val="2"/>
        </w:rPr>
        <w:t xml:space="preserve"> </w:t>
      </w:r>
      <w:r w:rsidRPr="006949CA">
        <w:rPr>
          <w:szCs w:val="22"/>
        </w:rPr>
        <w:t xml:space="preserve">must move forward expeditiously with testing the 3GPP Multi-Frequency Band Indicator software feature as soon as it is made available to AT&amp;T by its RAN vendors.  AT&amp;T must fully deploy the new MFBI software feature in its 700 MHz network within 24 months of September 30, 2013.  The end of the 24-month period will also commence the beginning of the Band 12 capable device roll-out period. </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If AT&amp;T concludes that, despite its best efforts, implementation of the MFBI feature within 24 months will result in significant negative customer impact, AT&amp;T will file a certification, consistent with Commission rules (including but not limited to Sections 1.16, 1.17 and 1.65</w:t>
      </w:r>
      <w:r w:rsidRPr="006949CA">
        <w:rPr>
          <w:szCs w:val="22"/>
          <w:vertAlign w:val="superscript"/>
        </w:rPr>
        <w:footnoteReference w:id="198"/>
      </w:r>
      <w:r w:rsidRPr="006949CA">
        <w:rPr>
          <w:szCs w:val="22"/>
        </w:rPr>
        <w:t>), so asserting and outlining in specific detail the commercially reasonable steps taken to meet the deadline and the reason for the delay.  Any such filing must be made on or before August 31, 2015.  With the filing of such a certification, the 24-month deadline for MFBI implementation and the start of the Band 12 capable device roll-out period shall be extended by the period requested in the certification, up to an additional 6 months.</w:t>
      </w:r>
    </w:p>
    <w:p w:rsidR="00B7740E" w:rsidRDefault="00B7740E" w:rsidP="00D03910">
      <w:pPr>
        <w:keepNext/>
        <w:widowControl/>
        <w:numPr>
          <w:ilvl w:val="0"/>
          <w:numId w:val="14"/>
        </w:numPr>
        <w:rPr>
          <w:szCs w:val="22"/>
        </w:rPr>
      </w:pPr>
      <w:r w:rsidRPr="006949CA">
        <w:rPr>
          <w:szCs w:val="22"/>
        </w:rPr>
        <w:t xml:space="preserve">Once MFBI has been fully implemented by AT&amp;T, AT&amp;T shall provide LTE roaming to carriers with compatible Band 12 devices, consistent with the Commission’s rules on roaming. </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 xml:space="preserve">“Band 12 capable device” shall mean any device that is capable of supporting 3GPP Band Class 12.  At </w:t>
      </w:r>
      <w:r w:rsidRPr="006949CA">
        <w:rPr>
          <w:spacing w:val="1"/>
          <w:szCs w:val="22"/>
        </w:rPr>
        <w:t>t</w:t>
      </w:r>
      <w:r w:rsidRPr="006949CA">
        <w:rPr>
          <w:szCs w:val="22"/>
        </w:rPr>
        <w:t xml:space="preserve">his </w:t>
      </w:r>
      <w:r w:rsidRPr="006949CA">
        <w:rPr>
          <w:spacing w:val="1"/>
          <w:szCs w:val="22"/>
        </w:rPr>
        <w:t>t</w:t>
      </w:r>
      <w:r w:rsidRPr="006949CA">
        <w:rPr>
          <w:szCs w:val="22"/>
        </w:rPr>
        <w:t>i</w:t>
      </w:r>
      <w:r w:rsidRPr="006949CA">
        <w:rPr>
          <w:spacing w:val="1"/>
          <w:szCs w:val="22"/>
        </w:rPr>
        <w:t>m</w:t>
      </w:r>
      <w:r w:rsidRPr="006949CA">
        <w:rPr>
          <w:spacing w:val="-1"/>
          <w:szCs w:val="22"/>
        </w:rPr>
        <w:t>e</w:t>
      </w:r>
      <w:r w:rsidRPr="006949CA">
        <w:rPr>
          <w:szCs w:val="22"/>
        </w:rPr>
        <w:t>, AT&amp;T is e</w:t>
      </w:r>
      <w:r w:rsidRPr="006949CA">
        <w:rPr>
          <w:spacing w:val="2"/>
          <w:szCs w:val="22"/>
        </w:rPr>
        <w:t>x</w:t>
      </w:r>
      <w:r w:rsidRPr="006949CA">
        <w:rPr>
          <w:szCs w:val="22"/>
        </w:rPr>
        <w:t>p</w:t>
      </w:r>
      <w:r w:rsidRPr="006949CA">
        <w:rPr>
          <w:spacing w:val="-2"/>
          <w:szCs w:val="22"/>
        </w:rPr>
        <w:t>l</w:t>
      </w:r>
      <w:r w:rsidRPr="006949CA">
        <w:rPr>
          <w:szCs w:val="22"/>
        </w:rPr>
        <w:t>o</w:t>
      </w:r>
      <w:r w:rsidRPr="006949CA">
        <w:rPr>
          <w:spacing w:val="-1"/>
          <w:szCs w:val="22"/>
        </w:rPr>
        <w:t>r</w:t>
      </w:r>
      <w:r w:rsidRPr="006949CA">
        <w:rPr>
          <w:szCs w:val="22"/>
        </w:rPr>
        <w:t>ing various Band 12 implementation approaches with its chipset and OEM partners and A</w:t>
      </w:r>
      <w:r w:rsidRPr="006949CA">
        <w:rPr>
          <w:spacing w:val="1"/>
          <w:szCs w:val="22"/>
        </w:rPr>
        <w:t>T</w:t>
      </w:r>
      <w:r w:rsidRPr="006949CA">
        <w:rPr>
          <w:spacing w:val="-2"/>
          <w:szCs w:val="22"/>
        </w:rPr>
        <w:t>&amp;</w:t>
      </w:r>
      <w:r w:rsidRPr="006949CA">
        <w:rPr>
          <w:szCs w:val="22"/>
        </w:rPr>
        <w:t>T may pursue the most efficient solutions available based on evolving network and device capabilities on a technology neutral basis.</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During the first year of the device roll-out period, 50% of all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Machine-to- Machine (M-to-M) devices shall not be counted as “new unique devices” for purposes of this commitment.</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 xml:space="preserve">During the second year of the device roll-out period, 75% of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M-to-M devices shall not be counted as “new unique devices” for purposes of this commitment. </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 xml:space="preserve">Commencing at the conclusion of the second year of the device roll-out period, all new unique devices that operate on the paired Lower 700 MHz bands introduced by AT&amp;T into its device portfolio will be Band 12 capable devices.  In addition, from that time forward, AT&amp;T </w:t>
      </w:r>
      <w:r w:rsidRPr="00603CD4">
        <w:t>must ensure</w:t>
      </w:r>
      <w:r w:rsidRPr="006949CA">
        <w:rPr>
          <w:szCs w:val="22"/>
        </w:rPr>
        <w:t xml:space="preserve"> that its specifications for all new devices that are designed to operate in the paired Lower 700 MHz frequencies, including M-to-M devices, will call for Band 12 capability.  However, M-to-M devices shall not be counted as “new unique devices” for purposes of this commitment. </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 xml:space="preserve">The commitments outlined above apply to all new unique data-capable devices that connect to or provide connectivity on AT&amp;T’s paired Lower 700 MHz FDD network.  AT&amp;T’s commitment shall not extend to any devices that are uniquely designed to operate on spectrum bands </w:t>
      </w:r>
      <w:r w:rsidRPr="00603CD4">
        <w:t>licensed for use</w:t>
      </w:r>
      <w:r w:rsidRPr="006949CA">
        <w:rPr>
          <w:szCs w:val="22"/>
        </w:rPr>
        <w:t xml:space="preserve"> by AT&amp;T that are not in the paired Lower 700 MHz ba</w:t>
      </w:r>
      <w:r w:rsidR="00EE5009">
        <w:rPr>
          <w:szCs w:val="22"/>
        </w:rPr>
        <w:t>nds.  AT&amp;T reserves the express</w:t>
      </w:r>
      <w:r w:rsidRPr="006949CA">
        <w:rPr>
          <w:szCs w:val="22"/>
        </w:rPr>
        <w:t xml:space="preserve"> right to support devices tha</w:t>
      </w:r>
      <w:r w:rsidR="0067074E">
        <w:rPr>
          <w:szCs w:val="22"/>
        </w:rPr>
        <w:t>t do not operate in the paired L</w:t>
      </w:r>
      <w:r w:rsidRPr="006949CA">
        <w:rPr>
          <w:szCs w:val="22"/>
        </w:rPr>
        <w:t>ower 700 MHz bands.</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To demonstrate progress on its commitments, AT&amp;T shall submit comprehensive written reports and meet with the Commission staff at each of 12 months, 18 months and 24 months from the date of its September 10, 2013 commitment letter that will provide information on AT&amp;T’s progress toward meeting these commitments.</w:t>
      </w:r>
      <w:r w:rsidRPr="006949CA">
        <w:rPr>
          <w:szCs w:val="22"/>
          <w:vertAlign w:val="superscript"/>
        </w:rPr>
        <w:footnoteReference w:id="199"/>
      </w:r>
      <w:r w:rsidRPr="006949CA">
        <w:rPr>
          <w:szCs w:val="22"/>
        </w:rPr>
        <w:t xml:space="preserve">  Additionally, AT&amp;T shall provide comprehensive written reports at 28 months, 40 months and 46 months to report on progress during the device roll-out period, and it shall file a certification to the Commission at the end of the device roll-out period to certify final completion of these commitments within 30 days. </w:t>
      </w:r>
    </w:p>
    <w:p w:rsidR="00B7740E" w:rsidRPr="006949CA" w:rsidRDefault="00B7740E" w:rsidP="00D03910">
      <w:pPr>
        <w:keepNext/>
        <w:widowControl/>
        <w:rPr>
          <w:szCs w:val="22"/>
        </w:rPr>
      </w:pPr>
    </w:p>
    <w:p w:rsidR="00B7740E" w:rsidRPr="006949CA" w:rsidRDefault="00B7740E" w:rsidP="00D03910">
      <w:pPr>
        <w:keepNext/>
        <w:widowControl/>
        <w:numPr>
          <w:ilvl w:val="0"/>
          <w:numId w:val="14"/>
        </w:numPr>
        <w:rPr>
          <w:szCs w:val="22"/>
        </w:rPr>
      </w:pPr>
      <w:r w:rsidRPr="006949CA">
        <w:rPr>
          <w:szCs w:val="22"/>
        </w:rPr>
        <w:t xml:space="preserve">Fulfillment of these commitments will require the implementation of new </w:t>
      </w:r>
      <w:r w:rsidR="0067074E">
        <w:rPr>
          <w:szCs w:val="22"/>
        </w:rPr>
        <w:t>functionality in AT&amp;T’s paired L</w:t>
      </w:r>
      <w:r w:rsidRPr="006949CA">
        <w:rPr>
          <w:szCs w:val="22"/>
        </w:rPr>
        <w:t xml:space="preserve">ower 700 MHz network as well as collaboration with AT&amp;T’s chipset and OEM partners and vendors.  AT&amp;T will use its best efforts to proceed diligently to complete the activities necessary to fulfill its commitments.  However, if at any time, AT&amp;T encounters obstacles beyond its control that threaten its ability to meet these commitments, or undermine the quality of the service it is providing on its network, AT&amp;T may so inform the Commission and seek an extension of time or a waiver as appropriate. </w:t>
      </w:r>
    </w:p>
    <w:p w:rsidR="00B7740E" w:rsidRPr="006949CA" w:rsidRDefault="00B7740E" w:rsidP="00D03910">
      <w:pPr>
        <w:keepNext/>
        <w:widowControl/>
        <w:rPr>
          <w:szCs w:val="22"/>
        </w:rPr>
      </w:pPr>
    </w:p>
    <w:p w:rsidR="009210E7" w:rsidRPr="006949CA" w:rsidRDefault="00B7740E" w:rsidP="00D03910">
      <w:pPr>
        <w:keepNext/>
        <w:widowControl/>
        <w:numPr>
          <w:ilvl w:val="0"/>
          <w:numId w:val="14"/>
        </w:numPr>
        <w:rPr>
          <w:szCs w:val="22"/>
        </w:rPr>
      </w:pPr>
      <w:r w:rsidRPr="006949CA">
        <w:rPr>
          <w:szCs w:val="22"/>
        </w:rPr>
        <w:t>Consistent with these commitments, AT&amp;T anticipates that its focus and advocacy within the 3GPP standards setting process will shift to Band 12 related projects and work streams.  A</w:t>
      </w:r>
      <w:r w:rsidRPr="00D258B2">
        <w:rPr>
          <w:spacing w:val="-1"/>
        </w:rPr>
        <w:t>T</w:t>
      </w:r>
      <w:r w:rsidRPr="00D258B2">
        <w:rPr>
          <w:spacing w:val="-2"/>
        </w:rPr>
        <w:t>&amp;</w:t>
      </w:r>
      <w:r w:rsidRPr="006949CA">
        <w:rPr>
          <w:szCs w:val="22"/>
        </w:rPr>
        <w:t>T must place priority within the 3GPP RAN committee on the development of various Band 12 carrier aggregation scenarios.  Upon completing implementation of the MFBI feature, AT&amp;T anticipates that its focus on new s</w:t>
      </w:r>
      <w:r w:rsidR="0067074E">
        <w:rPr>
          <w:szCs w:val="22"/>
        </w:rPr>
        <w:t>tandards related to the paired L</w:t>
      </w:r>
      <w:r w:rsidRPr="006949CA">
        <w:rPr>
          <w:szCs w:val="22"/>
        </w:rPr>
        <w:t>ower 700 MHz spectrum will be almost exclusively on Band 12 configurations, features and capabilities.  AT&amp;T may seek revisions and updates to Band 17 standards to the extent necessary to support legacy Band 17 devices and continuing Band 17 functionality on its network</w:t>
      </w:r>
      <w:r w:rsidR="009210E7" w:rsidRPr="006949CA">
        <w:rPr>
          <w:szCs w:val="22"/>
        </w:rPr>
        <w:t>.</w:t>
      </w:r>
      <w:r w:rsidR="009210E7" w:rsidRPr="009210E7">
        <w:rPr>
          <w:rStyle w:val="FootnoteReference"/>
        </w:rPr>
        <w:t xml:space="preserve"> </w:t>
      </w:r>
      <w:r w:rsidR="009210E7">
        <w:rPr>
          <w:rStyle w:val="FootnoteReference"/>
        </w:rPr>
        <w:footnoteReference w:id="200"/>
      </w:r>
      <w:r w:rsidR="009210E7">
        <w:rPr>
          <w:rStyle w:val="FootnoteReference"/>
        </w:rPr>
        <w:t xml:space="preserve"> </w:t>
      </w:r>
    </w:p>
    <w:p w:rsidR="00603CD4" w:rsidRPr="00603CD4" w:rsidRDefault="00603CD4" w:rsidP="00D03910">
      <w:pPr>
        <w:pStyle w:val="ParaNum"/>
        <w:keepNext/>
        <w:widowControl/>
        <w:numPr>
          <w:ilvl w:val="0"/>
          <w:numId w:val="0"/>
        </w:numPr>
        <w:ind w:left="360"/>
      </w:pPr>
    </w:p>
    <w:p w:rsidR="00107F70" w:rsidRPr="00DD7ADE" w:rsidRDefault="00147CDE" w:rsidP="00D03910">
      <w:pPr>
        <w:pStyle w:val="ParaNum"/>
        <w:keepNext/>
        <w:widowControl/>
        <w:snapToGrid w:val="0"/>
      </w:pPr>
      <w:r>
        <w:rPr>
          <w:lang w:val="en-US"/>
        </w:rPr>
        <w:t>W</w:t>
      </w:r>
      <w:r>
        <w:t>e</w:t>
      </w:r>
      <w:r w:rsidR="006D748A">
        <w:t xml:space="preserve"> </w:t>
      </w:r>
      <w:r w:rsidR="006D748A">
        <w:rPr>
          <w:lang w:val="en-US"/>
        </w:rPr>
        <w:t xml:space="preserve">find </w:t>
      </w:r>
      <w:r w:rsidR="00603CD4" w:rsidRPr="00603CD4">
        <w:t xml:space="preserve">that the proposed license modifications </w:t>
      </w:r>
      <w:r w:rsidR="006D748A">
        <w:rPr>
          <w:lang w:val="en-US"/>
        </w:rPr>
        <w:t xml:space="preserve">will </w:t>
      </w:r>
      <w:r w:rsidR="00603CD4" w:rsidRPr="00603CD4">
        <w:t xml:space="preserve">serve the public interest by establishing a clear path toward interoperability for the Lower 700 MHz band.  </w:t>
      </w:r>
      <w:r w:rsidR="00C80063">
        <w:rPr>
          <w:lang w:val="en-US"/>
        </w:rPr>
        <w:t xml:space="preserve">Resolving the lack of interoperability is an important objective for the Commission and we intend to remain vigilant to ensure that AT&amp;T follows through with its commitments and transitions to interoperability in an efficient manner.  </w:t>
      </w:r>
    </w:p>
    <w:p w:rsidR="00107F70" w:rsidRDefault="00107F70" w:rsidP="00D03910">
      <w:pPr>
        <w:pStyle w:val="ParaNum"/>
        <w:keepNext/>
        <w:widowControl/>
        <w:snapToGrid w:val="0"/>
      </w:pPr>
      <w:r w:rsidRPr="006B27E7">
        <w:rPr>
          <w:lang w:val="en-US"/>
        </w:rPr>
        <w:t>We find that we have the legal authority to adopt these proposed modifications to AT&amp;T’s licenses.  Section 316 of the A</w:t>
      </w:r>
      <w:r>
        <w:rPr>
          <w:lang w:val="en-US"/>
        </w:rPr>
        <w:t>ct authorizes the Commission to</w:t>
      </w:r>
      <w:r w:rsidRPr="006B27E7">
        <w:rPr>
          <w:lang w:val="en-US"/>
        </w:rPr>
        <w:t xml:space="preserve"> “modif[y</w:t>
      </w:r>
      <w:r>
        <w:rPr>
          <w:lang w:val="en-US"/>
        </w:rPr>
        <w:t>]</w:t>
      </w:r>
      <w:r w:rsidRPr="006B27E7">
        <w:rPr>
          <w:lang w:val="en-US"/>
        </w:rPr>
        <w:t>” existing licenses when taking such action will “promote the public interest, convenience, and necessity.”</w:t>
      </w:r>
      <w:r w:rsidRPr="006B27E7">
        <w:rPr>
          <w:vertAlign w:val="superscript"/>
          <w:lang w:val="en-US"/>
        </w:rPr>
        <w:footnoteReference w:id="201"/>
      </w:r>
      <w:r w:rsidRPr="006B27E7">
        <w:rPr>
          <w:lang w:val="en-US"/>
        </w:rPr>
        <w:t xml:space="preserve">  </w:t>
      </w:r>
      <w:r w:rsidRPr="005D7567">
        <w:t xml:space="preserve">Title III </w:t>
      </w:r>
      <w:r>
        <w:t xml:space="preserve">provides the Commission with broad authority to manage spectrum and </w:t>
      </w:r>
      <w:r w:rsidRPr="005D7567">
        <w:t>endows the Commission with “expansive powers” and a “comprehensive mandate to ‘encourage the larger and more effective use of radio in the public interest.’”</w:t>
      </w:r>
      <w:r w:rsidRPr="005D7567">
        <w:rPr>
          <w:rStyle w:val="FootnoteReference"/>
        </w:rPr>
        <w:footnoteReference w:id="202"/>
      </w:r>
      <w:r w:rsidRPr="005D7567">
        <w:t xml:space="preserve">  Section</w:t>
      </w:r>
      <w:r>
        <w:t xml:space="preserve"> 303 of the Act, </w:t>
      </w:r>
      <w:r w:rsidRPr="005D7567">
        <w:t>authorizes the Commission to exercise its authority as “the public interest, convenience, and necessity requires” to “[p]rescribe the nature of the service to be rendered by each class of licensed stations and each station within any class.”</w:t>
      </w:r>
      <w:r w:rsidRPr="005D7567">
        <w:rPr>
          <w:rStyle w:val="FootnoteReference"/>
        </w:rPr>
        <w:footnoteReference w:id="203"/>
      </w:r>
      <w:r w:rsidRPr="005D7567">
        <w:t xml:space="preserve">  </w:t>
      </w:r>
    </w:p>
    <w:p w:rsidR="00107F70" w:rsidRPr="00DD7ADE" w:rsidRDefault="00177E91" w:rsidP="00D03910">
      <w:pPr>
        <w:pStyle w:val="ParaNum"/>
        <w:keepNext/>
        <w:widowControl/>
        <w:snapToGrid w:val="0"/>
      </w:pPr>
      <w:r w:rsidRPr="00177E91">
        <w:rPr>
          <w:lang w:val="en-US"/>
        </w:rPr>
        <w:t>We find that these provisions give us ample authority to adopt</w:t>
      </w:r>
      <w:r>
        <w:rPr>
          <w:lang w:val="en-US"/>
        </w:rPr>
        <w:t xml:space="preserve"> the</w:t>
      </w:r>
      <w:r w:rsidRPr="00177E91">
        <w:rPr>
          <w:lang w:val="en-US"/>
        </w:rPr>
        <w:t xml:space="preserve"> proposed modifications to AT&amp;T’s B and C Block licenses</w:t>
      </w:r>
      <w:r w:rsidR="000779D7">
        <w:rPr>
          <w:lang w:val="en-US"/>
        </w:rPr>
        <w:t>,</w:t>
      </w:r>
      <w:r w:rsidRPr="00177E91">
        <w:rPr>
          <w:lang w:val="en-US"/>
        </w:rPr>
        <w:t xml:space="preserve"> which </w:t>
      </w:r>
      <w:r w:rsidR="000779D7">
        <w:rPr>
          <w:lang w:val="en-US"/>
        </w:rPr>
        <w:t xml:space="preserve">track </w:t>
      </w:r>
      <w:r w:rsidRPr="00177E91">
        <w:rPr>
          <w:lang w:val="en-US"/>
        </w:rPr>
        <w:t>AT&amp;T</w:t>
      </w:r>
      <w:r w:rsidR="000779D7">
        <w:rPr>
          <w:lang w:val="en-US"/>
        </w:rPr>
        <w:t>’s commitments</w:t>
      </w:r>
      <w:r w:rsidRPr="00177E91">
        <w:rPr>
          <w:lang w:val="en-US"/>
        </w:rPr>
        <w:t xml:space="preserve"> and which we fi</w:t>
      </w:r>
      <w:r>
        <w:rPr>
          <w:lang w:val="en-US"/>
        </w:rPr>
        <w:t>nd to be in the public interest</w:t>
      </w:r>
      <w:r w:rsidR="00107F70">
        <w:t>.  Specifically, we find that, pursuant to our authority under Title III, the</w:t>
      </w:r>
      <w:r w:rsidR="00107F70">
        <w:rPr>
          <w:lang w:val="en-US"/>
        </w:rPr>
        <w:t xml:space="preserve"> proposed modifications</w:t>
      </w:r>
      <w:r w:rsidR="00107F70">
        <w:t xml:space="preserve"> described above will “promote the public interest, convenience, and necessity” by </w:t>
      </w:r>
      <w:r w:rsidR="00107F70" w:rsidRPr="005D7567">
        <w:t xml:space="preserve">promoting competition and consumer choice among mobile broadband service providers for innovative services (both initially and in switching to higher quality or lower cost offerings), promoting the widespread </w:t>
      </w:r>
      <w:r w:rsidR="00107F70" w:rsidRPr="00214106">
        <w:rPr>
          <w:kern w:val="0"/>
          <w:szCs w:val="22"/>
        </w:rPr>
        <w:t>deployment</w:t>
      </w:r>
      <w:r w:rsidR="00107F70" w:rsidRPr="005D7567">
        <w:t xml:space="preserve"> of 4G networks (particularly in rural and unserved areas), and strengthening the ability of providers to offer consumers nationwide coverage</w:t>
      </w:r>
      <w:r w:rsidR="00107F70">
        <w:t>.  Establishing</w:t>
      </w:r>
      <w:r w:rsidR="00107F70" w:rsidRPr="005D7567">
        <w:t xml:space="preserve"> interoperability will remove barriers to infrastructure investment for mobile broadband services and increase spectrum utilization among Lower 700 MHz A Block licensees.</w:t>
      </w:r>
    </w:p>
    <w:p w:rsidR="00603CD4" w:rsidRPr="00603CD4" w:rsidRDefault="00603CD4" w:rsidP="00D03910">
      <w:pPr>
        <w:pStyle w:val="ParaNum"/>
        <w:keepNext/>
        <w:widowControl/>
        <w:snapToGrid w:val="0"/>
      </w:pPr>
      <w:r w:rsidRPr="00603CD4">
        <w:t>In accordance with Section 316(a) of the Communications Act, as amended, and Section 1.87(a) of the Commission’s rules, we will not issue a modification order(s) until AT&amp;T has received notice of our proposed action and ha</w:t>
      </w:r>
      <w:r w:rsidR="006C6EFE">
        <w:rPr>
          <w:lang w:val="en-US"/>
        </w:rPr>
        <w:t>s</w:t>
      </w:r>
      <w:r w:rsidRPr="00603CD4">
        <w:t xml:space="preserve"> had an opportunity to protest.</w:t>
      </w:r>
      <w:r w:rsidRPr="00603CD4">
        <w:rPr>
          <w:vertAlign w:val="superscript"/>
        </w:rPr>
        <w:t xml:space="preserve"> </w:t>
      </w:r>
      <w:r w:rsidRPr="00603CD4">
        <w:rPr>
          <w:vertAlign w:val="superscript"/>
        </w:rPr>
        <w:footnoteReference w:id="204"/>
      </w:r>
      <w:r w:rsidRPr="00603CD4">
        <w:t xml:space="preserve">  We direct the staff to send this Report and Order and Order of Proposed Modification by certified mail, return receipt requested to AT&amp;T.  Pursuant to Section 316(a)(1) of the Act and Section 1.87(a) of the Commission’s rules, receipt of this </w:t>
      </w:r>
      <w:r w:rsidRPr="004E2129">
        <w:t>Report and Order and Order of Proposed Modification</w:t>
      </w:r>
      <w:r w:rsidRPr="00603CD4">
        <w:rPr>
          <w:i/>
        </w:rPr>
        <w:t xml:space="preserve"> </w:t>
      </w:r>
      <w:r w:rsidRPr="00603CD4">
        <w:t xml:space="preserve">by certified mail, return receipt requested, shall constitute notification in writing of our </w:t>
      </w:r>
      <w:r w:rsidRPr="000C513D">
        <w:t>Order of Proposed Modification</w:t>
      </w:r>
      <w:r w:rsidRPr="00603CD4">
        <w:t xml:space="preserve"> proposing to modify AT&amp;T’s B and C Block licenses and of the gr</w:t>
      </w:r>
      <w:r w:rsidR="00D965BF">
        <w:t>ounds and reasons therefor</w:t>
      </w:r>
      <w:r w:rsidRPr="00603CD4">
        <w:t>.</w:t>
      </w:r>
      <w:r w:rsidRPr="00603CD4">
        <w:rPr>
          <w:vertAlign w:val="superscript"/>
        </w:rPr>
        <w:t xml:space="preserve"> </w:t>
      </w:r>
      <w:r w:rsidRPr="00603CD4">
        <w:rPr>
          <w:vertAlign w:val="superscript"/>
        </w:rPr>
        <w:footnoteReference w:id="205"/>
      </w:r>
      <w:r w:rsidRPr="00603CD4">
        <w:t xml:space="preserve">  AT&amp;T shall have </w:t>
      </w:r>
      <w:r w:rsidR="003E513F">
        <w:rPr>
          <w:lang w:val="en-US"/>
        </w:rPr>
        <w:t>until January 15, 2014</w:t>
      </w:r>
      <w:r w:rsidRPr="00603CD4">
        <w:t xml:space="preserve"> to protest such O</w:t>
      </w:r>
      <w:r w:rsidR="00147CDE">
        <w:t>rder of Propos</w:t>
      </w:r>
      <w:r w:rsidR="00EF252A">
        <w:t xml:space="preserve">ed Modification.  </w:t>
      </w:r>
      <w:r w:rsidR="00EF252A">
        <w:rPr>
          <w:lang w:val="en-US"/>
        </w:rPr>
        <w:t>For the reasons discussed throughout this Report and Order</w:t>
      </w:r>
      <w:r w:rsidR="0067074E">
        <w:rPr>
          <w:lang w:val="en-US"/>
        </w:rPr>
        <w:t xml:space="preserve"> and Order of Proposed Modification</w:t>
      </w:r>
      <w:r w:rsidR="00147CDE">
        <w:t xml:space="preserve">, </w:t>
      </w:r>
      <w:r w:rsidR="006B019F">
        <w:rPr>
          <w:lang w:val="en-US"/>
        </w:rPr>
        <w:t>the Commission finds</w:t>
      </w:r>
      <w:r w:rsidR="00EF252A">
        <w:rPr>
          <w:lang w:val="en-US"/>
        </w:rPr>
        <w:t xml:space="preserve"> that </w:t>
      </w:r>
      <w:r w:rsidR="00FC2C63">
        <w:rPr>
          <w:lang w:val="en-US"/>
        </w:rPr>
        <w:t xml:space="preserve">it </w:t>
      </w:r>
      <w:r w:rsidR="00EF252A">
        <w:rPr>
          <w:lang w:val="en-US"/>
        </w:rPr>
        <w:t xml:space="preserve">will serve the </w:t>
      </w:r>
      <w:r w:rsidR="006B019F">
        <w:rPr>
          <w:lang w:val="en-US"/>
        </w:rPr>
        <w:t>public interest to adopt the voluntary industry solution that will provide interoperability in the Lower 700 MHz band.  To effectuate the terms of the industry agreement,</w:t>
      </w:r>
      <w:r w:rsidR="006B019F">
        <w:rPr>
          <w:rStyle w:val="FootnoteReference"/>
          <w:lang w:val="en-US"/>
        </w:rPr>
        <w:footnoteReference w:id="206"/>
      </w:r>
      <w:r w:rsidR="006B019F">
        <w:rPr>
          <w:lang w:val="en-US"/>
        </w:rPr>
        <w:t xml:space="preserve"> we conclude that it is reasonable to allow</w:t>
      </w:r>
      <w:r w:rsidR="00147CDE">
        <w:rPr>
          <w:lang w:val="en-US"/>
        </w:rPr>
        <w:t xml:space="preserve"> AT&amp;T </w:t>
      </w:r>
      <w:r w:rsidR="003E513F">
        <w:rPr>
          <w:lang w:val="en-US"/>
        </w:rPr>
        <w:t>until January 15, 2014</w:t>
      </w:r>
      <w:r w:rsidR="006B019F">
        <w:rPr>
          <w:lang w:val="en-US"/>
        </w:rPr>
        <w:t xml:space="preserve"> to protest the proposed license modifications.  </w:t>
      </w:r>
      <w:r w:rsidRPr="00603CD4">
        <w:t>To protest the proposed modifications, AT&amp;T must</w:t>
      </w:r>
      <w:r w:rsidR="00EE5009">
        <w:rPr>
          <w:lang w:val="en-US"/>
        </w:rPr>
        <w:t>, by</w:t>
      </w:r>
      <w:r w:rsidRPr="000C513D">
        <w:t xml:space="preserve"> </w:t>
      </w:r>
      <w:r w:rsidR="003E513F">
        <w:rPr>
          <w:lang w:val="en-US"/>
        </w:rPr>
        <w:t xml:space="preserve">January 15, 2014 </w:t>
      </w:r>
      <w:r w:rsidRPr="000C513D">
        <w:t>submit a wr</w:t>
      </w:r>
      <w:r w:rsidRPr="00603CD4">
        <w:t>itten statement with sufficient evidence to show that the modification would not be in the public interest.  The protest must</w:t>
      </w:r>
      <w:r w:rsidR="00685484">
        <w:rPr>
          <w:lang w:val="en-US"/>
        </w:rPr>
        <w:t xml:space="preserve"> </w:t>
      </w:r>
      <w:r w:rsidRPr="00603CD4">
        <w:t>be filed in the Electronic Comment Filing System (ECFS) under WT Docket No. 12-69</w:t>
      </w:r>
      <w:r w:rsidRPr="00603CD4">
        <w:rPr>
          <w:vertAlign w:val="superscript"/>
        </w:rPr>
        <w:footnoteReference w:id="207"/>
      </w:r>
      <w:r w:rsidRPr="00603CD4">
        <w:t xml:space="preserve"> or with the Office of the Secretary, Federal Communications Commission, 445 Twelfth Street, S.W., Room TW-A235, Washington, D.C. 20554;</w:t>
      </w:r>
      <w:r w:rsidR="00EE5009">
        <w:rPr>
          <w:lang w:val="en-US"/>
        </w:rPr>
        <w:t xml:space="preserve"> and </w:t>
      </w:r>
      <w:r w:rsidRPr="00603CD4">
        <w:t>the protesting party must</w:t>
      </w:r>
      <w:r w:rsidR="00685484">
        <w:rPr>
          <w:lang w:val="en-US"/>
        </w:rPr>
        <w:t xml:space="preserve"> </w:t>
      </w:r>
      <w:r w:rsidRPr="00603CD4">
        <w:t>send a copy of the protes</w:t>
      </w:r>
      <w:r w:rsidR="00EE5009">
        <w:t xml:space="preserve">t via electronic mail to </w:t>
      </w:r>
      <w:r w:rsidR="00EE5009">
        <w:rPr>
          <w:lang w:val="en-US"/>
        </w:rPr>
        <w:t>Jennifer Salhus</w:t>
      </w:r>
      <w:r w:rsidRPr="00603CD4">
        <w:t xml:space="preserve"> of the Spectrum Competition and Policy Division of the Wireless Telecommunications Bureau at </w:t>
      </w:r>
      <w:r w:rsidR="00EE5009">
        <w:rPr>
          <w:lang w:val="en-US"/>
        </w:rPr>
        <w:t>Jennifer.Salhus</w:t>
      </w:r>
      <w:r w:rsidRPr="00603CD4">
        <w:t>@fcc.gov.</w:t>
      </w:r>
      <w:r w:rsidRPr="00603CD4">
        <w:rPr>
          <w:vertAlign w:val="superscript"/>
        </w:rPr>
        <w:footnoteReference w:id="208"/>
      </w:r>
      <w:r w:rsidR="006D748A">
        <w:t xml:space="preserve">  Once the </w:t>
      </w:r>
      <w:r w:rsidRPr="00603CD4">
        <w:t>protest period has lapsed, AT&amp;T’s right to file a protest expires, and the Commission may modify the licenses as noticed.</w:t>
      </w:r>
      <w:r w:rsidRPr="00603CD4">
        <w:rPr>
          <w:vertAlign w:val="superscript"/>
        </w:rPr>
        <w:footnoteReference w:id="209"/>
      </w:r>
      <w:r w:rsidRPr="00603CD4">
        <w:t xml:space="preserve">  </w:t>
      </w:r>
    </w:p>
    <w:p w:rsidR="00603CD4" w:rsidRPr="00603CD4" w:rsidRDefault="00603CD4" w:rsidP="00D03910">
      <w:pPr>
        <w:pStyle w:val="ParaNum"/>
        <w:keepNext/>
        <w:widowControl/>
        <w:snapToGrid w:val="0"/>
      </w:pPr>
      <w:r w:rsidRPr="00603CD4">
        <w:t xml:space="preserve">We delegate to the Wireless Telecommunications Bureau the authority to issue a license modification order for AT&amp;T’s B and C Block licenses, but </w:t>
      </w:r>
      <w:r w:rsidR="00177E91" w:rsidRPr="00177E91">
        <w:rPr>
          <w:lang w:val="en-US"/>
        </w:rPr>
        <w:t>the Bureau’s delegation of authority does not</w:t>
      </w:r>
      <w:r w:rsidR="00177E91">
        <w:rPr>
          <w:lang w:val="en-US"/>
        </w:rPr>
        <w:t xml:space="preserve"> extend to any modification of AT&amp;T’s B and C Block licenses </w:t>
      </w:r>
      <w:r w:rsidR="00177E91" w:rsidRPr="00177E91">
        <w:rPr>
          <w:lang w:val="en-US"/>
        </w:rPr>
        <w:t xml:space="preserve">that is materially different from the provisions in </w:t>
      </w:r>
      <w:r w:rsidRPr="00603CD4">
        <w:t>paragraphs</w:t>
      </w:r>
      <w:r w:rsidR="00445F75">
        <w:rPr>
          <w:lang w:val="en-US"/>
        </w:rPr>
        <w:t xml:space="preserve"> 67</w:t>
      </w:r>
      <w:r w:rsidR="002D50DA">
        <w:rPr>
          <w:lang w:val="en-US"/>
        </w:rPr>
        <w:t xml:space="preserve"> </w:t>
      </w:r>
      <w:r w:rsidR="00483151">
        <w:rPr>
          <w:lang w:val="en-US"/>
        </w:rPr>
        <w:t>through</w:t>
      </w:r>
      <w:r w:rsidR="002D50DA">
        <w:rPr>
          <w:lang w:val="en-US"/>
        </w:rPr>
        <w:t xml:space="preserve"> </w:t>
      </w:r>
      <w:r w:rsidR="00445F75">
        <w:rPr>
          <w:lang w:val="en-US"/>
        </w:rPr>
        <w:t>70</w:t>
      </w:r>
      <w:r w:rsidRPr="00603CD4">
        <w:t xml:space="preserve"> above.</w:t>
      </w:r>
    </w:p>
    <w:p w:rsidR="00603CD4" w:rsidRPr="00603CD4" w:rsidRDefault="00603CD4" w:rsidP="00D03910">
      <w:pPr>
        <w:pStyle w:val="ParaNum"/>
        <w:keepNext/>
        <w:widowControl/>
        <w:snapToGrid w:val="0"/>
      </w:pPr>
      <w:r w:rsidRPr="00603CD4">
        <w:rPr>
          <w:i/>
        </w:rPr>
        <w:t>Ex Parte Status.</w:t>
      </w:r>
      <w:r w:rsidRPr="00603CD4">
        <w:t xml:space="preserve">  Unless otherwise provided by the Commission or its staff pursuant to Section 1.1200(a),</w:t>
      </w:r>
      <w:r w:rsidRPr="00603CD4">
        <w:rPr>
          <w:vertAlign w:val="superscript"/>
        </w:rPr>
        <w:footnoteReference w:id="210"/>
      </w:r>
      <w:r w:rsidRPr="00603CD4">
        <w:t xml:space="preserve"> a license modification proceeding under Title III of the Communications Act is treated as a restricted proceeding for </w:t>
      </w:r>
      <w:r w:rsidRPr="00603CD4">
        <w:rPr>
          <w:i/>
        </w:rPr>
        <w:t>ex parte</w:t>
      </w:r>
      <w:r w:rsidRPr="00603CD4">
        <w:t xml:space="preserve"> purposes under Section 1.1208 of the Commission’s rules.</w:t>
      </w:r>
      <w:r w:rsidRPr="00603CD4">
        <w:rPr>
          <w:vertAlign w:val="superscript"/>
        </w:rPr>
        <w:footnoteReference w:id="211"/>
      </w:r>
      <w:r w:rsidRPr="00603CD4">
        <w:t xml:space="preserve">  In this case, the license modification proceedings are related to the above-captioned rulemaking proceeding, WT Docket No. 12-69, which is designated as a permit but disclose proceeding under the </w:t>
      </w:r>
      <w:r w:rsidRPr="00603CD4">
        <w:rPr>
          <w:i/>
        </w:rPr>
        <w:t>ex parte</w:t>
      </w:r>
      <w:r w:rsidRPr="00603CD4">
        <w:t xml:space="preserve"> rules.</w:t>
      </w:r>
      <w:r w:rsidRPr="00603CD4">
        <w:rPr>
          <w:vertAlign w:val="superscript"/>
        </w:rPr>
        <w:footnoteReference w:id="212"/>
      </w:r>
      <w:r w:rsidRPr="00603CD4">
        <w:t xml:space="preserve">  Due to the interrelated nature of these proceedings, we find that it is in the public interest to treat the license modification proceedings as permit but disclose proceedings under Section 1.1206 of the Commission’s rules.</w:t>
      </w:r>
      <w:r w:rsidRPr="00603CD4">
        <w:rPr>
          <w:vertAlign w:val="superscript"/>
        </w:rPr>
        <w:footnoteReference w:id="213"/>
      </w:r>
      <w:r w:rsidRPr="00603CD4">
        <w:t xml:space="preserve">  Therefore, any </w:t>
      </w:r>
      <w:r w:rsidRPr="00603CD4">
        <w:rPr>
          <w:i/>
        </w:rPr>
        <w:t>ex parte</w:t>
      </w:r>
      <w:r w:rsidRPr="00603CD4">
        <w:t xml:space="preserve"> presentations that are made with respect to the issues involved in the subject license modification proceedings subsequent to the release of this Order of Proposed Modification will be permissible but must be disclosed in accordance with the requirements of Section 1.1206(b) of the Commission's Rules.</w:t>
      </w:r>
      <w:r w:rsidRPr="00603CD4">
        <w:rPr>
          <w:vertAlign w:val="superscript"/>
        </w:rPr>
        <w:footnoteReference w:id="214"/>
      </w:r>
      <w:r w:rsidRPr="00603CD4">
        <w:t xml:space="preserve">  Persons making </w:t>
      </w:r>
      <w:r w:rsidRPr="00603CD4">
        <w:rPr>
          <w:i/>
        </w:rPr>
        <w:t xml:space="preserve">ex parte </w:t>
      </w:r>
      <w:r w:rsidRPr="00603CD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03CD4">
        <w:rPr>
          <w:i/>
          <w:iCs/>
        </w:rPr>
        <w:t xml:space="preserve">ex parte </w:t>
      </w:r>
      <w:r w:rsidRPr="00603CD4">
        <w:t xml:space="preserve">presentations are reminded that memoranda summarizing the presentation must (1) list all persons attending or otherwise participating in the meeting at which the </w:t>
      </w:r>
      <w:r w:rsidRPr="00603CD4">
        <w:rPr>
          <w:i/>
          <w:iCs/>
        </w:rPr>
        <w:t xml:space="preserve">ex parte </w:t>
      </w:r>
      <w:r w:rsidRPr="00603CD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03CD4">
        <w:rPr>
          <w:i/>
          <w:iCs/>
        </w:rPr>
        <w:t xml:space="preserve">ex parte </w:t>
      </w:r>
      <w:r w:rsidRPr="00603CD4">
        <w:t xml:space="preserve">meetings are deemed to be written </w:t>
      </w:r>
      <w:r w:rsidRPr="00603CD4">
        <w:rPr>
          <w:i/>
          <w:iCs/>
        </w:rPr>
        <w:t>ex parte</w:t>
      </w:r>
      <w:r w:rsidRPr="00603CD4">
        <w:t xml:space="preserve"> presentations and must be filed consistent with rule 1.1206(b).  For administrative convenience only, any filings related to this Order of Proposed Modification must be filed in WT Docket No. 12-69 and may be filed using the Electronic Comment Filing System (ECFS), </w:t>
      </w:r>
      <w:hyperlink r:id="rId9" w:history="1">
        <w:r w:rsidRPr="00603CD4">
          <w:rPr>
            <w:rStyle w:val="Hyperlink"/>
          </w:rPr>
          <w:t>http://apps.fcc.gov/ecfs/2d</w:t>
        </w:r>
      </w:hyperlink>
      <w:r w:rsidRPr="00603CD4">
        <w:t xml:space="preserve">.  In proceedings governed by rule 1.49(f) or for which the Commission has made available a method of electronic filing, written </w:t>
      </w:r>
      <w:r w:rsidRPr="00603CD4">
        <w:rPr>
          <w:i/>
          <w:iCs/>
        </w:rPr>
        <w:t xml:space="preserve">ex parte </w:t>
      </w:r>
      <w:r w:rsidRPr="00603CD4">
        <w:t xml:space="preserve">presentations and memoranda summarizing oral </w:t>
      </w:r>
      <w:r w:rsidRPr="00603CD4">
        <w:rPr>
          <w:i/>
          <w:iCs/>
        </w:rPr>
        <w:t xml:space="preserve">ex parte </w:t>
      </w:r>
      <w:r w:rsidRPr="00603CD4">
        <w:t>presentations, and all attachments thereto, must be filed through the electronic comment filing system available for that proceeding, and must be filed in their native format (</w:t>
      </w:r>
      <w:r w:rsidRPr="00603CD4">
        <w:rPr>
          <w:i/>
          <w:iCs/>
        </w:rPr>
        <w:t>e.g.</w:t>
      </w:r>
      <w:r w:rsidRPr="00603CD4">
        <w:t xml:space="preserve">, .doc, .xml, .ppt, searchable .pdf).  Participants in this proceeding should familiarize themselves with the Commission’s </w:t>
      </w:r>
      <w:r w:rsidRPr="00603CD4">
        <w:rPr>
          <w:i/>
          <w:iCs/>
        </w:rPr>
        <w:t xml:space="preserve">ex parte </w:t>
      </w:r>
      <w:r w:rsidRPr="00603CD4">
        <w:t>rules.</w:t>
      </w:r>
    </w:p>
    <w:p w:rsidR="002969FA" w:rsidRPr="005D7567" w:rsidRDefault="002969FA" w:rsidP="00D03910">
      <w:pPr>
        <w:pStyle w:val="Heading1"/>
        <w:widowControl/>
      </w:pPr>
      <w:bookmarkStart w:id="672" w:name="_Toc367297838"/>
      <w:bookmarkStart w:id="673" w:name="_Toc367384488"/>
      <w:bookmarkStart w:id="674" w:name="_Toc367385273"/>
      <w:bookmarkStart w:id="675" w:name="_Toc367463251"/>
      <w:bookmarkStart w:id="676" w:name="_Toc367715583"/>
      <w:bookmarkStart w:id="677" w:name="_Toc367975871"/>
      <w:bookmarkStart w:id="678" w:name="_Toc367978244"/>
      <w:bookmarkStart w:id="679" w:name="_Toc368049356"/>
      <w:bookmarkStart w:id="680" w:name="_Toc370401674"/>
      <w:r w:rsidRPr="005D7567">
        <w:t xml:space="preserve">Procedural </w:t>
      </w:r>
      <w:bookmarkStart w:id="681" w:name="_Toc230683955"/>
      <w:bookmarkStart w:id="682" w:name="_Toc231534418"/>
      <w:bookmarkStart w:id="683" w:name="_Toc231535175"/>
      <w:bookmarkStart w:id="684" w:name="_Toc231549060"/>
      <w:bookmarkStart w:id="685" w:name="_Toc231610712"/>
      <w:bookmarkStart w:id="686" w:name="_Toc231619377"/>
      <w:bookmarkStart w:id="687" w:name="_Toc231687112"/>
      <w:bookmarkStart w:id="688" w:name="_Toc231706003"/>
      <w:bookmarkStart w:id="689" w:name="_Toc231706217"/>
      <w:bookmarkStart w:id="690" w:name="_Toc231707743"/>
      <w:bookmarkStart w:id="691" w:name="_Toc231812322"/>
      <w:bookmarkStart w:id="692" w:name="_Toc231873517"/>
      <w:bookmarkStart w:id="693" w:name="_Toc232214714"/>
      <w:bookmarkStart w:id="694" w:name="_Toc232219579"/>
      <w:bookmarkStart w:id="695" w:name="_Toc232307442"/>
      <w:bookmarkStart w:id="696" w:name="_Toc232388076"/>
      <w:bookmarkStart w:id="697" w:name="_Toc232392134"/>
      <w:bookmarkStart w:id="698" w:name="_Toc232397999"/>
      <w:bookmarkStart w:id="699" w:name="_Toc232399760"/>
      <w:bookmarkStart w:id="700" w:name="_Toc232400324"/>
      <w:bookmarkStart w:id="701" w:name="_Toc232400457"/>
      <w:bookmarkStart w:id="702" w:name="_Toc232403016"/>
      <w:bookmarkStart w:id="703" w:name="_Toc232404552"/>
      <w:bookmarkStart w:id="704" w:name="_Toc232406433"/>
      <w:bookmarkStart w:id="705" w:name="_Toc232408379"/>
      <w:bookmarkStart w:id="706" w:name="_Toc232410191"/>
      <w:bookmarkStart w:id="707" w:name="_Toc232410549"/>
      <w:bookmarkStart w:id="708" w:name="_Toc232411990"/>
      <w:bookmarkStart w:id="709" w:name="_Toc232412228"/>
      <w:bookmarkStart w:id="710" w:name="_Toc232419244"/>
      <w:bookmarkStart w:id="711" w:name="_Toc232421071"/>
      <w:bookmarkStart w:id="712" w:name="_Toc233442991"/>
      <w:bookmarkStart w:id="713" w:name="_Toc233443285"/>
      <w:bookmarkStart w:id="714" w:name="_Toc233450733"/>
      <w:bookmarkStart w:id="715" w:name="_Toc234125237"/>
      <w:bookmarkStart w:id="716" w:name="_Toc234806613"/>
      <w:bookmarkStart w:id="717" w:name="_Toc235253988"/>
      <w:bookmarkStart w:id="718" w:name="_Toc235499929"/>
      <w:bookmarkStart w:id="719" w:name="_Toc238548884"/>
      <w:bookmarkStart w:id="720" w:name="_Toc238549476"/>
      <w:bookmarkStart w:id="721" w:name="_Toc238612115"/>
      <w:bookmarkStart w:id="722" w:name="_Toc238612302"/>
      <w:bookmarkStart w:id="723" w:name="_Toc238612709"/>
      <w:bookmarkStart w:id="724" w:name="_Toc245199539"/>
      <w:bookmarkStart w:id="725" w:name="_Toc245202268"/>
      <w:bookmarkStart w:id="726" w:name="_Toc248739656"/>
      <w:bookmarkStart w:id="727" w:name="_Toc248740847"/>
      <w:bookmarkStart w:id="728" w:name="_Toc248803157"/>
      <w:bookmarkStart w:id="729" w:name="_Toc248804913"/>
      <w:bookmarkStart w:id="730" w:name="_Toc248814267"/>
      <w:bookmarkStart w:id="731" w:name="_Toc248909537"/>
      <w:bookmarkStart w:id="732" w:name="_Toc259178217"/>
      <w:bookmarkStart w:id="733" w:name="_Toc259178326"/>
      <w:bookmarkStart w:id="734" w:name="_Toc259779425"/>
      <w:bookmarkStart w:id="735" w:name="_Toc260058992"/>
      <w:bookmarkStart w:id="736" w:name="_Toc260125060"/>
      <w:bookmarkStart w:id="737" w:name="_Toc260135939"/>
      <w:bookmarkStart w:id="738" w:name="_Toc260388822"/>
      <w:bookmarkStart w:id="739" w:name="_Toc260905152"/>
      <w:bookmarkStart w:id="740" w:name="_Toc261507249"/>
      <w:bookmarkStart w:id="741" w:name="_Toc261585641"/>
      <w:bookmarkStart w:id="742" w:name="_Toc262717608"/>
      <w:bookmarkStart w:id="743" w:name="_Toc263400940"/>
      <w:bookmarkStart w:id="744" w:name="_Toc263688805"/>
      <w:bookmarkStart w:id="745" w:name="_Toc312236290"/>
      <w:bookmarkStart w:id="746" w:name="_Toc312237013"/>
      <w:bookmarkStart w:id="747" w:name="_Toc312237048"/>
      <w:bookmarkStart w:id="748" w:name="_Toc313634759"/>
      <w:bookmarkStart w:id="749" w:name="_Toc313635161"/>
      <w:bookmarkStart w:id="750" w:name="_Toc313635182"/>
      <w:bookmarkStart w:id="751" w:name="_Toc313635229"/>
      <w:bookmarkStart w:id="752" w:name="_Toc313635276"/>
      <w:bookmarkStart w:id="753" w:name="_Toc313635805"/>
      <w:bookmarkStart w:id="754" w:name="_Toc313635871"/>
      <w:bookmarkStart w:id="755" w:name="_Toc313636653"/>
      <w:bookmarkStart w:id="756" w:name="_Toc313637356"/>
      <w:bookmarkStart w:id="757" w:name="_Toc313637868"/>
      <w:bookmarkStart w:id="758" w:name="_Toc313638373"/>
      <w:bookmarkStart w:id="759" w:name="_Toc313881011"/>
      <w:bookmarkStart w:id="760" w:name="_Toc314216655"/>
      <w:bookmarkStart w:id="761" w:name="_Toc314216891"/>
      <w:bookmarkStart w:id="762" w:name="_Toc314218148"/>
      <w:bookmarkStart w:id="763" w:name="_Toc314228888"/>
      <w:bookmarkStart w:id="764" w:name="_Toc314229205"/>
      <w:bookmarkStart w:id="765" w:name="_Toc314234440"/>
      <w:bookmarkStart w:id="766" w:name="_Toc314234895"/>
      <w:bookmarkStart w:id="767" w:name="_Toc314236026"/>
      <w:bookmarkStart w:id="768" w:name="_Toc314238390"/>
      <w:bookmarkStart w:id="769" w:name="_Toc315344713"/>
      <w:bookmarkStart w:id="770" w:name="_Toc315349208"/>
      <w:bookmarkStart w:id="771" w:name="_Toc315349313"/>
      <w:bookmarkStart w:id="772" w:name="_Toc315349735"/>
      <w:bookmarkStart w:id="773" w:name="_Toc315351131"/>
      <w:bookmarkStart w:id="774" w:name="_Toc315352217"/>
      <w:bookmarkStart w:id="775" w:name="_Toc315443574"/>
      <w:bookmarkStart w:id="776" w:name="_Toc316030682"/>
      <w:bookmarkStart w:id="777" w:name="_Toc316032527"/>
      <w:bookmarkStart w:id="778" w:name="_Toc316033724"/>
      <w:bookmarkStart w:id="779" w:name="_Toc316037012"/>
      <w:bookmarkStart w:id="780" w:name="_Toc316037277"/>
      <w:bookmarkStart w:id="781" w:name="_Toc316038311"/>
      <w:bookmarkStart w:id="782" w:name="_Toc316038503"/>
      <w:bookmarkStart w:id="783" w:name="_Toc316038595"/>
      <w:bookmarkStart w:id="784" w:name="_Toc316041940"/>
      <w:bookmarkStart w:id="785" w:name="_Toc316043804"/>
      <w:bookmarkStart w:id="786" w:name="_Toc316059859"/>
      <w:bookmarkStart w:id="787" w:name="_Toc316060994"/>
      <w:bookmarkStart w:id="788" w:name="_Toc316392585"/>
      <w:bookmarkStart w:id="789" w:name="_Toc316393300"/>
      <w:bookmarkStart w:id="790" w:name="_Toc316393469"/>
      <w:bookmarkStart w:id="791" w:name="_Toc316394267"/>
      <w:bookmarkStart w:id="792" w:name="_Toc316396254"/>
      <w:bookmarkStart w:id="793" w:name="_Toc316987396"/>
      <w:bookmarkStart w:id="794" w:name="_Toc316987955"/>
      <w:bookmarkStart w:id="795" w:name="_Toc316992343"/>
      <w:bookmarkStart w:id="796" w:name="_Toc316999281"/>
      <w:bookmarkStart w:id="797" w:name="_Toc317002647"/>
      <w:bookmarkStart w:id="798" w:name="_Toc317161365"/>
      <w:bookmarkStart w:id="799" w:name="_Toc317164454"/>
      <w:bookmarkStart w:id="800" w:name="_Toc317168551"/>
      <w:bookmarkStart w:id="801" w:name="_Toc317174558"/>
      <w:bookmarkStart w:id="802" w:name="_Toc317240097"/>
      <w:bookmarkStart w:id="803" w:name="_Toc317240521"/>
      <w:bookmarkStart w:id="804" w:name="_Toc317263642"/>
      <w:bookmarkStart w:id="805" w:name="_Toc317759455"/>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5D7567">
        <w:t>Matters</w:t>
      </w:r>
      <w:bookmarkStart w:id="806" w:name="_Toc345332283"/>
      <w:bookmarkStart w:id="807" w:name="_Toc345332152"/>
      <w:bookmarkStart w:id="808" w:name="_Toc336533910"/>
      <w:bookmarkStart w:id="809" w:name="_Toc334693150"/>
      <w:bookmarkStart w:id="810" w:name="_Toc334199726"/>
      <w:bookmarkStart w:id="811" w:name="_Toc334199689"/>
      <w:bookmarkStart w:id="812" w:name="_Toc334198519"/>
      <w:bookmarkStart w:id="813" w:name="_Toc334027687"/>
      <w:bookmarkStart w:id="814" w:name="_Toc333590679"/>
      <w:bookmarkStart w:id="815" w:name="_Toc333573846"/>
      <w:bookmarkStart w:id="816" w:name="_Toc333562842"/>
      <w:bookmarkStart w:id="817" w:name="_Toc333482563"/>
      <w:bookmarkStart w:id="818" w:name="_Toc333479339"/>
      <w:bookmarkStart w:id="819" w:name="_Toc333477380"/>
      <w:bookmarkStart w:id="820" w:name="_Toc333477039"/>
      <w:bookmarkStart w:id="821" w:name="_Toc333476927"/>
      <w:bookmarkStart w:id="822" w:name="_Toc331690616"/>
      <w:bookmarkStart w:id="823" w:name="_Toc331429682"/>
      <w:bookmarkStart w:id="824" w:name="_Toc330391801"/>
      <w:bookmarkStart w:id="825" w:name="_Toc330391421"/>
      <w:bookmarkStart w:id="826" w:name="_Toc330390664"/>
      <w:bookmarkStart w:id="827" w:name="_Toc330388419"/>
      <w:bookmarkStart w:id="828" w:name="_Toc330388158"/>
      <w:bookmarkStart w:id="829" w:name="_Toc322940884"/>
      <w:bookmarkStart w:id="830" w:name="_Toc322936459"/>
      <w:bookmarkStart w:id="831" w:name="_Toc322936207"/>
      <w:bookmarkStart w:id="832" w:name="_Toc320085463"/>
      <w:bookmarkStart w:id="833" w:name="_Toc320013982"/>
      <w:bookmarkStart w:id="834" w:name="_Toc319947343"/>
      <w:bookmarkStart w:id="835" w:name="_Toc319573148"/>
      <w:bookmarkStart w:id="836" w:name="_Toc319571111"/>
      <w:bookmarkStart w:id="837" w:name="_Toc319402152"/>
      <w:bookmarkStart w:id="838" w:name="_Toc319316461"/>
      <w:bookmarkStart w:id="839" w:name="_Toc319077550"/>
      <w:bookmarkStart w:id="840" w:name="_Toc319073389"/>
      <w:bookmarkStart w:id="841" w:name="_Toc319056168"/>
      <w:bookmarkStart w:id="842" w:name="_Toc318296649"/>
      <w:bookmarkStart w:id="843" w:name="_Toc318286537"/>
      <w:bookmarkStart w:id="844" w:name="_Toc318213942"/>
      <w:bookmarkStart w:id="845" w:name="_Toc318136766"/>
      <w:bookmarkStart w:id="846" w:name="_Toc318121464"/>
      <w:bookmarkStart w:id="847" w:name="_Toc318120674"/>
      <w:bookmarkStart w:id="848" w:name="_Toc318119719"/>
      <w:bookmarkStart w:id="849" w:name="_Toc318119591"/>
      <w:bookmarkStart w:id="850" w:name="_Toc317786564"/>
      <w:bookmarkStart w:id="851" w:name="_Toc317786353"/>
      <w:bookmarkStart w:id="852" w:name="_Toc317785295"/>
      <w:bookmarkStart w:id="853" w:name="_Toc317785141"/>
      <w:bookmarkStart w:id="854" w:name="_Toc317781544"/>
      <w:bookmarkStart w:id="855" w:name="_Toc317781392"/>
      <w:bookmarkStart w:id="856" w:name="_Toc317775954"/>
      <w:bookmarkStart w:id="857" w:name="_Toc317775835"/>
      <w:bookmarkStart w:id="858" w:name="_Toc317775765"/>
      <w:bookmarkStart w:id="859" w:name="_Toc317769140"/>
      <w:bookmarkStart w:id="860" w:name="_Toc317764647"/>
      <w:bookmarkStart w:id="861" w:name="_Toc314238387"/>
      <w:bookmarkStart w:id="862" w:name="_Toc314236023"/>
      <w:bookmarkStart w:id="863" w:name="_Toc314234892"/>
      <w:bookmarkStart w:id="864" w:name="_Toc314234437"/>
      <w:bookmarkStart w:id="865" w:name="_Toc314229202"/>
      <w:bookmarkStart w:id="866" w:name="_Toc314228885"/>
      <w:bookmarkStart w:id="867" w:name="_Toc314218145"/>
      <w:bookmarkStart w:id="868" w:name="_Toc314216888"/>
      <w:bookmarkStart w:id="869" w:name="_Toc314216652"/>
      <w:bookmarkStart w:id="870" w:name="_Toc313881008"/>
      <w:bookmarkStart w:id="871" w:name="_Toc313638370"/>
      <w:bookmarkStart w:id="872" w:name="_Toc313637865"/>
      <w:bookmarkStart w:id="873" w:name="_Toc313637353"/>
      <w:bookmarkStart w:id="874" w:name="_Toc313636650"/>
      <w:bookmarkStart w:id="875" w:name="_Toc313635868"/>
      <w:bookmarkStart w:id="876" w:name="_Toc313635802"/>
      <w:bookmarkStart w:id="877" w:name="_Toc313635273"/>
      <w:bookmarkStart w:id="878" w:name="_Toc313635226"/>
      <w:bookmarkStart w:id="879" w:name="_Toc313635179"/>
      <w:bookmarkStart w:id="880" w:name="_Toc313635158"/>
      <w:bookmarkStart w:id="881" w:name="_Toc313634756"/>
      <w:bookmarkStart w:id="882" w:name="_Toc312237045"/>
      <w:bookmarkStart w:id="883" w:name="_Toc312237010"/>
      <w:bookmarkStart w:id="884" w:name="_Toc312236287"/>
      <w:bookmarkStart w:id="885" w:name="_Toc263688802"/>
      <w:bookmarkStart w:id="886" w:name="_Toc263400937"/>
      <w:bookmarkStart w:id="887" w:name="_Toc262717605"/>
      <w:bookmarkStart w:id="888" w:name="_Toc261585638"/>
      <w:bookmarkStart w:id="889" w:name="_Toc261507246"/>
      <w:bookmarkStart w:id="890" w:name="_Toc260905149"/>
      <w:bookmarkStart w:id="891" w:name="_Toc260388819"/>
      <w:bookmarkStart w:id="892" w:name="_Toc260135936"/>
      <w:bookmarkStart w:id="893" w:name="_Toc260125057"/>
      <w:bookmarkStart w:id="894" w:name="_Toc260058989"/>
      <w:bookmarkStart w:id="895" w:name="_Toc259779422"/>
      <w:bookmarkStart w:id="896" w:name="_Toc259178323"/>
      <w:bookmarkStart w:id="897" w:name="_Toc259178214"/>
      <w:bookmarkStart w:id="898" w:name="_Toc248909534"/>
      <w:bookmarkStart w:id="899" w:name="_Toc248814264"/>
      <w:bookmarkStart w:id="900" w:name="_Toc248804910"/>
      <w:bookmarkStart w:id="901" w:name="_Toc248803154"/>
      <w:bookmarkStart w:id="902" w:name="_Toc248740844"/>
      <w:bookmarkStart w:id="903" w:name="_Toc248739653"/>
      <w:bookmarkStart w:id="904" w:name="_Toc245202265"/>
      <w:bookmarkStart w:id="905" w:name="_Toc245199536"/>
      <w:bookmarkStart w:id="906" w:name="_Toc238612706"/>
      <w:bookmarkStart w:id="907" w:name="_Toc238612299"/>
      <w:bookmarkStart w:id="908" w:name="_Toc238612112"/>
      <w:bookmarkStart w:id="909" w:name="_Toc238549473"/>
      <w:bookmarkStart w:id="910" w:name="_Toc238548881"/>
      <w:bookmarkStart w:id="911" w:name="_Toc235499926"/>
      <w:bookmarkStart w:id="912" w:name="_Toc235253985"/>
      <w:bookmarkStart w:id="913" w:name="_Toc234806610"/>
      <w:bookmarkStart w:id="914" w:name="_Toc234125234"/>
      <w:bookmarkStart w:id="915" w:name="_Toc233450730"/>
      <w:bookmarkStart w:id="916" w:name="_Toc233443282"/>
      <w:bookmarkStart w:id="917" w:name="_Toc233442988"/>
      <w:bookmarkStart w:id="918" w:name="_Toc232421068"/>
      <w:bookmarkStart w:id="919" w:name="_Toc232419241"/>
      <w:bookmarkStart w:id="920" w:name="_Toc232412225"/>
      <w:bookmarkStart w:id="921" w:name="_Toc232411987"/>
      <w:bookmarkStart w:id="922" w:name="_Toc232410546"/>
      <w:bookmarkStart w:id="923" w:name="_Toc232410188"/>
      <w:bookmarkStart w:id="924" w:name="_Toc232408376"/>
      <w:bookmarkStart w:id="925" w:name="_Toc232406430"/>
      <w:bookmarkStart w:id="926" w:name="_Toc232404549"/>
      <w:bookmarkStart w:id="927" w:name="_Toc232403013"/>
      <w:bookmarkStart w:id="928" w:name="_Toc232400454"/>
      <w:bookmarkStart w:id="929" w:name="_Toc232400321"/>
      <w:bookmarkStart w:id="930" w:name="_Toc232399757"/>
      <w:bookmarkStart w:id="931" w:name="_Toc232397996"/>
      <w:bookmarkStart w:id="932" w:name="_Toc232392131"/>
      <w:bookmarkStart w:id="933" w:name="_Toc232388073"/>
      <w:bookmarkStart w:id="934" w:name="_Toc232307439"/>
      <w:bookmarkStart w:id="935" w:name="_Toc232219576"/>
      <w:bookmarkStart w:id="936" w:name="_Toc232214711"/>
      <w:bookmarkStart w:id="937" w:name="_Toc231873514"/>
      <w:bookmarkStart w:id="938" w:name="_Toc231812319"/>
      <w:bookmarkStart w:id="939" w:name="_Toc231707740"/>
      <w:bookmarkStart w:id="940" w:name="_Toc231706214"/>
      <w:bookmarkStart w:id="941" w:name="_Toc231706000"/>
      <w:bookmarkStart w:id="942" w:name="_Toc231687109"/>
      <w:bookmarkStart w:id="943" w:name="_Toc231619374"/>
      <w:bookmarkStart w:id="944" w:name="_Toc231610709"/>
      <w:bookmarkStart w:id="945" w:name="_Toc231549057"/>
      <w:bookmarkStart w:id="946" w:name="_Toc231535172"/>
      <w:bookmarkStart w:id="947" w:name="_Toc231534415"/>
      <w:bookmarkStart w:id="948" w:name="_Toc23068395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2969FA" w:rsidRPr="005D7567" w:rsidRDefault="002969FA" w:rsidP="005B76F1">
      <w:pPr>
        <w:pStyle w:val="Heading2"/>
        <w:rPr>
          <w:szCs w:val="22"/>
        </w:rPr>
      </w:pPr>
      <w:bookmarkStart w:id="949" w:name="_Toc363670226"/>
      <w:bookmarkStart w:id="950" w:name="_Toc363239560"/>
      <w:bookmarkStart w:id="951" w:name="_Toc363239530"/>
      <w:bookmarkStart w:id="952" w:name="_Toc363219738"/>
      <w:bookmarkStart w:id="953" w:name="_Toc359508238"/>
      <w:bookmarkStart w:id="954" w:name="_Toc359484929"/>
      <w:bookmarkStart w:id="955" w:name="_Toc359484869"/>
      <w:bookmarkStart w:id="956" w:name="_Toc358638697"/>
      <w:bookmarkStart w:id="957" w:name="_Toc358638679"/>
      <w:bookmarkStart w:id="958" w:name="_Toc358638637"/>
      <w:bookmarkStart w:id="959" w:name="_Toc358635152"/>
      <w:bookmarkStart w:id="960" w:name="_Toc358634938"/>
      <w:bookmarkStart w:id="961" w:name="_Toc358105138"/>
      <w:bookmarkStart w:id="962" w:name="_Toc351730495"/>
      <w:bookmarkStart w:id="963" w:name="_Toc351376950"/>
      <w:bookmarkStart w:id="964" w:name="_Toc351376403"/>
      <w:bookmarkStart w:id="965" w:name="_Toc350949357"/>
      <w:bookmarkStart w:id="966" w:name="_Toc350949296"/>
      <w:bookmarkStart w:id="967" w:name="_Toc350175402"/>
      <w:bookmarkStart w:id="968" w:name="_Toc364339647"/>
      <w:bookmarkStart w:id="969" w:name="_Toc364363117"/>
      <w:bookmarkStart w:id="970" w:name="_Toc365289479"/>
      <w:bookmarkStart w:id="971" w:name="_Toc365297796"/>
      <w:bookmarkStart w:id="972" w:name="_Toc366080758"/>
      <w:bookmarkStart w:id="973" w:name="_Toc366081294"/>
      <w:bookmarkStart w:id="974" w:name="_Toc366142313"/>
      <w:bookmarkStart w:id="975" w:name="_Toc366160466"/>
      <w:bookmarkStart w:id="976" w:name="_Toc366161318"/>
      <w:bookmarkStart w:id="977" w:name="_Toc366677424"/>
      <w:bookmarkStart w:id="978" w:name="_Toc366696630"/>
      <w:bookmarkStart w:id="979" w:name="_Toc366740272"/>
      <w:bookmarkStart w:id="980" w:name="_Toc366766681"/>
      <w:bookmarkStart w:id="981" w:name="_Toc366771508"/>
      <w:bookmarkStart w:id="982" w:name="_Toc367201513"/>
      <w:bookmarkStart w:id="983" w:name="_Toc367297839"/>
      <w:bookmarkStart w:id="984" w:name="_Toc367384489"/>
      <w:bookmarkStart w:id="985" w:name="_Toc367385274"/>
      <w:bookmarkStart w:id="986" w:name="_Toc367463252"/>
      <w:bookmarkStart w:id="987" w:name="_Toc367715584"/>
      <w:bookmarkStart w:id="988" w:name="_Toc367975872"/>
      <w:bookmarkStart w:id="989" w:name="_Toc367978245"/>
      <w:bookmarkStart w:id="990" w:name="_Toc368049357"/>
      <w:bookmarkStart w:id="991" w:name="_Toc370401675"/>
      <w:r w:rsidRPr="005D7567">
        <w:t>Final Regulatory Flexibility Analysis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5D7567">
        <w:rPr>
          <w:rStyle w:val="StyleParaNum11ptCharCharCharCharCharCharCharCharCharCharCharCharCharCharCharCharCharCharCharCharCharCharCharCharCharCharCharCharCharCharCharCharCharCharCharCharCharCharCharCharChar"/>
          <w:szCs w:val="22"/>
        </w:rPr>
        <w:t xml:space="preserve"> </w:t>
      </w:r>
    </w:p>
    <w:p w:rsidR="002969FA" w:rsidRPr="005B76F1" w:rsidRDefault="002969FA" w:rsidP="00D03910">
      <w:pPr>
        <w:pStyle w:val="ParaNum"/>
        <w:keepNext/>
        <w:widowControl/>
        <w:snapToGrid w:val="0"/>
      </w:pPr>
      <w:bookmarkStart w:id="992" w:name="_Toc345332284"/>
      <w:bookmarkStart w:id="993" w:name="_Toc345332153"/>
      <w:bookmarkStart w:id="994" w:name="_Toc336533911"/>
      <w:bookmarkStart w:id="995" w:name="_Toc334693151"/>
      <w:bookmarkStart w:id="996" w:name="_Toc334199727"/>
      <w:bookmarkStart w:id="997" w:name="_Toc334199690"/>
      <w:bookmarkStart w:id="998" w:name="_Toc334198520"/>
      <w:bookmarkStart w:id="999" w:name="_Toc334027688"/>
      <w:bookmarkStart w:id="1000" w:name="_Toc333590680"/>
      <w:bookmarkStart w:id="1001" w:name="_Toc333573847"/>
      <w:bookmarkStart w:id="1002" w:name="_Toc333562843"/>
      <w:bookmarkStart w:id="1003" w:name="_Toc333482564"/>
      <w:bookmarkStart w:id="1004" w:name="_Toc333479340"/>
      <w:bookmarkStart w:id="1005" w:name="_Toc333477381"/>
      <w:bookmarkStart w:id="1006" w:name="_Toc333477040"/>
      <w:bookmarkStart w:id="1007" w:name="_Toc333476928"/>
      <w:bookmarkStart w:id="1008" w:name="_Toc331690617"/>
      <w:bookmarkStart w:id="1009" w:name="_Toc331429683"/>
      <w:bookmarkStart w:id="1010" w:name="_Toc330391802"/>
      <w:bookmarkStart w:id="1011" w:name="_Toc330391422"/>
      <w:bookmarkStart w:id="1012" w:name="_Toc330390665"/>
      <w:bookmarkStart w:id="1013" w:name="_Toc330388420"/>
      <w:bookmarkStart w:id="1014" w:name="_Toc330388159"/>
      <w:bookmarkStart w:id="1015" w:name="_Toc322940885"/>
      <w:bookmarkStart w:id="1016" w:name="_Toc322936460"/>
      <w:bookmarkStart w:id="1017" w:name="_Toc322936208"/>
      <w:bookmarkStart w:id="1018" w:name="_Toc320085464"/>
      <w:bookmarkStart w:id="1019" w:name="_Toc320013983"/>
      <w:bookmarkStart w:id="1020" w:name="_Toc319947344"/>
      <w:bookmarkStart w:id="1021" w:name="_Toc319573149"/>
      <w:bookmarkStart w:id="1022" w:name="_Toc319571112"/>
      <w:bookmarkStart w:id="1023" w:name="_Toc319402153"/>
      <w:bookmarkStart w:id="1024" w:name="_Toc319316462"/>
      <w:bookmarkStart w:id="1025" w:name="_Toc319077551"/>
      <w:bookmarkStart w:id="1026" w:name="_Toc319073390"/>
      <w:bookmarkStart w:id="1027" w:name="_Toc319056169"/>
      <w:bookmarkStart w:id="1028" w:name="_Toc318296650"/>
      <w:bookmarkStart w:id="1029" w:name="_Toc318286538"/>
      <w:bookmarkStart w:id="1030" w:name="_Toc318213943"/>
      <w:bookmarkStart w:id="1031" w:name="_Toc318136767"/>
      <w:bookmarkStart w:id="1032" w:name="_Toc318121465"/>
      <w:bookmarkStart w:id="1033" w:name="_Toc318120675"/>
      <w:bookmarkStart w:id="1034" w:name="_Toc318119720"/>
      <w:bookmarkStart w:id="1035" w:name="_Toc318119592"/>
      <w:bookmarkStart w:id="1036" w:name="_Toc317786565"/>
      <w:bookmarkStart w:id="1037" w:name="_Toc317786354"/>
      <w:bookmarkStart w:id="1038" w:name="_Toc317785296"/>
      <w:bookmarkStart w:id="1039" w:name="_Toc317785142"/>
      <w:bookmarkStart w:id="1040" w:name="_Toc317781545"/>
      <w:bookmarkStart w:id="1041" w:name="_Toc317781393"/>
      <w:bookmarkStart w:id="1042" w:name="_Toc317775955"/>
      <w:bookmarkStart w:id="1043" w:name="_Toc317775836"/>
      <w:bookmarkStart w:id="1044" w:name="_Toc317775766"/>
      <w:bookmarkStart w:id="1045" w:name="_Toc317769141"/>
      <w:bookmarkStart w:id="1046" w:name="_Toc317764648"/>
      <w:bookmarkStart w:id="1047" w:name="_Toc314238388"/>
      <w:bookmarkStart w:id="1048" w:name="_Toc314236024"/>
      <w:bookmarkStart w:id="1049" w:name="_Toc314234893"/>
      <w:bookmarkStart w:id="1050" w:name="_Toc314234438"/>
      <w:bookmarkStart w:id="1051" w:name="_Toc314229203"/>
      <w:bookmarkStart w:id="1052" w:name="_Toc314228886"/>
      <w:bookmarkStart w:id="1053" w:name="_Toc314218146"/>
      <w:bookmarkStart w:id="1054" w:name="_Toc314216889"/>
      <w:bookmarkStart w:id="1055" w:name="_Toc314216653"/>
      <w:bookmarkStart w:id="1056" w:name="_Toc313881009"/>
      <w:bookmarkStart w:id="1057" w:name="_Toc313638371"/>
      <w:bookmarkStart w:id="1058" w:name="_Toc313637866"/>
      <w:bookmarkStart w:id="1059" w:name="_Toc313637354"/>
      <w:bookmarkStart w:id="1060" w:name="_Toc313636651"/>
      <w:bookmarkStart w:id="1061" w:name="_Toc313635869"/>
      <w:bookmarkStart w:id="1062" w:name="_Toc313635803"/>
      <w:bookmarkStart w:id="1063" w:name="_Toc313635274"/>
      <w:bookmarkStart w:id="1064" w:name="_Toc313635227"/>
      <w:bookmarkStart w:id="1065" w:name="_Toc313635180"/>
      <w:bookmarkStart w:id="1066" w:name="_Toc313635159"/>
      <w:bookmarkStart w:id="1067" w:name="_Toc313634757"/>
      <w:bookmarkStart w:id="1068" w:name="_Toc312237046"/>
      <w:bookmarkStart w:id="1069" w:name="_Toc312237011"/>
      <w:bookmarkStart w:id="1070" w:name="_Toc312236288"/>
      <w:bookmarkStart w:id="1071" w:name="_Toc263688803"/>
      <w:bookmarkStart w:id="1072" w:name="_Toc263400938"/>
      <w:bookmarkStart w:id="1073" w:name="_Toc262717606"/>
      <w:bookmarkStart w:id="1074" w:name="_Toc261585639"/>
      <w:bookmarkStart w:id="1075" w:name="_Toc261507247"/>
      <w:bookmarkStart w:id="1076" w:name="_Toc260905150"/>
      <w:bookmarkStart w:id="1077" w:name="_Toc260388820"/>
      <w:bookmarkStart w:id="1078" w:name="_Toc260135937"/>
      <w:bookmarkStart w:id="1079" w:name="_Toc260125058"/>
      <w:bookmarkStart w:id="1080" w:name="_Toc260058990"/>
      <w:bookmarkStart w:id="1081" w:name="_Toc259779423"/>
      <w:bookmarkStart w:id="1082" w:name="_Toc259178324"/>
      <w:bookmarkStart w:id="1083" w:name="_Toc259178215"/>
      <w:bookmarkStart w:id="1084" w:name="_Toc248909535"/>
      <w:bookmarkStart w:id="1085" w:name="_Toc248814265"/>
      <w:bookmarkStart w:id="1086" w:name="_Toc248804911"/>
      <w:bookmarkStart w:id="1087" w:name="_Toc248803155"/>
      <w:bookmarkStart w:id="1088" w:name="_Toc248740845"/>
      <w:bookmarkStart w:id="1089" w:name="_Toc248739654"/>
      <w:bookmarkStart w:id="1090" w:name="_Toc245202266"/>
      <w:bookmarkStart w:id="1091" w:name="_Toc245199537"/>
      <w:bookmarkStart w:id="1092" w:name="_Toc238612707"/>
      <w:bookmarkStart w:id="1093" w:name="_Toc238612300"/>
      <w:bookmarkStart w:id="1094" w:name="_Toc238612113"/>
      <w:bookmarkStart w:id="1095" w:name="_Toc238549474"/>
      <w:bookmarkStart w:id="1096" w:name="_Toc238548882"/>
      <w:bookmarkStart w:id="1097" w:name="_Toc235499927"/>
      <w:bookmarkStart w:id="1098" w:name="_Toc235253986"/>
      <w:bookmarkStart w:id="1099" w:name="_Toc234806611"/>
      <w:bookmarkStart w:id="1100" w:name="_Toc234125235"/>
      <w:bookmarkStart w:id="1101" w:name="_Toc233450731"/>
      <w:bookmarkStart w:id="1102" w:name="_Toc233443283"/>
      <w:bookmarkStart w:id="1103" w:name="_Toc233442989"/>
      <w:bookmarkStart w:id="1104" w:name="_Toc232421069"/>
      <w:bookmarkStart w:id="1105" w:name="_Toc232419242"/>
      <w:bookmarkStart w:id="1106" w:name="_Toc232412226"/>
      <w:bookmarkStart w:id="1107" w:name="_Toc232411988"/>
      <w:bookmarkStart w:id="1108" w:name="_Toc232410547"/>
      <w:bookmarkStart w:id="1109" w:name="_Toc232410189"/>
      <w:bookmarkStart w:id="1110" w:name="_Toc232408377"/>
      <w:bookmarkStart w:id="1111" w:name="_Toc232406431"/>
      <w:bookmarkStart w:id="1112" w:name="_Toc232404550"/>
      <w:bookmarkStart w:id="1113" w:name="_Toc232403014"/>
      <w:bookmarkStart w:id="1114" w:name="_Toc232400455"/>
      <w:bookmarkStart w:id="1115" w:name="_Toc232400322"/>
      <w:bookmarkStart w:id="1116" w:name="_Toc232399758"/>
      <w:bookmarkStart w:id="1117" w:name="_Toc232397997"/>
      <w:bookmarkStart w:id="1118" w:name="_Toc232392132"/>
      <w:bookmarkStart w:id="1119" w:name="_Toc232388074"/>
      <w:bookmarkStart w:id="1120" w:name="_Toc232307440"/>
      <w:bookmarkStart w:id="1121" w:name="_Toc232219577"/>
      <w:bookmarkStart w:id="1122" w:name="_Toc232214712"/>
      <w:bookmarkStart w:id="1123" w:name="_Toc231873515"/>
      <w:bookmarkStart w:id="1124" w:name="_Toc231812320"/>
      <w:bookmarkStart w:id="1125" w:name="_Toc231707741"/>
      <w:bookmarkStart w:id="1126" w:name="_Toc231706215"/>
      <w:bookmarkStart w:id="1127" w:name="_Toc231706001"/>
      <w:bookmarkStart w:id="1128" w:name="_Toc231687110"/>
      <w:bookmarkStart w:id="1129" w:name="_Toc231619375"/>
      <w:bookmarkStart w:id="1130" w:name="_Toc231610710"/>
      <w:bookmarkStart w:id="1131" w:name="_Toc231549058"/>
      <w:bookmarkStart w:id="1132" w:name="_Toc231535173"/>
      <w:bookmarkStart w:id="1133" w:name="_Toc231534416"/>
      <w:bookmarkStart w:id="1134" w:name="_Toc230683953"/>
      <w:r w:rsidRPr="005D7567">
        <w:t>The Regulatory Flexibility Act (RFA)</w:t>
      </w:r>
      <w:r w:rsidRPr="005D7567">
        <w:rPr>
          <w:rStyle w:val="FootnoteReference"/>
        </w:rPr>
        <w:footnoteReference w:id="215"/>
      </w:r>
      <w:r w:rsidRPr="005D7567">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5D7567">
        <w:rPr>
          <w:rStyle w:val="FootnoteReference"/>
        </w:rPr>
        <w:footnoteReference w:id="216"/>
      </w:r>
      <w:r w:rsidRPr="005D7567">
        <w:t xml:space="preserve">  Accordingly, we have prepared a Final Regulatory Flexibility Analysis concerning the possible impact of the rule changes contained in the Report and Order</w:t>
      </w:r>
      <w:r w:rsidRPr="005D7567">
        <w:rPr>
          <w:i/>
        </w:rPr>
        <w:t xml:space="preserve"> </w:t>
      </w:r>
      <w:r w:rsidRPr="005D7567">
        <w:t>on small entities.  The Final Regulatory Flexibility Analysis is set forth in Appendix B.</w:t>
      </w:r>
    </w:p>
    <w:p w:rsidR="005B76F1" w:rsidRPr="005D7567" w:rsidRDefault="005B76F1" w:rsidP="005B76F1"/>
    <w:p w:rsidR="002969FA" w:rsidRPr="005D7567" w:rsidRDefault="002969FA" w:rsidP="005B76F1">
      <w:pPr>
        <w:pStyle w:val="Heading2"/>
        <w:rPr>
          <w:rStyle w:val="StyleParaNum11ptCharCharCharCharCharCharCharCharCharCharCharCharCharCharCharCharCharCharCharCharCharCharCharCharCharCharCharCharCharCharCharCharCharCharCharCharCharCharCharCharChar"/>
          <w:b w:val="0"/>
        </w:rPr>
      </w:pPr>
      <w:bookmarkStart w:id="1135" w:name="_Toc363670227"/>
      <w:bookmarkStart w:id="1136" w:name="_Toc363239561"/>
      <w:bookmarkStart w:id="1137" w:name="_Toc363239531"/>
      <w:bookmarkStart w:id="1138" w:name="_Toc363219739"/>
      <w:bookmarkStart w:id="1139" w:name="_Toc359508239"/>
      <w:bookmarkStart w:id="1140" w:name="_Toc359484930"/>
      <w:bookmarkStart w:id="1141" w:name="_Toc359484870"/>
      <w:bookmarkStart w:id="1142" w:name="_Toc358638698"/>
      <w:bookmarkStart w:id="1143" w:name="_Toc358638680"/>
      <w:bookmarkStart w:id="1144" w:name="_Toc358638638"/>
      <w:bookmarkStart w:id="1145" w:name="_Toc358635153"/>
      <w:bookmarkStart w:id="1146" w:name="_Toc358634939"/>
      <w:bookmarkStart w:id="1147" w:name="_Toc358105139"/>
      <w:bookmarkStart w:id="1148" w:name="_Toc351730496"/>
      <w:bookmarkStart w:id="1149" w:name="_Toc351376951"/>
      <w:bookmarkStart w:id="1150" w:name="_Toc351376404"/>
      <w:bookmarkStart w:id="1151" w:name="_Toc350949358"/>
      <w:bookmarkStart w:id="1152" w:name="_Toc350949297"/>
      <w:bookmarkStart w:id="1153" w:name="_Toc350175403"/>
      <w:bookmarkStart w:id="1154" w:name="_Toc364339648"/>
      <w:bookmarkStart w:id="1155" w:name="_Toc364363118"/>
      <w:bookmarkStart w:id="1156" w:name="_Toc365289480"/>
      <w:bookmarkStart w:id="1157" w:name="_Toc365297797"/>
      <w:bookmarkStart w:id="1158" w:name="_Toc366080759"/>
      <w:bookmarkStart w:id="1159" w:name="_Toc366081295"/>
      <w:bookmarkStart w:id="1160" w:name="_Toc366142314"/>
      <w:bookmarkStart w:id="1161" w:name="_Toc366160467"/>
      <w:bookmarkStart w:id="1162" w:name="_Toc366161319"/>
      <w:bookmarkStart w:id="1163" w:name="_Toc366677425"/>
      <w:bookmarkStart w:id="1164" w:name="_Toc366696631"/>
      <w:bookmarkStart w:id="1165" w:name="_Toc366740273"/>
      <w:bookmarkStart w:id="1166" w:name="_Toc366766682"/>
      <w:bookmarkStart w:id="1167" w:name="_Toc366771509"/>
      <w:bookmarkStart w:id="1168" w:name="_Toc367201514"/>
      <w:bookmarkStart w:id="1169" w:name="_Toc367297840"/>
      <w:bookmarkStart w:id="1170" w:name="_Toc367384490"/>
      <w:bookmarkStart w:id="1171" w:name="_Toc367385275"/>
      <w:bookmarkStart w:id="1172" w:name="_Toc367463253"/>
      <w:bookmarkStart w:id="1173" w:name="_Toc367715585"/>
      <w:bookmarkStart w:id="1174" w:name="_Toc367975873"/>
      <w:bookmarkStart w:id="1175" w:name="_Toc367978246"/>
      <w:bookmarkStart w:id="1176" w:name="_Toc368049358"/>
      <w:bookmarkStart w:id="1177" w:name="_Toc370401676"/>
      <w:r w:rsidRPr="005D7567">
        <w:t>Paperwork Reduction Act Analysis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5D7567">
        <w:t xml:space="preserve"> </w:t>
      </w:r>
    </w:p>
    <w:p w:rsidR="002969FA" w:rsidRPr="005D7567" w:rsidRDefault="00705280" w:rsidP="00D03910">
      <w:pPr>
        <w:pStyle w:val="ParaNum"/>
        <w:keepNext/>
        <w:widowControl/>
        <w:snapToGrid w:val="0"/>
      </w:pPr>
      <w:bookmarkStart w:id="1178" w:name="_Toc345332285"/>
      <w:bookmarkStart w:id="1179" w:name="_Toc345332154"/>
      <w:bookmarkStart w:id="1180" w:name="_Toc336533912"/>
      <w:bookmarkStart w:id="1181" w:name="_Toc334693153"/>
      <w:bookmarkStart w:id="1182" w:name="_Toc334199729"/>
      <w:bookmarkStart w:id="1183" w:name="_Toc334199692"/>
      <w:bookmarkStart w:id="1184" w:name="_Toc334198522"/>
      <w:bookmarkStart w:id="1185" w:name="_Toc334027690"/>
      <w:bookmarkStart w:id="1186" w:name="_Toc333590682"/>
      <w:bookmarkStart w:id="1187" w:name="_Toc333573849"/>
      <w:bookmarkStart w:id="1188" w:name="_Toc333562845"/>
      <w:bookmarkStart w:id="1189" w:name="_Toc333482566"/>
      <w:bookmarkStart w:id="1190" w:name="_Toc333479342"/>
      <w:bookmarkStart w:id="1191" w:name="_Toc333477383"/>
      <w:bookmarkStart w:id="1192" w:name="_Toc333477042"/>
      <w:bookmarkStart w:id="1193" w:name="_Toc333476930"/>
      <w:bookmarkStart w:id="1194" w:name="_Toc331690619"/>
      <w:bookmarkStart w:id="1195" w:name="_Toc331429685"/>
      <w:bookmarkStart w:id="1196" w:name="_Toc330391804"/>
      <w:bookmarkStart w:id="1197" w:name="_Toc330391424"/>
      <w:bookmarkStart w:id="1198" w:name="_Toc330390667"/>
      <w:bookmarkStart w:id="1199" w:name="_Toc330388422"/>
      <w:bookmarkStart w:id="1200" w:name="_Toc330388161"/>
      <w:bookmarkStart w:id="1201" w:name="_Toc322940887"/>
      <w:bookmarkStart w:id="1202" w:name="_Toc322936462"/>
      <w:bookmarkStart w:id="1203" w:name="_Toc322936210"/>
      <w:bookmarkStart w:id="1204" w:name="_Toc320085465"/>
      <w:bookmarkStart w:id="1205" w:name="_Toc320013984"/>
      <w:bookmarkStart w:id="1206" w:name="_Toc319947345"/>
      <w:bookmarkStart w:id="1207" w:name="_Toc319573150"/>
      <w:bookmarkStart w:id="1208" w:name="_Toc319571113"/>
      <w:bookmarkStart w:id="1209" w:name="_Toc319402154"/>
      <w:bookmarkStart w:id="1210" w:name="_Toc319316463"/>
      <w:bookmarkStart w:id="1211" w:name="_Toc319077552"/>
      <w:bookmarkStart w:id="1212" w:name="_Toc319073391"/>
      <w:bookmarkStart w:id="1213" w:name="_Toc319056170"/>
      <w:bookmarkStart w:id="1214" w:name="_Toc318296651"/>
      <w:bookmarkStart w:id="1215" w:name="_Toc318286539"/>
      <w:bookmarkStart w:id="1216" w:name="_Toc318213944"/>
      <w:bookmarkStart w:id="1217" w:name="_Toc318136768"/>
      <w:bookmarkStart w:id="1218" w:name="_Toc318121466"/>
      <w:bookmarkStart w:id="1219" w:name="_Toc318120676"/>
      <w:bookmarkStart w:id="1220" w:name="_Toc318119721"/>
      <w:bookmarkStart w:id="1221" w:name="_Toc318119593"/>
      <w:bookmarkStart w:id="1222" w:name="_Toc317786566"/>
      <w:bookmarkStart w:id="1223" w:name="_Toc317786355"/>
      <w:bookmarkStart w:id="1224" w:name="_Toc317785297"/>
      <w:bookmarkStart w:id="1225" w:name="_Toc317785143"/>
      <w:bookmarkStart w:id="1226" w:name="_Toc317781546"/>
      <w:bookmarkStart w:id="1227" w:name="_Toc317781394"/>
      <w:bookmarkStart w:id="1228" w:name="_Toc317775956"/>
      <w:bookmarkStart w:id="1229" w:name="_Toc317775837"/>
      <w:bookmarkStart w:id="1230" w:name="_Toc317775767"/>
      <w:bookmarkStart w:id="1231" w:name="_Toc317769142"/>
      <w:bookmarkStart w:id="1232" w:name="_Toc317764649"/>
      <w:bookmarkStart w:id="1233" w:name="_Toc314238389"/>
      <w:bookmarkStart w:id="1234" w:name="_Toc314236025"/>
      <w:bookmarkStart w:id="1235" w:name="_Toc314234894"/>
      <w:bookmarkStart w:id="1236" w:name="_Toc314234439"/>
      <w:bookmarkStart w:id="1237" w:name="_Toc314229204"/>
      <w:bookmarkStart w:id="1238" w:name="_Toc314228887"/>
      <w:bookmarkStart w:id="1239" w:name="_Toc314218147"/>
      <w:bookmarkStart w:id="1240" w:name="_Toc314216890"/>
      <w:bookmarkStart w:id="1241" w:name="_Toc314216654"/>
      <w:bookmarkStart w:id="1242" w:name="_Toc313881010"/>
      <w:bookmarkStart w:id="1243" w:name="_Toc313638372"/>
      <w:bookmarkStart w:id="1244" w:name="_Toc313637867"/>
      <w:bookmarkStart w:id="1245" w:name="_Toc313637355"/>
      <w:bookmarkStart w:id="1246" w:name="_Toc313636652"/>
      <w:bookmarkStart w:id="1247" w:name="_Toc313635870"/>
      <w:bookmarkStart w:id="1248" w:name="_Toc313635804"/>
      <w:bookmarkStart w:id="1249" w:name="_Toc313635275"/>
      <w:bookmarkStart w:id="1250" w:name="_Toc313635228"/>
      <w:bookmarkStart w:id="1251" w:name="_Toc313635181"/>
      <w:bookmarkStart w:id="1252" w:name="_Toc313635160"/>
      <w:bookmarkStart w:id="1253" w:name="_Toc313634758"/>
      <w:bookmarkStart w:id="1254" w:name="_Toc312237047"/>
      <w:bookmarkStart w:id="1255" w:name="_Toc312237012"/>
      <w:bookmarkStart w:id="1256" w:name="_Toc312236289"/>
      <w:bookmarkStart w:id="1257" w:name="_Toc263688804"/>
      <w:bookmarkStart w:id="1258" w:name="_Toc263400939"/>
      <w:bookmarkStart w:id="1259" w:name="_Toc262717607"/>
      <w:bookmarkStart w:id="1260" w:name="_Toc261585640"/>
      <w:bookmarkStart w:id="1261" w:name="_Toc261507248"/>
      <w:bookmarkStart w:id="1262" w:name="_Toc260905151"/>
      <w:bookmarkStart w:id="1263" w:name="_Toc260388821"/>
      <w:bookmarkStart w:id="1264" w:name="_Toc260135938"/>
      <w:bookmarkStart w:id="1265" w:name="_Toc260125059"/>
      <w:bookmarkStart w:id="1266" w:name="_Toc260058991"/>
      <w:bookmarkStart w:id="1267" w:name="_Toc259779424"/>
      <w:bookmarkStart w:id="1268" w:name="_Toc259178325"/>
      <w:bookmarkStart w:id="1269" w:name="_Toc259178216"/>
      <w:bookmarkStart w:id="1270" w:name="_Toc248909536"/>
      <w:bookmarkStart w:id="1271" w:name="_Toc248814266"/>
      <w:bookmarkStart w:id="1272" w:name="_Toc248804912"/>
      <w:bookmarkStart w:id="1273" w:name="_Toc248803156"/>
      <w:bookmarkStart w:id="1274" w:name="_Toc248740846"/>
      <w:bookmarkStart w:id="1275" w:name="_Toc248739655"/>
      <w:bookmarkStart w:id="1276" w:name="_Toc245202267"/>
      <w:bookmarkStart w:id="1277" w:name="_Toc245199538"/>
      <w:bookmarkStart w:id="1278" w:name="_Toc238612708"/>
      <w:bookmarkStart w:id="1279" w:name="_Toc238612301"/>
      <w:bookmarkStart w:id="1280" w:name="_Toc238612114"/>
      <w:bookmarkStart w:id="1281" w:name="_Toc238549475"/>
      <w:bookmarkStart w:id="1282" w:name="_Toc238548883"/>
      <w:bookmarkStart w:id="1283" w:name="_Toc235499928"/>
      <w:bookmarkStart w:id="1284" w:name="_Toc235253987"/>
      <w:bookmarkStart w:id="1285" w:name="_Toc234806612"/>
      <w:bookmarkStart w:id="1286" w:name="_Toc234125236"/>
      <w:bookmarkStart w:id="1287" w:name="_Toc233450732"/>
      <w:bookmarkStart w:id="1288" w:name="_Toc233443284"/>
      <w:bookmarkStart w:id="1289" w:name="_Toc233442990"/>
      <w:bookmarkStart w:id="1290" w:name="_Toc232421070"/>
      <w:bookmarkStart w:id="1291" w:name="_Toc232419243"/>
      <w:bookmarkStart w:id="1292" w:name="_Toc232412227"/>
      <w:bookmarkStart w:id="1293" w:name="_Toc232411989"/>
      <w:bookmarkStart w:id="1294" w:name="_Toc232410548"/>
      <w:bookmarkStart w:id="1295" w:name="_Toc232410190"/>
      <w:bookmarkStart w:id="1296" w:name="_Toc232408378"/>
      <w:bookmarkStart w:id="1297" w:name="_Toc232406432"/>
      <w:bookmarkStart w:id="1298" w:name="_Toc232404551"/>
      <w:bookmarkStart w:id="1299" w:name="_Toc232403015"/>
      <w:bookmarkStart w:id="1300" w:name="_Toc232400456"/>
      <w:bookmarkStart w:id="1301" w:name="_Toc232400323"/>
      <w:bookmarkStart w:id="1302" w:name="_Toc232399759"/>
      <w:bookmarkStart w:id="1303" w:name="_Toc232397998"/>
      <w:bookmarkStart w:id="1304" w:name="_Toc232392133"/>
      <w:bookmarkStart w:id="1305" w:name="_Toc232388075"/>
      <w:bookmarkStart w:id="1306" w:name="_Toc232307441"/>
      <w:bookmarkStart w:id="1307" w:name="_Toc232219578"/>
      <w:bookmarkStart w:id="1308" w:name="_Toc232214713"/>
      <w:bookmarkStart w:id="1309" w:name="_Toc231873516"/>
      <w:bookmarkStart w:id="1310" w:name="_Toc231812321"/>
      <w:bookmarkStart w:id="1311" w:name="_Toc231707742"/>
      <w:bookmarkStart w:id="1312" w:name="_Toc231706216"/>
      <w:bookmarkStart w:id="1313" w:name="_Toc231706002"/>
      <w:bookmarkStart w:id="1314" w:name="_Toc231687111"/>
      <w:bookmarkStart w:id="1315" w:name="_Toc231619376"/>
      <w:bookmarkStart w:id="1316" w:name="_Toc231610711"/>
      <w:bookmarkStart w:id="1317" w:name="_Toc231549059"/>
      <w:bookmarkStart w:id="1318" w:name="_Toc231535174"/>
      <w:bookmarkStart w:id="1319" w:name="_Toc231534417"/>
      <w:bookmarkStart w:id="1320" w:name="_Toc230683954"/>
      <w:r>
        <w:t xml:space="preserve">This document </w:t>
      </w:r>
      <w:r w:rsidR="003C033D">
        <w:t xml:space="preserve">does not </w:t>
      </w:r>
      <w:r w:rsidR="002969FA" w:rsidRPr="005D7567">
        <w:t xml:space="preserve">contain new information collection requirements subject to the Paperwork Reduction Act of 1995 (PRA), Public Law 104-13. In addition, therefore, it does not contain any new information collection burden for small business concerns with fewer than 25 employees, pursuant to the Small Business Paperwork Relief Act of 2002, Public Law 107-198, </w:t>
      </w:r>
      <w:r w:rsidR="002969FA" w:rsidRPr="005D7567">
        <w:rPr>
          <w:i/>
          <w:iCs/>
        </w:rPr>
        <w:t xml:space="preserve">see </w:t>
      </w:r>
      <w:r w:rsidR="002969FA" w:rsidRPr="005D7567">
        <w:t>44 U.S.C. 3506(c)(4).</w:t>
      </w:r>
    </w:p>
    <w:p w:rsidR="002969FA" w:rsidRPr="005D7567" w:rsidRDefault="002969FA" w:rsidP="005B76F1">
      <w:pPr>
        <w:pStyle w:val="Heading2"/>
      </w:pPr>
      <w:bookmarkStart w:id="1321" w:name="_Toc363670228"/>
      <w:bookmarkStart w:id="1322" w:name="_Toc363239562"/>
      <w:bookmarkStart w:id="1323" w:name="_Toc363239532"/>
      <w:bookmarkStart w:id="1324" w:name="_Toc363219740"/>
      <w:bookmarkStart w:id="1325" w:name="_Toc359508240"/>
      <w:bookmarkStart w:id="1326" w:name="_Toc359484931"/>
      <w:bookmarkStart w:id="1327" w:name="_Toc359484871"/>
      <w:bookmarkStart w:id="1328" w:name="_Toc358638699"/>
      <w:bookmarkStart w:id="1329" w:name="_Toc358638681"/>
      <w:bookmarkStart w:id="1330" w:name="_Toc358638639"/>
      <w:bookmarkStart w:id="1331" w:name="_Toc358635154"/>
      <w:bookmarkStart w:id="1332" w:name="_Toc358634940"/>
      <w:bookmarkStart w:id="1333" w:name="_Toc358105140"/>
      <w:bookmarkStart w:id="1334" w:name="_Toc351730497"/>
      <w:bookmarkStart w:id="1335" w:name="_Toc351376952"/>
      <w:bookmarkStart w:id="1336" w:name="_Toc351376405"/>
      <w:bookmarkStart w:id="1337" w:name="_Toc350949359"/>
      <w:bookmarkStart w:id="1338" w:name="_Toc350949298"/>
      <w:bookmarkStart w:id="1339" w:name="_Toc350175404"/>
      <w:bookmarkStart w:id="1340" w:name="_Toc364339649"/>
      <w:bookmarkStart w:id="1341" w:name="_Toc364363119"/>
      <w:bookmarkStart w:id="1342" w:name="_Toc365289481"/>
      <w:bookmarkStart w:id="1343" w:name="_Toc365297798"/>
      <w:bookmarkStart w:id="1344" w:name="_Toc366080760"/>
      <w:bookmarkStart w:id="1345" w:name="_Toc366081296"/>
      <w:bookmarkStart w:id="1346" w:name="_Toc366142315"/>
      <w:bookmarkStart w:id="1347" w:name="_Toc366160468"/>
      <w:bookmarkStart w:id="1348" w:name="_Toc366161320"/>
      <w:bookmarkStart w:id="1349" w:name="_Toc366677426"/>
      <w:bookmarkStart w:id="1350" w:name="_Toc366696632"/>
      <w:bookmarkStart w:id="1351" w:name="_Toc366740274"/>
      <w:bookmarkStart w:id="1352" w:name="_Toc366766683"/>
      <w:bookmarkStart w:id="1353" w:name="_Toc366771510"/>
      <w:bookmarkStart w:id="1354" w:name="_Toc367201515"/>
      <w:bookmarkStart w:id="1355" w:name="_Toc367297841"/>
      <w:bookmarkStart w:id="1356" w:name="_Toc367384491"/>
      <w:bookmarkStart w:id="1357" w:name="_Toc367385276"/>
      <w:bookmarkStart w:id="1358" w:name="_Toc367463254"/>
      <w:bookmarkStart w:id="1359" w:name="_Toc367715586"/>
      <w:bookmarkStart w:id="1360" w:name="_Toc367975874"/>
      <w:bookmarkStart w:id="1361" w:name="_Toc367978247"/>
      <w:bookmarkStart w:id="1362" w:name="_Toc368049359"/>
      <w:bookmarkStart w:id="1363" w:name="_Toc370401677"/>
      <w:r w:rsidRPr="005D7567">
        <w:t>Further Information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rsidR="002969FA" w:rsidRPr="005D7567" w:rsidRDefault="002969FA" w:rsidP="00D03910">
      <w:pPr>
        <w:pStyle w:val="ParaNum"/>
        <w:keepNext/>
        <w:widowControl/>
        <w:snapToGrid w:val="0"/>
        <w:rPr>
          <w:szCs w:val="22"/>
        </w:rPr>
      </w:pPr>
      <w:r w:rsidRPr="005D7567">
        <w:t xml:space="preserve">For further information about this Report and Order, please contact Jennifer Salhus at (202) 418-1310, </w:t>
      </w:r>
      <w:hyperlink r:id="rId10" w:history="1">
        <w:r w:rsidRPr="005D7567">
          <w:rPr>
            <w:rStyle w:val="Hyperlink"/>
          </w:rPr>
          <w:t>Jennifer.Salhus@fcc.gov</w:t>
        </w:r>
      </w:hyperlink>
      <w:r w:rsidRPr="005D7567">
        <w:t xml:space="preserve">.  </w:t>
      </w:r>
    </w:p>
    <w:p w:rsidR="002969FA" w:rsidRPr="005D7567" w:rsidRDefault="002969FA" w:rsidP="00D03910">
      <w:pPr>
        <w:pStyle w:val="Heading1"/>
        <w:widowControl/>
        <w:rPr>
          <w:rStyle w:val="StyleParaNum11ptCharCharCharCharCharCharCharCharCharCharCharCharCharCharCharCharCharCharCharCharCharCharCharCharCharCharCharCharCharCharCharCharCharCharCharCharCharCharCharCharChar"/>
          <w:rFonts w:ascii="Times New Roman" w:hAnsi="Times New Roman"/>
          <w:b w:val="0"/>
          <w:caps w:val="0"/>
        </w:rPr>
      </w:pPr>
      <w:bookmarkStart w:id="1364" w:name="_Toc363670229"/>
      <w:bookmarkStart w:id="1365" w:name="_Toc363239563"/>
      <w:bookmarkStart w:id="1366" w:name="_Toc363239533"/>
      <w:bookmarkStart w:id="1367" w:name="_Toc363219741"/>
      <w:bookmarkStart w:id="1368" w:name="_Toc359508241"/>
      <w:bookmarkStart w:id="1369" w:name="_Toc359484932"/>
      <w:bookmarkStart w:id="1370" w:name="_Toc359484872"/>
      <w:bookmarkStart w:id="1371" w:name="_Toc358638700"/>
      <w:bookmarkStart w:id="1372" w:name="_Toc358638682"/>
      <w:bookmarkStart w:id="1373" w:name="_Toc358638640"/>
      <w:bookmarkStart w:id="1374" w:name="_Toc358635155"/>
      <w:bookmarkStart w:id="1375" w:name="_Toc358634941"/>
      <w:bookmarkStart w:id="1376" w:name="_Toc358105141"/>
      <w:bookmarkStart w:id="1377" w:name="_Toc351730498"/>
      <w:bookmarkStart w:id="1378" w:name="_Toc351376953"/>
      <w:bookmarkStart w:id="1379" w:name="_Toc351376406"/>
      <w:bookmarkStart w:id="1380" w:name="_Toc350949360"/>
      <w:bookmarkStart w:id="1381" w:name="_Toc350949299"/>
      <w:bookmarkStart w:id="1382" w:name="_Toc350175405"/>
      <w:bookmarkStart w:id="1383" w:name="_Toc345332286"/>
      <w:bookmarkStart w:id="1384" w:name="_Toc345332155"/>
      <w:bookmarkStart w:id="1385" w:name="_Toc336533913"/>
      <w:bookmarkStart w:id="1386" w:name="_Toc334693154"/>
      <w:bookmarkStart w:id="1387" w:name="_Toc334199730"/>
      <w:bookmarkStart w:id="1388" w:name="_Toc334199693"/>
      <w:bookmarkStart w:id="1389" w:name="_Toc334198523"/>
      <w:bookmarkStart w:id="1390" w:name="_Toc334027691"/>
      <w:bookmarkStart w:id="1391" w:name="_Toc333590683"/>
      <w:bookmarkStart w:id="1392" w:name="_Toc333573850"/>
      <w:bookmarkStart w:id="1393" w:name="_Toc333562846"/>
      <w:bookmarkStart w:id="1394" w:name="_Toc333482567"/>
      <w:bookmarkStart w:id="1395" w:name="_Toc333479343"/>
      <w:bookmarkStart w:id="1396" w:name="_Toc333477384"/>
      <w:bookmarkStart w:id="1397" w:name="_Toc333477043"/>
      <w:bookmarkStart w:id="1398" w:name="_Toc333476931"/>
      <w:bookmarkStart w:id="1399" w:name="_Toc331690620"/>
      <w:bookmarkStart w:id="1400" w:name="_Toc331429686"/>
      <w:bookmarkStart w:id="1401" w:name="_Toc330391805"/>
      <w:bookmarkStart w:id="1402" w:name="_Toc330391425"/>
      <w:bookmarkStart w:id="1403" w:name="_Toc330390668"/>
      <w:bookmarkStart w:id="1404" w:name="_Toc330388423"/>
      <w:bookmarkStart w:id="1405" w:name="_Toc330388162"/>
      <w:bookmarkStart w:id="1406" w:name="_Toc322940888"/>
      <w:bookmarkStart w:id="1407" w:name="_Toc322936463"/>
      <w:bookmarkStart w:id="1408" w:name="_Toc322936211"/>
      <w:bookmarkStart w:id="1409" w:name="_Toc320085466"/>
      <w:bookmarkStart w:id="1410" w:name="_Toc320013985"/>
      <w:bookmarkStart w:id="1411" w:name="_Toc319947346"/>
      <w:bookmarkStart w:id="1412" w:name="_Toc319573151"/>
      <w:bookmarkStart w:id="1413" w:name="_Toc319571114"/>
      <w:bookmarkStart w:id="1414" w:name="_Toc319402155"/>
      <w:bookmarkStart w:id="1415" w:name="_Toc319316464"/>
      <w:bookmarkStart w:id="1416" w:name="_Toc319077554"/>
      <w:bookmarkStart w:id="1417" w:name="_Toc319073392"/>
      <w:bookmarkStart w:id="1418" w:name="_Toc319056171"/>
      <w:bookmarkStart w:id="1419" w:name="_Toc318296652"/>
      <w:bookmarkStart w:id="1420" w:name="_Toc318286540"/>
      <w:bookmarkStart w:id="1421" w:name="_Toc318213945"/>
      <w:bookmarkStart w:id="1422" w:name="_Toc318136769"/>
      <w:bookmarkStart w:id="1423" w:name="_Toc318121467"/>
      <w:bookmarkStart w:id="1424" w:name="_Toc318120677"/>
      <w:bookmarkStart w:id="1425" w:name="_Toc318119722"/>
      <w:bookmarkStart w:id="1426" w:name="_Toc318119594"/>
      <w:bookmarkStart w:id="1427" w:name="_Toc317786567"/>
      <w:bookmarkStart w:id="1428" w:name="_Toc317786356"/>
      <w:bookmarkStart w:id="1429" w:name="_Toc317785298"/>
      <w:bookmarkStart w:id="1430" w:name="_Toc317785144"/>
      <w:bookmarkStart w:id="1431" w:name="_Toc317781547"/>
      <w:bookmarkStart w:id="1432" w:name="_Toc317781395"/>
      <w:bookmarkStart w:id="1433" w:name="_Toc317775957"/>
      <w:bookmarkStart w:id="1434" w:name="_Toc317775838"/>
      <w:bookmarkStart w:id="1435" w:name="_Toc317775768"/>
      <w:bookmarkStart w:id="1436" w:name="_Toc317769143"/>
      <w:bookmarkStart w:id="1437" w:name="_Toc317764650"/>
      <w:bookmarkStart w:id="1438" w:name="_Toc364339650"/>
      <w:bookmarkStart w:id="1439" w:name="_Toc364363120"/>
      <w:bookmarkStart w:id="1440" w:name="_Toc365289482"/>
      <w:bookmarkStart w:id="1441" w:name="_Toc365297799"/>
      <w:bookmarkStart w:id="1442" w:name="_Toc366080761"/>
      <w:bookmarkStart w:id="1443" w:name="_Toc366081297"/>
      <w:bookmarkStart w:id="1444" w:name="_Toc366142316"/>
      <w:bookmarkStart w:id="1445" w:name="_Toc366160469"/>
      <w:bookmarkStart w:id="1446" w:name="_Toc366161321"/>
      <w:bookmarkStart w:id="1447" w:name="_Toc366677427"/>
      <w:bookmarkStart w:id="1448" w:name="_Toc366696633"/>
      <w:bookmarkStart w:id="1449" w:name="_Toc366740275"/>
      <w:bookmarkStart w:id="1450" w:name="_Toc366766684"/>
      <w:bookmarkStart w:id="1451" w:name="_Toc366771511"/>
      <w:bookmarkStart w:id="1452" w:name="_Toc367201516"/>
      <w:bookmarkStart w:id="1453" w:name="_Toc367297842"/>
      <w:bookmarkStart w:id="1454" w:name="_Toc367384492"/>
      <w:bookmarkStart w:id="1455" w:name="_Toc367385277"/>
      <w:bookmarkStart w:id="1456" w:name="_Toc367463255"/>
      <w:bookmarkStart w:id="1457" w:name="_Toc367715587"/>
      <w:bookmarkStart w:id="1458" w:name="_Toc367975875"/>
      <w:bookmarkStart w:id="1459" w:name="_Toc367978248"/>
      <w:bookmarkStart w:id="1460" w:name="_Toc368049360"/>
      <w:bookmarkStart w:id="1461" w:name="_Toc370401678"/>
      <w:r w:rsidRPr="005D7567">
        <w:t>ORDERING</w:t>
      </w:r>
      <w:r w:rsidRPr="005D7567">
        <w:rPr>
          <w:rStyle w:val="StyleParaNum11ptCharCharCharCharCharCharCharCharCharCharCharCharCharCharCharCharCharCharCharCharCharCharCharCharCharCharCharCharCharCharCharCharCharCharCharCharCharCharCharCharChar"/>
          <w:szCs w:val="22"/>
        </w:rPr>
        <w:t xml:space="preserve"> CLAUSES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2969FA" w:rsidRPr="005D7567" w:rsidRDefault="002969FA" w:rsidP="00D03910">
      <w:pPr>
        <w:pStyle w:val="ParaNum"/>
        <w:keepNext/>
        <w:widowControl/>
        <w:snapToGrid w:val="0"/>
        <w:rPr>
          <w:color w:val="000000"/>
        </w:rPr>
      </w:pPr>
      <w:r w:rsidRPr="005D7567">
        <w:t xml:space="preserve">IT IS ORDERED that pursuant to sections 1, 2, 4(i), 4(j), 301, 302(a), 303(b), 303(e), 303(f), 303(g), 303(r), 304, 307(a), 309(j)(3), and 316(a)(1) of the Communications Act of 1934, as amended, 47 U.S.C. §§ 151, 152, 154(i), 154(j), 301, 302a(a), 303(b), 303(e), 303(f), 303(g), 303(r), 304, 307(a), 309(j)(3), and 316(a)(1), and Sections </w:t>
      </w:r>
      <w:r w:rsidR="00194FE0">
        <w:rPr>
          <w:lang w:val="en-US"/>
        </w:rPr>
        <w:t xml:space="preserve">1.87 and </w:t>
      </w:r>
      <w:r w:rsidRPr="005D7567">
        <w:t xml:space="preserve">1.401 </w:t>
      </w:r>
      <w:r w:rsidRPr="005D7567">
        <w:rPr>
          <w:i/>
        </w:rPr>
        <w:t>et seq</w:t>
      </w:r>
      <w:r w:rsidRPr="005D7567">
        <w:t>. of the Commission’s Rules, 47 C.F.R. §§</w:t>
      </w:r>
      <w:r w:rsidR="00194FE0">
        <w:rPr>
          <w:lang w:val="en-US"/>
        </w:rPr>
        <w:t xml:space="preserve"> 1.87,</w:t>
      </w:r>
      <w:r w:rsidRPr="005D7567">
        <w:t xml:space="preserve"> 1.401 </w:t>
      </w:r>
      <w:r w:rsidRPr="005D7567">
        <w:rPr>
          <w:i/>
        </w:rPr>
        <w:t>et seq</w:t>
      </w:r>
      <w:r w:rsidRPr="005D7567">
        <w:t>., this Report and Order</w:t>
      </w:r>
      <w:r w:rsidR="00194FE0">
        <w:rPr>
          <w:lang w:val="en-US"/>
        </w:rPr>
        <w:t xml:space="preserve"> and Order of Proposed Modification</w:t>
      </w:r>
      <w:r w:rsidRPr="005D7567">
        <w:t xml:space="preserve"> IS ADOPTED.</w:t>
      </w:r>
      <w:bookmarkStart w:id="1462" w:name="sp_999_19"/>
      <w:bookmarkStart w:id="1463" w:name="SDU_19"/>
      <w:bookmarkStart w:id="1464" w:name="sp_1511_16519"/>
      <w:bookmarkStart w:id="1465" w:name="SDU_16519"/>
      <w:bookmarkStart w:id="1466" w:name="citeas((Cite_as:_25_F.C.C.R._16498,_*165"/>
      <w:bookmarkEnd w:id="1462"/>
      <w:bookmarkEnd w:id="1463"/>
      <w:bookmarkEnd w:id="1464"/>
      <w:bookmarkEnd w:id="1465"/>
      <w:bookmarkEnd w:id="1466"/>
    </w:p>
    <w:p w:rsidR="005B6494" w:rsidRPr="005B6494" w:rsidRDefault="005B6494" w:rsidP="00D03910">
      <w:pPr>
        <w:pStyle w:val="ParaNum"/>
        <w:keepNext/>
        <w:widowControl/>
        <w:rPr>
          <w:snapToGrid/>
        </w:rPr>
      </w:pPr>
      <w:r>
        <w:rPr>
          <w:snapToGrid/>
        </w:rPr>
        <w:t xml:space="preserve">IT IS FURTHER PROPOSED, pursuant to Sections 4(i) and 316(a) of the </w:t>
      </w:r>
      <w:r w:rsidRPr="002D5FFE">
        <w:rPr>
          <w:rFonts w:ascii="TimesNewRomanPSMT" w:hAnsi="TimesNewRomanPSMT" w:cs="TimesNewRomanPSMT"/>
          <w:snapToGrid/>
          <w:kern w:val="0"/>
          <w:szCs w:val="22"/>
        </w:rPr>
        <w:t>Communications Act of 1934, as amended, 47 U.S.C. §§ 154(i), 316, and Section 1.87 of the</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Commission’s Rules, 47 C.F.</w:t>
      </w:r>
      <w:r>
        <w:rPr>
          <w:rFonts w:ascii="TimesNewRomanPSMT" w:hAnsi="TimesNewRomanPSMT" w:cs="TimesNewRomanPSMT"/>
          <w:snapToGrid/>
          <w:kern w:val="0"/>
          <w:szCs w:val="22"/>
        </w:rPr>
        <w:t xml:space="preserve">R. § 1.87, that AT&amp;T’s 700 MHz B and C Blocks licenses </w:t>
      </w:r>
      <w:r w:rsidRPr="002D5FFE">
        <w:rPr>
          <w:rFonts w:ascii="TimesNewRomanPSMT" w:hAnsi="TimesNewRomanPSMT" w:cs="TimesNewRomanPSMT"/>
          <w:snapToGrid/>
          <w:kern w:val="0"/>
          <w:szCs w:val="22"/>
        </w:rPr>
        <w:t>BE MODIFIED consistent with Section IV (Order of Proposed Modification) of this</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 xml:space="preserve">Report and Order and Order of Proposed Modification. </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Pursuant to Section 316(a)(1) of the</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Communications Act of 1934, as amended, 47 U.S.C. § 316(a)(1), and Section 1.87(a) of the</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Commission’s rules, 47 C.F.R. § 1.87(a), receipt of this Report and Order and Order of Proposed</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Modification by certified mail, return receipt requested, shall constitute notification in writing of our</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 xml:space="preserve">Order of Proposed Modification that proposes to </w:t>
      </w:r>
      <w:r>
        <w:rPr>
          <w:rFonts w:ascii="TimesNewRomanPSMT" w:hAnsi="TimesNewRomanPSMT" w:cs="TimesNewRomanPSMT"/>
          <w:snapToGrid/>
          <w:kern w:val="0"/>
          <w:szCs w:val="22"/>
        </w:rPr>
        <w:t xml:space="preserve">modify AT&amp;T’s Lower 700 MHz B and C Block licenses </w:t>
      </w:r>
      <w:r w:rsidRPr="002D5FFE">
        <w:rPr>
          <w:rFonts w:ascii="TimesNewRomanPSMT" w:hAnsi="TimesNewRomanPSMT" w:cs="TimesNewRomanPSMT"/>
          <w:snapToGrid/>
          <w:kern w:val="0"/>
          <w:szCs w:val="22"/>
        </w:rPr>
        <w:t>and of t</w:t>
      </w:r>
      <w:r w:rsidR="00D965BF">
        <w:rPr>
          <w:rFonts w:ascii="TimesNewRomanPSMT" w:hAnsi="TimesNewRomanPSMT" w:cs="TimesNewRomanPSMT"/>
          <w:snapToGrid/>
          <w:kern w:val="0"/>
          <w:szCs w:val="22"/>
        </w:rPr>
        <w:t>he grounds and reasons therefor</w:t>
      </w:r>
      <w:r w:rsidRPr="002D5FFE">
        <w:rPr>
          <w:rFonts w:ascii="TimesNewRomanPSMT" w:hAnsi="TimesNewRomanPSMT" w:cs="TimesNewRomanPSMT"/>
          <w:snapToGrid/>
          <w:kern w:val="0"/>
          <w:szCs w:val="22"/>
        </w:rPr>
        <w:t xml:space="preserve">, and </w:t>
      </w:r>
      <w:r>
        <w:rPr>
          <w:rFonts w:ascii="TimesNewRomanPSMT" w:hAnsi="TimesNewRomanPSMT" w:cs="TimesNewRomanPSMT"/>
          <w:snapToGrid/>
          <w:kern w:val="0"/>
          <w:szCs w:val="22"/>
        </w:rPr>
        <w:t xml:space="preserve">AT&amp;T </w:t>
      </w:r>
      <w:r w:rsidRPr="002D5FFE">
        <w:rPr>
          <w:rFonts w:ascii="TimesNewRomanPSMT" w:hAnsi="TimesNewRomanPSMT" w:cs="TimesNewRomanPSMT"/>
          <w:snapToGrid/>
          <w:kern w:val="0"/>
          <w:szCs w:val="22"/>
        </w:rPr>
        <w:t xml:space="preserve">shall have </w:t>
      </w:r>
      <w:r>
        <w:rPr>
          <w:rFonts w:ascii="TimesNewRomanPSMT" w:hAnsi="TimesNewRomanPSMT" w:cs="TimesNewRomanPSMT"/>
          <w:snapToGrid/>
          <w:kern w:val="0"/>
          <w:szCs w:val="22"/>
        </w:rPr>
        <w:t xml:space="preserve">until January 15, 2014 </w:t>
      </w:r>
      <w:r w:rsidRPr="002D5FFE">
        <w:rPr>
          <w:rFonts w:ascii="TimesNewRomanPSMT" w:hAnsi="TimesNewRomanPSMT" w:cs="TimesNewRomanPSMT"/>
          <w:snapToGrid/>
          <w:kern w:val="0"/>
          <w:szCs w:val="22"/>
        </w:rPr>
        <w:t xml:space="preserve"> to protest such Order of Proposed Modification. The Wireless</w:t>
      </w:r>
      <w:r>
        <w:rPr>
          <w:rFonts w:ascii="TimesNewRomanPSMT" w:hAnsi="TimesNewRomanPSMT" w:cs="TimesNewRomanPSMT"/>
          <w:snapToGrid/>
          <w:kern w:val="0"/>
          <w:szCs w:val="22"/>
        </w:rPr>
        <w:t xml:space="preserve"> Telecommunications Bureau is </w:t>
      </w:r>
      <w:r w:rsidRPr="002D5FFE">
        <w:rPr>
          <w:rFonts w:ascii="TimesNewRomanPSMT" w:hAnsi="TimesNewRomanPSMT" w:cs="TimesNewRomanPSMT"/>
          <w:snapToGrid/>
          <w:kern w:val="0"/>
          <w:szCs w:val="22"/>
        </w:rPr>
        <w:t>delegated authority to issue an order of</w:t>
      </w:r>
      <w:r>
        <w:rPr>
          <w:rFonts w:ascii="TimesNewRomanPSMT" w:hAnsi="TimesNewRomanPSMT" w:cs="TimesNewRomanPSMT"/>
          <w:snapToGrid/>
          <w:kern w:val="0"/>
          <w:szCs w:val="22"/>
        </w:rPr>
        <w:t xml:space="preserve"> </w:t>
      </w:r>
      <w:r w:rsidRPr="002D5FFE">
        <w:rPr>
          <w:rFonts w:ascii="TimesNewRomanPSMT" w:hAnsi="TimesNewRomanPSMT" w:cs="TimesNewRomanPSMT"/>
          <w:snapToGrid/>
          <w:kern w:val="0"/>
          <w:szCs w:val="22"/>
        </w:rPr>
        <w:t>modification if no protests are filed.</w:t>
      </w:r>
      <w:r w:rsidRPr="005B6494">
        <w:rPr>
          <w:rFonts w:ascii="TimesNewRomanPSMT" w:hAnsi="TimesNewRomanPSMT" w:cs="TimesNewRomanPSMT"/>
          <w:snapToGrid/>
          <w:kern w:val="0"/>
          <w:szCs w:val="22"/>
        </w:rPr>
        <w:t xml:space="preserve"> </w:t>
      </w:r>
    </w:p>
    <w:p w:rsidR="005B6494" w:rsidRPr="005D7567" w:rsidRDefault="005B6494" w:rsidP="00D03910">
      <w:pPr>
        <w:pStyle w:val="ParaNum"/>
        <w:keepNext/>
        <w:widowControl/>
        <w:tabs>
          <w:tab w:val="num" w:pos="6480"/>
        </w:tabs>
        <w:snapToGrid w:val="0"/>
      </w:pPr>
      <w:r w:rsidRPr="003941BE">
        <w:t>IT IS FURTHER ORDERED that the Wirele</w:t>
      </w:r>
      <w:r>
        <w:rPr>
          <w:lang w:val="en-US"/>
        </w:rPr>
        <w:t>ss</w:t>
      </w:r>
      <w:r w:rsidRPr="003941BE">
        <w:t xml:space="preserve"> Telecommunications Bureau SHALL SEND this Report and Order and Order of Proposed Modification by certified mail, return receipt requested to AT&amp;T.</w:t>
      </w:r>
      <w:r w:rsidRPr="003941BE">
        <w:rPr>
          <w:lang w:val="en-US"/>
        </w:rPr>
        <w:t xml:space="preserve"> </w:t>
      </w:r>
    </w:p>
    <w:p w:rsidR="002969FA" w:rsidRPr="005B6494" w:rsidRDefault="005B6494" w:rsidP="00D03910">
      <w:pPr>
        <w:pStyle w:val="ParaNum"/>
        <w:keepNext/>
        <w:widowControl/>
        <w:rPr>
          <w:snapToGrid/>
        </w:rPr>
      </w:pPr>
      <w:r w:rsidRPr="002D5FFE">
        <w:rPr>
          <w:rFonts w:ascii="TimesNewRomanPSMT" w:hAnsi="TimesNewRomanPSMT" w:cs="TimesNewRomanPSMT"/>
          <w:snapToGrid/>
          <w:kern w:val="0"/>
          <w:szCs w:val="22"/>
        </w:rPr>
        <w:t xml:space="preserve">IT IS FURTHER ORDERED that the </w:t>
      </w:r>
      <w:r>
        <w:rPr>
          <w:rFonts w:ascii="TimesNewRomanPSMT" w:hAnsi="TimesNewRomanPSMT" w:cs="TimesNewRomanPSMT"/>
          <w:snapToGrid/>
          <w:kern w:val="0"/>
          <w:szCs w:val="22"/>
        </w:rPr>
        <w:t>license modification proceeding</w:t>
      </w:r>
      <w:r w:rsidRPr="002D5FFE">
        <w:rPr>
          <w:rFonts w:ascii="TimesNewRomanPSMT" w:hAnsi="TimesNewRomanPSMT" w:cs="TimesNewRomanPSMT"/>
          <w:snapToGrid/>
          <w:kern w:val="0"/>
          <w:szCs w:val="22"/>
        </w:rPr>
        <w:t xml:space="preserve"> commenced by the Order of Proposed Modification shall be treated as </w:t>
      </w:r>
      <w:r w:rsidR="00CD1BC6">
        <w:rPr>
          <w:rFonts w:ascii="TimesNewRomanPSMT" w:hAnsi="TimesNewRomanPSMT" w:cs="TimesNewRomanPSMT"/>
          <w:snapToGrid/>
          <w:kern w:val="0"/>
          <w:szCs w:val="22"/>
        </w:rPr>
        <w:t>a permit-but-disclose proceeding</w:t>
      </w:r>
      <w:r w:rsidRPr="002D5FFE">
        <w:rPr>
          <w:rFonts w:ascii="TimesNewRomanPSMT" w:hAnsi="TimesNewRomanPSMT" w:cs="TimesNewRomanPSMT"/>
          <w:snapToGrid/>
          <w:kern w:val="0"/>
          <w:szCs w:val="22"/>
        </w:rPr>
        <w:t xml:space="preserve"> under the Commission’s </w:t>
      </w:r>
      <w:r w:rsidRPr="002D5FFE">
        <w:rPr>
          <w:i/>
          <w:iCs/>
          <w:snapToGrid/>
          <w:kern w:val="0"/>
          <w:szCs w:val="22"/>
        </w:rPr>
        <w:t xml:space="preserve">ex parte </w:t>
      </w:r>
      <w:r w:rsidRPr="002D5FFE">
        <w:rPr>
          <w:rFonts w:ascii="TimesNewRomanPSMT" w:hAnsi="TimesNewRomanPSMT" w:cs="TimesNewRomanPSMT"/>
          <w:snapToGrid/>
          <w:kern w:val="0"/>
          <w:szCs w:val="22"/>
        </w:rPr>
        <w:t xml:space="preserve">rules, 47 C.F.R. § 1.1200 </w:t>
      </w:r>
      <w:r w:rsidRPr="002D5FFE">
        <w:rPr>
          <w:i/>
          <w:iCs/>
          <w:snapToGrid/>
          <w:kern w:val="0"/>
          <w:szCs w:val="22"/>
        </w:rPr>
        <w:t>et seq.</w:t>
      </w:r>
    </w:p>
    <w:p w:rsidR="002969FA" w:rsidRPr="000141EC" w:rsidRDefault="002969FA" w:rsidP="00D03910">
      <w:pPr>
        <w:pStyle w:val="ParaNum"/>
        <w:keepNext/>
        <w:widowControl/>
        <w:snapToGrid w:val="0"/>
      </w:pPr>
      <w:r w:rsidRPr="000141EC">
        <w:t xml:space="preserve">IT IS FURTHER ORDERED that pursuant to Section 4(i) of the Communications Act, as amended, 47 U.S.C. § 154(i), and Sections 1.3, 1.925, and 27.14(g) of Commission’s Rules, 47 C.F.R. §§ 1.3, 1.925, and 27.14(g), we grant a limited waiver of Section 24.14(g) and extend the interim construction benchmark deadline until </w:t>
      </w:r>
      <w:r w:rsidR="00A036D7">
        <w:rPr>
          <w:lang w:val="en-US"/>
        </w:rPr>
        <w:t xml:space="preserve">December </w:t>
      </w:r>
      <w:r w:rsidR="001675B3">
        <w:rPr>
          <w:lang w:val="en-US"/>
        </w:rPr>
        <w:t>1</w:t>
      </w:r>
      <w:r w:rsidR="00BB2D4E">
        <w:rPr>
          <w:lang w:val="en-US"/>
        </w:rPr>
        <w:t>3</w:t>
      </w:r>
      <w:r w:rsidRPr="000141EC">
        <w:t xml:space="preserve">, 2016, for all active Lower 700 MHz band A and B Block licensees.  Accordingly, the pending requests for extension and waiver of Section 27.14(g) of the Commission’s Rules filed by Lower 700 MHz A and B Block are GRANTED to the extent described herein and are otherwise DENIED.  </w:t>
      </w:r>
    </w:p>
    <w:p w:rsidR="002969FA" w:rsidRPr="000141EC" w:rsidRDefault="002969FA" w:rsidP="00D03910">
      <w:pPr>
        <w:pStyle w:val="ParaNum"/>
        <w:keepNext/>
        <w:widowControl/>
        <w:snapToGrid w:val="0"/>
      </w:pPr>
      <w:r w:rsidRPr="000141EC">
        <w:t xml:space="preserve">IT IS FURTHER ORDERED that pursuant to Section 4(i) of the Communications Act, as amended, 47 U.S.C. § 154(i), and Sections 1.3, 1.925, and 27.14(g) of Commission’s Rules, 47 C.F.R. §§ 1.3, 1.925, and 27.14(g), we waive, on our motion, the interim construction benchmark deadline in Section 27.14(g) of the Commission’s Rules for each active Lower 700 MHz A Block licensee where a 108 km radius around a Channel 51 transmitter overlaps at least a portion of the license’s market area (“overlap”) and either: (1) 30 percent or more of the geographic license area is within that overlap; or (2) less than 30 percent of the geographic license area is within that overlap but more than two-thirds of the population is within that overlap.  </w:t>
      </w:r>
    </w:p>
    <w:p w:rsidR="00FF6405" w:rsidRPr="00247BAC" w:rsidRDefault="002969FA" w:rsidP="00D03910">
      <w:pPr>
        <w:pStyle w:val="ParaNum"/>
        <w:keepNext/>
        <w:widowControl/>
        <w:snapToGrid w:val="0"/>
      </w:pPr>
      <w:r w:rsidRPr="000141EC">
        <w:t xml:space="preserve">IT IS FURTHER ORDERED that pursuant to Section 4(i) of the Communications Act, as amended, 47 U.S.C. § 154(i), and Sections 1.3, 1.925, and 27.14(l) of Commission’s Rules, 47 C.F.R. §§ 1.3, 1.925, and 27.14(l), we grant, on our own motion, a waiver of the requirement in Section 24.14(l) for all active Lower 700 MHz band A and B Block licensees subject to the extended interim construction benchmark deadline to file a second status report regarding the licensees’ efforts to meet the performance requirements applicable to their spectrum authorizations, </w:t>
      </w:r>
      <w:r w:rsidR="00D965BF">
        <w:t xml:space="preserve">except that </w:t>
      </w:r>
      <w:r w:rsidRPr="000141EC">
        <w:t xml:space="preserve">Lower 700 </w:t>
      </w:r>
      <w:r w:rsidR="00634B65">
        <w:t xml:space="preserve">MHz band A </w:t>
      </w:r>
      <w:r w:rsidR="00634B65">
        <w:rPr>
          <w:lang w:val="en-US"/>
        </w:rPr>
        <w:t>B</w:t>
      </w:r>
      <w:r w:rsidRPr="000141EC">
        <w:t>lock licensees subject to a waiver of the interim construction benchmark deadline because of Channel 51 interference protection requirements shall remain subject to the Section 27.14(l) requirement to file a second status report no later than June 13, 2016.</w:t>
      </w:r>
    </w:p>
    <w:p w:rsidR="002969FA" w:rsidRPr="000141EC" w:rsidRDefault="002969FA" w:rsidP="00D03910">
      <w:pPr>
        <w:pStyle w:val="ParaNum"/>
        <w:keepNext/>
        <w:widowControl/>
        <w:snapToGrid w:val="0"/>
      </w:pPr>
      <w:r w:rsidRPr="000141EC">
        <w:t xml:space="preserve">IT IS FURTHER ORDERED that pursuant to Section 4(i) of the Communications Act, as amended, 47 U.S.C. § 154(i), and Sections 1.3, 1.925, and 27.14(g) of Commission’s Rules, 47 C.F.R. §§ 1.3, 1.925, and 27.14(g), we grant a limited waiver of Section 24.14(g) </w:t>
      </w:r>
      <w:r w:rsidR="00194FE0">
        <w:rPr>
          <w:lang w:val="en-US"/>
        </w:rPr>
        <w:t>to</w:t>
      </w:r>
      <w:r w:rsidRPr="000141EC">
        <w:t xml:space="preserve"> extend the interim construction benchmark deadline until March 7, 2017, for all active Lower 700 MHz band E Block licensees and, on our motion, extend the end-of-term construction benchmark deadline until March 7, 2021, for all active Lower 700 MHz band E Block licensees.  Accordingly, the pending requests for extension and waiver of Section 27.14(g) of the Commission’s Rules filed by Lower 700 MHz band E Block licensees are GRANTED to the extent described herein and are otherwise DENIED.  </w:t>
      </w:r>
    </w:p>
    <w:p w:rsidR="002969FA" w:rsidRPr="000141EC" w:rsidRDefault="002969FA" w:rsidP="00D03910">
      <w:pPr>
        <w:pStyle w:val="ParaNum"/>
        <w:keepNext/>
        <w:widowControl/>
        <w:snapToGrid w:val="0"/>
      </w:pPr>
      <w:r w:rsidRPr="000141EC">
        <w:t xml:space="preserve">IT IS FURTHER ORDERED that pursuant to Section 4(i) of the Communications Act, as amended, 47 U.S.C. § 154(i), and Sections 1.3, 1.925, and 27.13(b) of Commission’s Rules, 47 C.F.R. §§ 1.3, 1.925, and 27.13(b), we grant, on our own motion, a waiver of Section 24.13(b) and waive the ten year license period and extend the license term until March 7, 2021, for all active Lower 700 MHz E Block licensees.  </w:t>
      </w:r>
    </w:p>
    <w:p w:rsidR="002969FA" w:rsidRPr="005633D7" w:rsidRDefault="002969FA" w:rsidP="00D03910">
      <w:pPr>
        <w:pStyle w:val="ParaNum"/>
        <w:keepNext/>
        <w:widowControl/>
        <w:snapToGrid w:val="0"/>
      </w:pPr>
      <w:r w:rsidRPr="000141EC">
        <w:t xml:space="preserve">IT IS FURTHER ORDERED </w:t>
      </w:r>
      <w:r w:rsidR="00055517" w:rsidRPr="00340F88">
        <w:t>that pursuant to Section 4(i) of the Communications Act, as amended, 47 U.S.C. § 154(i), and Sections 1.3, 1.925, and 27.14(g) of Commission’s Rules, 47 C.F.R. §§ 1.3, 1.925, and 27.14(g), we grant, on our own motion,  a limited waiver of Section 24.14(g) to allow all active Lower 700 MHz band E Block licensees to meet their interim construction benchmark deadline by providing signal coverage and offering service to at least 40 percent of its total E Block population</w:t>
      </w:r>
      <w:r w:rsidR="00055517" w:rsidRPr="00340F88" w:rsidDel="00EC5AAA">
        <w:t xml:space="preserve"> </w:t>
      </w:r>
      <w:r w:rsidR="00055517" w:rsidRPr="00340F88">
        <w:t>(where a licensee’s total E Block population shall b</w:t>
      </w:r>
      <w:r w:rsidR="00A93CF8">
        <w:rPr>
          <w:lang w:val="en-US"/>
        </w:rPr>
        <w:t>e</w:t>
      </w:r>
      <w:r w:rsidR="00055517" w:rsidRPr="00340F88">
        <w:t xml:space="preserve"> calculated by summing the population of each</w:t>
      </w:r>
      <w:r w:rsidR="00A93CF8">
        <w:rPr>
          <w:lang w:val="en-US"/>
        </w:rPr>
        <w:t xml:space="preserve"> of</w:t>
      </w:r>
      <w:r w:rsidR="00055517" w:rsidRPr="00340F88">
        <w:t xml:space="preserve"> its license areas in the E Block), and to meet their end-of-term construction benchmark by providing signal coverage to at least 70 percent of the population in each of its license areas, as an alternative to meeting geographic-based performance </w:t>
      </w:r>
      <w:r w:rsidRPr="000141EC">
        <w:t xml:space="preserve">requirements.  </w:t>
      </w:r>
    </w:p>
    <w:p w:rsidR="005633D7" w:rsidRPr="000141EC" w:rsidRDefault="005633D7" w:rsidP="00D03910">
      <w:pPr>
        <w:pStyle w:val="ParaNum"/>
        <w:keepNext/>
        <w:widowControl/>
        <w:snapToGrid w:val="0"/>
      </w:pPr>
      <w:r>
        <w:t>IT IS FURTHER ORDERED that pursuant to Section 4(i) of the Communications Act, as amended, 47 U.S.C. § 154(i), and Sections 1.3, 1.925, and 27.14(g) of Commission’s Rules, 47 C.F.R. §§ 1.3, 1.925, and 27.14(g), we grant, on our own motion, a limite</w:t>
      </w:r>
      <w:r w:rsidR="00D965BF">
        <w:t>d waiver of Section 24.14(g) so that</w:t>
      </w:r>
      <w:r>
        <w:t xml:space="preserve"> all active Lower 700 MHz band E Block licensees that fail to meet the interim construction benchmark deadline will have the term of that license authorization reduced by one year.</w:t>
      </w:r>
    </w:p>
    <w:p w:rsidR="002969FA" w:rsidRPr="000141EC" w:rsidRDefault="002969FA" w:rsidP="00D03910">
      <w:pPr>
        <w:pStyle w:val="ParaNum"/>
        <w:keepNext/>
        <w:widowControl/>
        <w:snapToGrid w:val="0"/>
      </w:pPr>
      <w:r w:rsidRPr="000141EC">
        <w:t xml:space="preserve">IT IS FURTHER ORDERED that pursuant to Section 4(i) of the Communications Act, as amended, 47 U.S.C. § 154(i), and Sections 1.3, 1.925, and 27.14(l) of Commission’s Rules, 47 C.F.R. §§ 1.3, 1.925, and 27.14(l), we grant, on our own motion, a limited waiver of the </w:t>
      </w:r>
      <w:r w:rsidR="00D965BF">
        <w:t xml:space="preserve">filing </w:t>
      </w:r>
      <w:r w:rsidRPr="000141EC">
        <w:t>requirement in Section 27.14(l)</w:t>
      </w:r>
      <w:r w:rsidR="00D965BF">
        <w:t>,</w:t>
      </w:r>
      <w:r w:rsidRPr="000141EC">
        <w:t xml:space="preserve"> to extend the deadline until March 7, 2019, for all active Lower 700 MHz band E Block licensees to file a second status report regarding the licensees’ efforts to meet the performance requirements applicable t</w:t>
      </w:r>
      <w:r w:rsidR="001675B3">
        <w:t>o their spectrum authorizations</w:t>
      </w:r>
      <w:r w:rsidR="001675B3">
        <w:rPr>
          <w:lang w:val="en-US"/>
        </w:rPr>
        <w:t>.</w:t>
      </w:r>
    </w:p>
    <w:p w:rsidR="002969FA" w:rsidRPr="005D7567" w:rsidRDefault="002969FA" w:rsidP="00D03910">
      <w:pPr>
        <w:pStyle w:val="ParaNum"/>
        <w:keepNext/>
        <w:widowControl/>
        <w:snapToGrid w:val="0"/>
      </w:pPr>
      <w:r w:rsidRPr="005D7567">
        <w:t xml:space="preserve">IT IS FURTHER ORDERED that Part 27 of the Commission’s rules IS AMENDED as set </w:t>
      </w:r>
      <w:r w:rsidRPr="005D7567">
        <w:rPr>
          <w:szCs w:val="22"/>
        </w:rPr>
        <w:t>forth</w:t>
      </w:r>
      <w:r w:rsidRPr="005D7567">
        <w:t xml:space="preserve"> in Appendix A, effective 30 days after publication in the Federal Register, except as otherwise provided herein.</w:t>
      </w:r>
    </w:p>
    <w:p w:rsidR="002969FA" w:rsidRPr="005D7567" w:rsidRDefault="002969FA" w:rsidP="00D03910">
      <w:pPr>
        <w:pStyle w:val="ParaNum"/>
        <w:keepNext/>
        <w:widowControl/>
        <w:snapToGrid w:val="0"/>
      </w:pPr>
      <w:r w:rsidRPr="005D7567">
        <w:t xml:space="preserve">IT IS FURTHER ORDERED that </w:t>
      </w:r>
      <w:r w:rsidRPr="00670101">
        <w:t>the</w:t>
      </w:r>
      <w:r w:rsidRPr="005D7567">
        <w:t xml:space="preserve"> Final Regulatory Flexibility Analysis in Appendix B hereto IS ADOPTED.</w:t>
      </w:r>
    </w:p>
    <w:p w:rsidR="00D50433" w:rsidRPr="00A97797" w:rsidRDefault="002969FA" w:rsidP="00A97797">
      <w:pPr>
        <w:pStyle w:val="ParaNum"/>
        <w:keepNext/>
        <w:widowControl/>
        <w:snapToGrid w:val="0"/>
      </w:pPr>
      <w:r w:rsidRPr="005D7567">
        <w:t xml:space="preserve">IT IS FURTHER ORDERED that the Commission SHALL SEND a copy of this </w:t>
      </w:r>
      <w:r w:rsidRPr="005D7567">
        <w:rPr>
          <w:i/>
        </w:rPr>
        <w:t xml:space="preserve">Report and Order </w:t>
      </w:r>
      <w:r w:rsidRPr="005D7567">
        <w:t xml:space="preserve">to Congress and the Government Accountability Office pursuant to the Congressional Review Act, </w:t>
      </w:r>
      <w:r w:rsidRPr="005D7567">
        <w:rPr>
          <w:i/>
        </w:rPr>
        <w:t>see</w:t>
      </w:r>
      <w:r w:rsidR="00FE3BFD">
        <w:t xml:space="preserve"> 5 U.S.C. 801(a)(1)(A).</w:t>
      </w:r>
    </w:p>
    <w:p w:rsidR="003941BE" w:rsidRPr="005D7567" w:rsidRDefault="002969FA" w:rsidP="00D03910">
      <w:pPr>
        <w:pStyle w:val="ParaNum"/>
        <w:keepNext/>
        <w:widowControl/>
        <w:tabs>
          <w:tab w:val="num" w:pos="6480"/>
        </w:tabs>
        <w:snapToGrid w:val="0"/>
      </w:pPr>
      <w:r w:rsidRPr="005D7567">
        <w:t>IT IS FURTHER ORDERED that the Commission’s Consumer &amp; Governmental Affairs Bureau, Reference Information Center, SHALL SEND a copy of this Report and Order, including the Final Regulatory Flexibility Analysis, to the Chief Counsel for Advocacy of the Small Business Administration.</w:t>
      </w:r>
    </w:p>
    <w:p w:rsidR="002969FA" w:rsidRPr="005D7567" w:rsidRDefault="002969FA" w:rsidP="00D03910">
      <w:pPr>
        <w:pStyle w:val="ParaNum"/>
        <w:keepNext/>
        <w:widowControl/>
        <w:numPr>
          <w:ilvl w:val="0"/>
          <w:numId w:val="0"/>
        </w:numPr>
        <w:tabs>
          <w:tab w:val="left" w:pos="720"/>
        </w:tabs>
        <w:rPr>
          <w:color w:val="000000"/>
        </w:rPr>
      </w:pPr>
    </w:p>
    <w:p w:rsidR="002969FA" w:rsidRPr="001140FC" w:rsidRDefault="002969FA" w:rsidP="001140FC">
      <w:pPr>
        <w:pStyle w:val="ParaNum"/>
        <w:keepNext/>
        <w:widowControl/>
        <w:numPr>
          <w:ilvl w:val="0"/>
          <w:numId w:val="0"/>
        </w:numPr>
        <w:tabs>
          <w:tab w:val="left" w:pos="720"/>
        </w:tabs>
        <w:rPr>
          <w:color w:val="000000"/>
          <w:lang w:val="en-US"/>
        </w:rPr>
      </w:pPr>
    </w:p>
    <w:p w:rsidR="002969FA" w:rsidRPr="005D7567" w:rsidRDefault="002969FA" w:rsidP="00D03910">
      <w:pPr>
        <w:keepNext/>
        <w:keepLines/>
        <w:widowControl/>
        <w:ind w:left="3600" w:firstLine="720"/>
        <w:rPr>
          <w:caps/>
          <w:color w:val="000000"/>
          <w:szCs w:val="22"/>
        </w:rPr>
      </w:pPr>
      <w:r w:rsidRPr="005D7567">
        <w:t xml:space="preserve">FEDERAL </w:t>
      </w:r>
      <w:r w:rsidRPr="005D7567">
        <w:rPr>
          <w:caps/>
          <w:color w:val="000000"/>
          <w:szCs w:val="22"/>
        </w:rPr>
        <w:t>Communications Commission</w:t>
      </w:r>
    </w:p>
    <w:p w:rsidR="002969FA" w:rsidRPr="005D7567" w:rsidRDefault="002969FA" w:rsidP="00D03910">
      <w:pPr>
        <w:keepNext/>
        <w:keepLines/>
        <w:widowControl/>
        <w:rPr>
          <w:color w:val="000000"/>
          <w:szCs w:val="22"/>
        </w:rPr>
      </w:pPr>
    </w:p>
    <w:p w:rsidR="002969FA" w:rsidRPr="005D7567" w:rsidRDefault="002969FA" w:rsidP="00D03910">
      <w:pPr>
        <w:keepNext/>
        <w:keepLines/>
        <w:widowControl/>
        <w:rPr>
          <w:color w:val="000000"/>
          <w:szCs w:val="22"/>
        </w:rPr>
      </w:pPr>
    </w:p>
    <w:p w:rsidR="002969FA" w:rsidRDefault="002969FA" w:rsidP="00D03910">
      <w:pPr>
        <w:keepNext/>
        <w:keepLines/>
        <w:widowControl/>
        <w:rPr>
          <w:color w:val="000000"/>
          <w:szCs w:val="22"/>
        </w:rPr>
      </w:pPr>
    </w:p>
    <w:p w:rsidR="00975B19" w:rsidRPr="005D7567" w:rsidRDefault="00975B19" w:rsidP="00D03910">
      <w:pPr>
        <w:keepNext/>
        <w:keepLines/>
        <w:widowControl/>
        <w:rPr>
          <w:color w:val="000000"/>
          <w:szCs w:val="22"/>
        </w:rPr>
      </w:pPr>
    </w:p>
    <w:p w:rsidR="002969FA" w:rsidRPr="005D7567" w:rsidRDefault="002969FA" w:rsidP="00D03910">
      <w:pPr>
        <w:keepNext/>
        <w:keepLines/>
        <w:widowControl/>
        <w:ind w:left="3600" w:firstLine="720"/>
        <w:rPr>
          <w:color w:val="000000"/>
          <w:szCs w:val="22"/>
        </w:rPr>
      </w:pPr>
      <w:r w:rsidRPr="005D7567">
        <w:rPr>
          <w:color w:val="000000"/>
          <w:szCs w:val="22"/>
        </w:rPr>
        <w:t>Marlene H. Dortch</w:t>
      </w:r>
    </w:p>
    <w:p w:rsidR="002969FA" w:rsidRPr="00975B19" w:rsidRDefault="002969FA" w:rsidP="00D03910">
      <w:pPr>
        <w:keepNext/>
        <w:keepLines/>
        <w:widowControl/>
        <w:ind w:left="3600" w:firstLine="720"/>
        <w:rPr>
          <w:szCs w:val="22"/>
        </w:rPr>
      </w:pPr>
      <w:r w:rsidRPr="005D7567">
        <w:t>Secretary</w:t>
      </w:r>
    </w:p>
    <w:p w:rsidR="0012571B" w:rsidRDefault="0012571B" w:rsidP="00D03910">
      <w:pPr>
        <w:keepNext/>
        <w:widowControl/>
      </w:pPr>
      <w:r>
        <w:br w:type="page"/>
      </w:r>
    </w:p>
    <w:p w:rsidR="002969FA" w:rsidRPr="005D7567" w:rsidRDefault="002969FA" w:rsidP="001140FC">
      <w:pPr>
        <w:keepNext/>
        <w:widowControl/>
        <w:spacing w:after="240"/>
        <w:jc w:val="center"/>
        <w:rPr>
          <w:b/>
        </w:rPr>
      </w:pPr>
      <w:r w:rsidRPr="005D7567">
        <w:rPr>
          <w:b/>
        </w:rPr>
        <w:t>APPENDIX A</w:t>
      </w:r>
    </w:p>
    <w:p w:rsidR="000F6346" w:rsidRPr="000F6346" w:rsidRDefault="000F6346" w:rsidP="001140FC">
      <w:pPr>
        <w:keepNext/>
        <w:widowControl/>
        <w:spacing w:after="240"/>
        <w:jc w:val="center"/>
        <w:rPr>
          <w:b/>
        </w:rPr>
      </w:pPr>
      <w:r w:rsidRPr="000F6346">
        <w:rPr>
          <w:b/>
        </w:rPr>
        <w:t>F</w:t>
      </w:r>
      <w:r w:rsidR="00487096">
        <w:rPr>
          <w:b/>
        </w:rPr>
        <w:t>inal Rules</w:t>
      </w:r>
    </w:p>
    <w:p w:rsidR="000F6346" w:rsidRPr="000F6346" w:rsidRDefault="000F6346" w:rsidP="00D03910">
      <w:pPr>
        <w:keepNext/>
        <w:widowControl/>
        <w:rPr>
          <w:b/>
        </w:rPr>
      </w:pPr>
      <w:r w:rsidRPr="000F6346">
        <w:rPr>
          <w:b/>
        </w:rPr>
        <w:t>Part 27 of Title 47 of the Code of Federal Regulations is amended to read as follows:</w:t>
      </w:r>
    </w:p>
    <w:p w:rsidR="000F6346" w:rsidRPr="000F6346" w:rsidRDefault="000F6346" w:rsidP="00D03910">
      <w:pPr>
        <w:keepNext/>
        <w:widowControl/>
        <w:spacing w:after="120"/>
        <w:outlineLvl w:val="2"/>
        <w:rPr>
          <w:b/>
          <w:lang w:val="x-none" w:eastAsia="x-none"/>
        </w:rPr>
      </w:pPr>
    </w:p>
    <w:p w:rsidR="000F6346" w:rsidRPr="000F6346" w:rsidRDefault="000F6346" w:rsidP="00D03910">
      <w:pPr>
        <w:keepNext/>
        <w:widowControl/>
        <w:numPr>
          <w:ilvl w:val="0"/>
          <w:numId w:val="13"/>
        </w:numPr>
        <w:spacing w:after="200" w:line="276" w:lineRule="auto"/>
        <w:ind w:hanging="360"/>
        <w:rPr>
          <w:rFonts w:eastAsiaTheme="minorHAnsi"/>
          <w:snapToGrid/>
          <w:kern w:val="0"/>
          <w:szCs w:val="22"/>
        </w:rPr>
      </w:pPr>
      <w:r w:rsidRPr="000F6346">
        <w:rPr>
          <w:rFonts w:eastAsiaTheme="minorHAnsi"/>
          <w:snapToGrid/>
          <w:kern w:val="0"/>
          <w:szCs w:val="22"/>
        </w:rPr>
        <w:t>Section 27.2 is amended by adding new paragraph (e) to read as follows:</w:t>
      </w:r>
    </w:p>
    <w:p w:rsidR="000F6346" w:rsidRPr="000F6346" w:rsidRDefault="000F6346" w:rsidP="00D03910">
      <w:pPr>
        <w:keepNext/>
        <w:widowControl/>
        <w:ind w:left="360"/>
        <w:rPr>
          <w:rFonts w:eastAsiaTheme="minorHAnsi"/>
          <w:snapToGrid/>
          <w:kern w:val="0"/>
          <w:szCs w:val="22"/>
        </w:rPr>
      </w:pPr>
    </w:p>
    <w:p w:rsidR="000F6346" w:rsidRPr="000F6346" w:rsidRDefault="000F6346" w:rsidP="00D03910">
      <w:pPr>
        <w:keepNext/>
        <w:widowControl/>
        <w:spacing w:after="200" w:line="276" w:lineRule="auto"/>
        <w:ind w:left="360"/>
        <w:rPr>
          <w:rFonts w:eastAsiaTheme="minorHAnsi"/>
          <w:b/>
          <w:bCs/>
          <w:snapToGrid/>
          <w:kern w:val="0"/>
          <w:szCs w:val="22"/>
        </w:rPr>
      </w:pPr>
      <w:r w:rsidRPr="000F6346">
        <w:rPr>
          <w:rFonts w:eastAsiaTheme="minorHAnsi"/>
          <w:b/>
          <w:bCs/>
          <w:snapToGrid/>
          <w:kern w:val="0"/>
          <w:szCs w:val="22"/>
        </w:rPr>
        <w:t>§ 27.2   Permissible communications.</w:t>
      </w:r>
    </w:p>
    <w:p w:rsidR="000F6346" w:rsidRPr="000F6346" w:rsidRDefault="000F6346" w:rsidP="00D03910">
      <w:pPr>
        <w:keepNext/>
        <w:widowControl/>
        <w:spacing w:after="200" w:line="276" w:lineRule="auto"/>
        <w:ind w:left="360" w:firstLine="360"/>
        <w:rPr>
          <w:rFonts w:eastAsiaTheme="minorHAnsi"/>
          <w:snapToGrid/>
          <w:kern w:val="0"/>
          <w:szCs w:val="22"/>
        </w:rPr>
      </w:pPr>
      <w:r w:rsidRPr="000F6346">
        <w:rPr>
          <w:rFonts w:eastAsiaTheme="minorHAnsi"/>
          <w:snapToGrid/>
          <w:kern w:val="0"/>
          <w:szCs w:val="22"/>
        </w:rPr>
        <w:t>* * * * *</w:t>
      </w:r>
    </w:p>
    <w:p w:rsidR="000F6346" w:rsidRPr="000F6346" w:rsidRDefault="000F6346" w:rsidP="00D03910">
      <w:pPr>
        <w:keepNext/>
        <w:widowControl/>
        <w:spacing w:after="200" w:line="276" w:lineRule="auto"/>
        <w:ind w:left="360"/>
        <w:rPr>
          <w:rFonts w:eastAsiaTheme="minorHAnsi"/>
          <w:snapToGrid/>
          <w:kern w:val="0"/>
          <w:szCs w:val="22"/>
        </w:rPr>
      </w:pPr>
      <w:r w:rsidRPr="000F6346">
        <w:rPr>
          <w:rFonts w:eastAsiaTheme="minorHAnsi"/>
          <w:snapToGrid/>
          <w:kern w:val="0"/>
          <w:szCs w:val="22"/>
        </w:rPr>
        <w:t xml:space="preserve">(e)  </w:t>
      </w:r>
      <w:r w:rsidRPr="000F6346">
        <w:rPr>
          <w:rFonts w:eastAsiaTheme="minorHAnsi"/>
          <w:i/>
          <w:iCs/>
          <w:snapToGrid/>
          <w:kern w:val="0"/>
          <w:szCs w:val="22"/>
        </w:rPr>
        <w:t xml:space="preserve">716–722 MHz and 722-728 MHz bands. </w:t>
      </w:r>
      <w:r w:rsidRPr="000F6346">
        <w:rPr>
          <w:rFonts w:eastAsiaTheme="minorHAnsi"/>
          <w:iCs/>
          <w:snapToGrid/>
          <w:kern w:val="0"/>
          <w:szCs w:val="22"/>
        </w:rPr>
        <w:t xml:space="preserve">The </w:t>
      </w:r>
      <w:r w:rsidRPr="000F6346">
        <w:rPr>
          <w:rFonts w:eastAsiaTheme="minorHAnsi"/>
          <w:snapToGrid/>
          <w:kern w:val="0"/>
          <w:szCs w:val="22"/>
        </w:rPr>
        <w:t>716-722 and 722-728 MHz frequencies may not be used for uplink transmission and must be used only for downlink transmissions.</w:t>
      </w:r>
    </w:p>
    <w:p w:rsidR="000F6346" w:rsidRPr="000F6346" w:rsidRDefault="000F6346" w:rsidP="00D03910">
      <w:pPr>
        <w:keepNext/>
        <w:widowControl/>
        <w:numPr>
          <w:ilvl w:val="0"/>
          <w:numId w:val="13"/>
        </w:numPr>
        <w:spacing w:after="200" w:line="276" w:lineRule="auto"/>
        <w:ind w:hanging="360"/>
        <w:rPr>
          <w:rFonts w:eastAsiaTheme="minorHAnsi"/>
          <w:snapToGrid/>
          <w:kern w:val="0"/>
          <w:szCs w:val="22"/>
        </w:rPr>
      </w:pPr>
      <w:r w:rsidRPr="000F6346">
        <w:rPr>
          <w:rFonts w:eastAsiaTheme="minorHAnsi"/>
          <w:snapToGrid/>
          <w:kern w:val="0"/>
          <w:szCs w:val="22"/>
        </w:rPr>
        <w:t>Section 27.50 is amended by revising paragraph (c)(7) and adding new paragraphs (c)(12) and (c)(13), to read as follows:</w:t>
      </w:r>
    </w:p>
    <w:p w:rsidR="000F6346" w:rsidRPr="000F6346" w:rsidRDefault="000F6346" w:rsidP="00D03910">
      <w:pPr>
        <w:keepNext/>
        <w:widowControl/>
        <w:ind w:left="360"/>
        <w:rPr>
          <w:rFonts w:eastAsiaTheme="minorHAnsi"/>
          <w:snapToGrid/>
          <w:kern w:val="0"/>
          <w:szCs w:val="22"/>
        </w:rPr>
      </w:pPr>
    </w:p>
    <w:p w:rsidR="000F6346" w:rsidRPr="000F6346" w:rsidRDefault="000F6346" w:rsidP="00D03910">
      <w:pPr>
        <w:keepNext/>
        <w:widowControl/>
        <w:spacing w:after="200" w:line="276" w:lineRule="auto"/>
        <w:ind w:left="360"/>
        <w:rPr>
          <w:rFonts w:eastAsiaTheme="minorHAnsi"/>
          <w:bCs/>
          <w:snapToGrid/>
          <w:kern w:val="0"/>
          <w:szCs w:val="22"/>
        </w:rPr>
      </w:pPr>
      <w:r w:rsidRPr="000F6346">
        <w:rPr>
          <w:rFonts w:eastAsiaTheme="minorHAnsi"/>
          <w:b/>
          <w:bCs/>
          <w:snapToGrid/>
          <w:kern w:val="0"/>
          <w:szCs w:val="22"/>
        </w:rPr>
        <w:t>§ 27.50   Power limits and duty cycle.</w:t>
      </w:r>
    </w:p>
    <w:p w:rsidR="000F6346" w:rsidRPr="000F6346" w:rsidRDefault="000F6346" w:rsidP="00D03910">
      <w:pPr>
        <w:keepNext/>
        <w:widowControl/>
        <w:spacing w:after="200" w:line="276" w:lineRule="auto"/>
        <w:ind w:left="360" w:firstLine="360"/>
        <w:rPr>
          <w:rFonts w:eastAsiaTheme="minorHAnsi"/>
          <w:snapToGrid/>
          <w:kern w:val="0"/>
          <w:szCs w:val="22"/>
        </w:rPr>
      </w:pPr>
      <w:r w:rsidRPr="000F6346">
        <w:rPr>
          <w:rFonts w:eastAsiaTheme="minorHAnsi"/>
          <w:snapToGrid/>
          <w:kern w:val="0"/>
          <w:szCs w:val="22"/>
        </w:rPr>
        <w:t>* * * * *</w:t>
      </w:r>
    </w:p>
    <w:p w:rsidR="000F6346" w:rsidRPr="000F6346" w:rsidRDefault="000F6346" w:rsidP="00D03910">
      <w:pPr>
        <w:keepNext/>
        <w:widowControl/>
        <w:spacing w:after="200" w:line="276" w:lineRule="auto"/>
        <w:ind w:left="360"/>
        <w:rPr>
          <w:rFonts w:eastAsiaTheme="minorHAnsi"/>
          <w:iCs/>
          <w:snapToGrid/>
          <w:kern w:val="0"/>
          <w:szCs w:val="22"/>
        </w:rPr>
      </w:pPr>
      <w:r w:rsidRPr="000F6346">
        <w:rPr>
          <w:rFonts w:eastAsiaTheme="minorHAnsi"/>
          <w:iCs/>
          <w:snapToGrid/>
          <w:kern w:val="0"/>
          <w:szCs w:val="22"/>
        </w:rPr>
        <w:t xml:space="preserve">(c) </w:t>
      </w:r>
      <w:r w:rsidR="002F0FD7">
        <w:rPr>
          <w:rFonts w:eastAsiaTheme="minorHAnsi"/>
          <w:iCs/>
          <w:snapToGrid/>
          <w:kern w:val="0"/>
          <w:szCs w:val="22"/>
        </w:rPr>
        <w:t>***</w:t>
      </w:r>
    </w:p>
    <w:p w:rsidR="000F6346" w:rsidRPr="000F6346" w:rsidRDefault="000F6346" w:rsidP="00D03910">
      <w:pPr>
        <w:keepNext/>
        <w:widowControl/>
        <w:spacing w:after="200" w:line="276" w:lineRule="auto"/>
        <w:ind w:left="360" w:firstLine="360"/>
        <w:rPr>
          <w:rFonts w:eastAsiaTheme="minorHAnsi"/>
          <w:snapToGrid/>
          <w:kern w:val="0"/>
          <w:szCs w:val="22"/>
        </w:rPr>
      </w:pPr>
      <w:r w:rsidRPr="000F6346">
        <w:rPr>
          <w:rFonts w:eastAsiaTheme="minorHAnsi"/>
          <w:snapToGrid/>
          <w:kern w:val="0"/>
          <w:szCs w:val="22"/>
        </w:rPr>
        <w:t>* * * * *</w:t>
      </w:r>
    </w:p>
    <w:p w:rsidR="000F6346" w:rsidRDefault="000F6346" w:rsidP="00D03910">
      <w:pPr>
        <w:keepNext/>
        <w:widowControl/>
        <w:spacing w:after="200" w:line="276" w:lineRule="auto"/>
        <w:ind w:left="360"/>
        <w:rPr>
          <w:rFonts w:eastAsiaTheme="minorHAnsi"/>
          <w:iCs/>
          <w:snapToGrid/>
          <w:kern w:val="0"/>
          <w:szCs w:val="22"/>
        </w:rPr>
      </w:pPr>
      <w:r w:rsidRPr="000F6346">
        <w:rPr>
          <w:rFonts w:eastAsiaTheme="minorHAnsi"/>
          <w:iCs/>
          <w:snapToGrid/>
          <w:kern w:val="0"/>
          <w:szCs w:val="22"/>
        </w:rPr>
        <w:t>(7) A licensee authorized to operate in the 710-716 or 740-746 MHz bands may operate a fixed or base station at an ERP up to a total of 50</w:t>
      </w:r>
      <w:r w:rsidR="00D965BF">
        <w:rPr>
          <w:rFonts w:eastAsiaTheme="minorHAnsi"/>
          <w:iCs/>
          <w:snapToGrid/>
          <w:kern w:val="0"/>
          <w:szCs w:val="22"/>
        </w:rPr>
        <w:t xml:space="preserve"> kW within its authorized, 6 megahertz</w:t>
      </w:r>
      <w:r w:rsidRPr="000F6346">
        <w:rPr>
          <w:rFonts w:eastAsiaTheme="minorHAnsi"/>
          <w:iCs/>
          <w:snapToGrid/>
          <w:kern w:val="0"/>
          <w:szCs w:val="22"/>
        </w:rPr>
        <w:t xml:space="preserve"> spectrum block if the licensee complies with the provisions of § 27.55(b). The antenna height for such stations is limited only to the extent required to satisfy the requirements of § 27.55(b).</w:t>
      </w:r>
    </w:p>
    <w:p w:rsidR="00DE7F2E" w:rsidRPr="000F6346" w:rsidRDefault="00DE7F2E" w:rsidP="00D03910">
      <w:pPr>
        <w:keepNext/>
        <w:widowControl/>
        <w:spacing w:after="200" w:line="276" w:lineRule="auto"/>
        <w:ind w:left="360"/>
        <w:rPr>
          <w:rFonts w:eastAsiaTheme="minorHAnsi"/>
          <w:iCs/>
          <w:snapToGrid/>
          <w:kern w:val="0"/>
          <w:szCs w:val="22"/>
        </w:rPr>
      </w:pPr>
      <w:r>
        <w:rPr>
          <w:rFonts w:eastAsiaTheme="minorHAnsi"/>
          <w:iCs/>
          <w:snapToGrid/>
          <w:kern w:val="0"/>
          <w:szCs w:val="22"/>
        </w:rPr>
        <w:tab/>
        <w:t>* * * * *</w:t>
      </w:r>
    </w:p>
    <w:p w:rsidR="000F6346" w:rsidRPr="000F6346" w:rsidRDefault="000F6346" w:rsidP="00D03910">
      <w:pPr>
        <w:keepNext/>
        <w:widowControl/>
        <w:spacing w:after="200" w:line="276" w:lineRule="auto"/>
        <w:ind w:left="360"/>
        <w:rPr>
          <w:rFonts w:eastAsiaTheme="minorHAnsi"/>
          <w:iCs/>
          <w:snapToGrid/>
          <w:kern w:val="0"/>
          <w:szCs w:val="22"/>
        </w:rPr>
      </w:pPr>
      <w:r w:rsidRPr="000F6346">
        <w:rPr>
          <w:rFonts w:eastAsiaTheme="minorHAnsi"/>
          <w:iCs/>
          <w:snapToGrid/>
          <w:kern w:val="0"/>
          <w:szCs w:val="22"/>
        </w:rPr>
        <w:t>(12) A licensee authorized to operate in the 716-722 or 722-728 MHz bands may operate a fixed or base station at an ERP up to a total of 50</w:t>
      </w:r>
      <w:r w:rsidR="00D965BF">
        <w:rPr>
          <w:rFonts w:eastAsiaTheme="minorHAnsi"/>
          <w:iCs/>
          <w:snapToGrid/>
          <w:kern w:val="0"/>
          <w:szCs w:val="22"/>
        </w:rPr>
        <w:t xml:space="preserve"> kW within its authorized, 6 megahertz</w:t>
      </w:r>
      <w:r w:rsidRPr="000F6346">
        <w:rPr>
          <w:rFonts w:eastAsiaTheme="minorHAnsi"/>
          <w:iCs/>
          <w:snapToGrid/>
          <w:kern w:val="0"/>
          <w:szCs w:val="22"/>
        </w:rPr>
        <w:t xml:space="preserve"> spectrum </w:t>
      </w:r>
      <w:r w:rsidR="00B361A3">
        <w:rPr>
          <w:rFonts w:eastAsiaTheme="minorHAnsi"/>
          <w:iCs/>
          <w:snapToGrid/>
          <w:kern w:val="0"/>
          <w:szCs w:val="22"/>
        </w:rPr>
        <w:t>block if the licensee</w:t>
      </w:r>
      <w:r w:rsidR="00ED0E46">
        <w:rPr>
          <w:rFonts w:eastAsiaTheme="minorHAnsi"/>
          <w:iCs/>
          <w:snapToGrid/>
          <w:kern w:val="0"/>
          <w:szCs w:val="22"/>
        </w:rPr>
        <w:t xml:space="preserve"> </w:t>
      </w:r>
      <w:r w:rsidR="00B361A3">
        <w:rPr>
          <w:rFonts w:eastAsiaTheme="minorHAnsi"/>
          <w:iCs/>
          <w:snapToGrid/>
          <w:kern w:val="0"/>
          <w:szCs w:val="22"/>
        </w:rPr>
        <w:t>complies</w:t>
      </w:r>
      <w:r w:rsidRPr="000F6346">
        <w:rPr>
          <w:rFonts w:eastAsiaTheme="minorHAnsi"/>
          <w:iCs/>
          <w:snapToGrid/>
          <w:kern w:val="0"/>
          <w:szCs w:val="22"/>
        </w:rPr>
        <w:t xml:space="preserve"> with the</w:t>
      </w:r>
      <w:r w:rsidR="00ED0E46">
        <w:rPr>
          <w:rFonts w:eastAsiaTheme="minorHAnsi"/>
          <w:iCs/>
          <w:snapToGrid/>
          <w:kern w:val="0"/>
          <w:szCs w:val="22"/>
        </w:rPr>
        <w:t xml:space="preserve"> provisions of § 27.55(b), </w:t>
      </w:r>
      <w:r w:rsidRPr="000F6346">
        <w:rPr>
          <w:rFonts w:eastAsiaTheme="minorHAnsi"/>
          <w:iCs/>
          <w:snapToGrid/>
          <w:kern w:val="0"/>
          <w:szCs w:val="22"/>
        </w:rPr>
        <w:t>obtain</w:t>
      </w:r>
      <w:r w:rsidR="00B361A3">
        <w:rPr>
          <w:rFonts w:eastAsiaTheme="minorHAnsi"/>
          <w:iCs/>
          <w:snapToGrid/>
          <w:kern w:val="0"/>
          <w:szCs w:val="22"/>
        </w:rPr>
        <w:t>s</w:t>
      </w:r>
      <w:r w:rsidRPr="000F6346">
        <w:rPr>
          <w:rFonts w:eastAsiaTheme="minorHAnsi"/>
          <w:iCs/>
          <w:snapToGrid/>
          <w:kern w:val="0"/>
          <w:szCs w:val="22"/>
        </w:rPr>
        <w:t xml:space="preserve"> written concurrences from all affected licensees in the 698-746 MHz bands within 120 km of the proposed high power site, and</w:t>
      </w:r>
      <w:r w:rsidR="00ED0E46">
        <w:rPr>
          <w:rFonts w:eastAsiaTheme="minorHAnsi"/>
          <w:iCs/>
          <w:snapToGrid/>
          <w:kern w:val="0"/>
          <w:szCs w:val="22"/>
        </w:rPr>
        <w:t xml:space="preserve"> </w:t>
      </w:r>
      <w:r w:rsidRPr="000F6346">
        <w:rPr>
          <w:rFonts w:eastAsiaTheme="minorHAnsi"/>
          <w:iCs/>
          <w:snapToGrid/>
          <w:kern w:val="0"/>
          <w:szCs w:val="22"/>
        </w:rPr>
        <w:t>file</w:t>
      </w:r>
      <w:r w:rsidR="00B361A3">
        <w:rPr>
          <w:rFonts w:eastAsiaTheme="minorHAnsi"/>
          <w:iCs/>
          <w:snapToGrid/>
          <w:kern w:val="0"/>
          <w:szCs w:val="22"/>
        </w:rPr>
        <w:t>s</w:t>
      </w:r>
      <w:r w:rsidRPr="000F6346">
        <w:rPr>
          <w:rFonts w:eastAsiaTheme="minorHAnsi"/>
          <w:iCs/>
          <w:snapToGrid/>
          <w:kern w:val="0"/>
          <w:szCs w:val="22"/>
        </w:rPr>
        <w:t xml:space="preserve"> a copy of each written concurrences with the Wireless Telecommunications Bureau</w:t>
      </w:r>
      <w:r w:rsidR="00DE7F2E">
        <w:rPr>
          <w:rFonts w:eastAsiaTheme="minorHAnsi"/>
          <w:iCs/>
          <w:snapToGrid/>
          <w:kern w:val="0"/>
          <w:szCs w:val="22"/>
        </w:rPr>
        <w:t xml:space="preserve"> on FCC Form 601</w:t>
      </w:r>
      <w:r w:rsidRPr="000F6346">
        <w:rPr>
          <w:rFonts w:eastAsiaTheme="minorHAnsi"/>
          <w:iCs/>
          <w:snapToGrid/>
          <w:kern w:val="0"/>
          <w:szCs w:val="22"/>
        </w:rPr>
        <w:t xml:space="preserve">. </w:t>
      </w:r>
      <w:r w:rsidRPr="000F6346" w:rsidDel="00623567">
        <w:rPr>
          <w:rFonts w:eastAsiaTheme="minorHAnsi"/>
          <w:iCs/>
          <w:snapToGrid/>
          <w:kern w:val="0"/>
          <w:szCs w:val="22"/>
        </w:rPr>
        <w:t xml:space="preserve"> </w:t>
      </w:r>
      <w:r w:rsidRPr="000F6346">
        <w:rPr>
          <w:rFonts w:eastAsiaTheme="minorHAnsi"/>
          <w:iCs/>
          <w:snapToGrid/>
          <w:kern w:val="0"/>
          <w:szCs w:val="22"/>
        </w:rPr>
        <w:t xml:space="preserve">The antenna height for such stations is limited only to the extent required to satisfy the requirements of § 27.55(b).  </w:t>
      </w:r>
    </w:p>
    <w:p w:rsidR="000F6346" w:rsidRPr="000F6346" w:rsidRDefault="000F6346" w:rsidP="00D03910">
      <w:pPr>
        <w:keepNext/>
        <w:widowControl/>
        <w:spacing w:after="200" w:line="276" w:lineRule="auto"/>
        <w:ind w:left="360"/>
        <w:rPr>
          <w:rFonts w:eastAsia="Calibri"/>
          <w:iCs/>
          <w:snapToGrid/>
          <w:kern w:val="0"/>
          <w:szCs w:val="22"/>
        </w:rPr>
      </w:pPr>
      <w:r w:rsidRPr="000F6346">
        <w:rPr>
          <w:rFonts w:eastAsia="Calibri"/>
          <w:iCs/>
          <w:snapToGrid/>
          <w:kern w:val="0"/>
          <w:szCs w:val="22"/>
        </w:rPr>
        <w:t xml:space="preserve">(13) Licensees authorized to operate in the 716-722 or 722-728 MHz bands must coordinate with licensees </w:t>
      </w:r>
      <w:r w:rsidR="00B67020">
        <w:rPr>
          <w:rFonts w:eastAsia="Calibri"/>
          <w:iCs/>
          <w:snapToGrid/>
          <w:kern w:val="0"/>
          <w:szCs w:val="22"/>
        </w:rPr>
        <w:t>with uplink operation</w:t>
      </w:r>
      <w:r w:rsidR="00DE7F2E">
        <w:rPr>
          <w:rFonts w:eastAsia="Calibri"/>
          <w:iCs/>
          <w:snapToGrid/>
          <w:kern w:val="0"/>
          <w:szCs w:val="22"/>
        </w:rPr>
        <w:t>s</w:t>
      </w:r>
      <w:r w:rsidRPr="000F6346">
        <w:rPr>
          <w:rFonts w:eastAsia="Calibri"/>
          <w:iCs/>
          <w:snapToGrid/>
          <w:kern w:val="0"/>
          <w:szCs w:val="22"/>
        </w:rPr>
        <w:t xml:space="preserve"> in the 698-716 </w:t>
      </w:r>
      <w:r w:rsidR="00B67020">
        <w:rPr>
          <w:rFonts w:eastAsia="Calibri"/>
          <w:iCs/>
          <w:snapToGrid/>
          <w:kern w:val="0"/>
          <w:szCs w:val="22"/>
        </w:rPr>
        <w:t>MHz band</w:t>
      </w:r>
      <w:r w:rsidRPr="000F6346">
        <w:rPr>
          <w:rFonts w:eastAsia="Calibri"/>
          <w:iCs/>
          <w:snapToGrid/>
          <w:kern w:val="0"/>
          <w:szCs w:val="22"/>
        </w:rPr>
        <w:t xml:space="preserve"> to mitigate the potential for harmful interference.  Licensees authorized to operate in the 716-722 or 722-728 MHz bands must mitigate harmful interference to licensees</w:t>
      </w:r>
      <w:r w:rsidR="00DE7F2E">
        <w:rPr>
          <w:rFonts w:eastAsia="Calibri"/>
          <w:iCs/>
          <w:snapToGrid/>
          <w:kern w:val="0"/>
          <w:szCs w:val="22"/>
        </w:rPr>
        <w:t>’ uplink</w:t>
      </w:r>
      <w:r w:rsidRPr="000F6346">
        <w:rPr>
          <w:rFonts w:eastAsia="Calibri"/>
          <w:iCs/>
          <w:snapToGrid/>
          <w:kern w:val="0"/>
          <w:szCs w:val="22"/>
        </w:rPr>
        <w:t xml:space="preserve"> </w:t>
      </w:r>
      <w:r w:rsidR="00B67020">
        <w:rPr>
          <w:rFonts w:eastAsia="Calibri"/>
          <w:iCs/>
          <w:snapToGrid/>
          <w:kern w:val="0"/>
          <w:szCs w:val="22"/>
        </w:rPr>
        <w:t>operations</w:t>
      </w:r>
      <w:r w:rsidRPr="000F6346">
        <w:rPr>
          <w:rFonts w:eastAsia="Calibri"/>
          <w:iCs/>
          <w:snapToGrid/>
          <w:kern w:val="0"/>
          <w:szCs w:val="22"/>
        </w:rPr>
        <w:t xml:space="preserve"> in the 698-716 MHz band within 30 days after receiving written notice from the affected licensees.  A licensee authorized to operate in the 716-722 or 722-728 MHz bands must ensure that 716-728 MHz band transmissions are filtered at least to the extent that the 716-728 MHz band transmissions are filtered in markets where the 716-728 MHz band licensee holds any license in the 698-716 </w:t>
      </w:r>
      <w:r w:rsidR="00B67020">
        <w:rPr>
          <w:rFonts w:eastAsia="Calibri"/>
          <w:iCs/>
          <w:snapToGrid/>
          <w:kern w:val="0"/>
          <w:szCs w:val="22"/>
        </w:rPr>
        <w:t>band</w:t>
      </w:r>
      <w:r w:rsidRPr="000F6346">
        <w:rPr>
          <w:rFonts w:eastAsia="Calibri"/>
          <w:iCs/>
          <w:snapToGrid/>
          <w:kern w:val="0"/>
          <w:szCs w:val="22"/>
        </w:rPr>
        <w:t xml:space="preserve">, as applicable.  </w:t>
      </w:r>
      <w:r w:rsidR="00B67020">
        <w:rPr>
          <w:rFonts w:eastAsia="Calibri"/>
          <w:iCs/>
          <w:snapToGrid/>
          <w:kern w:val="0"/>
          <w:szCs w:val="22"/>
        </w:rPr>
        <w:t xml:space="preserve">For purposes of coordination and mitigations measures in paragraphs (i) and (iii) below, network will be deemed “deployed” as of the date upon which the network is able to support a commercial mobile or data service.  </w:t>
      </w:r>
      <w:r w:rsidRPr="000F6346">
        <w:rPr>
          <w:rFonts w:eastAsia="Calibri"/>
          <w:iCs/>
          <w:snapToGrid/>
          <w:kern w:val="0"/>
          <w:szCs w:val="22"/>
        </w:rPr>
        <w:t xml:space="preserve">The coordination and mitigation measures should include, but are not limited to, the following: </w:t>
      </w:r>
    </w:p>
    <w:p w:rsidR="000F6346" w:rsidRPr="000F6346" w:rsidRDefault="001B63DB" w:rsidP="00D03910">
      <w:pPr>
        <w:keepNext/>
        <w:widowControl/>
        <w:spacing w:after="200" w:line="276" w:lineRule="auto"/>
        <w:ind w:left="360"/>
        <w:rPr>
          <w:rFonts w:eastAsia="Calibri"/>
          <w:iCs/>
          <w:snapToGrid/>
          <w:kern w:val="0"/>
          <w:szCs w:val="22"/>
        </w:rPr>
      </w:pPr>
      <w:r>
        <w:rPr>
          <w:rFonts w:eastAsia="Calibri"/>
          <w:iCs/>
          <w:snapToGrid/>
          <w:kern w:val="0"/>
          <w:szCs w:val="22"/>
        </w:rPr>
        <w:t>(i) I</w:t>
      </w:r>
      <w:r w:rsidR="000F6346" w:rsidRPr="000F6346">
        <w:rPr>
          <w:rFonts w:eastAsia="Calibri"/>
          <w:iCs/>
          <w:snapToGrid/>
          <w:kern w:val="0"/>
          <w:szCs w:val="22"/>
        </w:rPr>
        <w:t xml:space="preserve">f a licensee operating in the 698-716 and 728-746 MHz band deploys a </w:t>
      </w:r>
      <w:r w:rsidR="00B67020">
        <w:rPr>
          <w:rFonts w:eastAsia="Calibri"/>
          <w:iCs/>
          <w:snapToGrid/>
          <w:kern w:val="0"/>
          <w:szCs w:val="22"/>
        </w:rPr>
        <w:t>network</w:t>
      </w:r>
      <w:r w:rsidR="000F6346" w:rsidRPr="000F6346">
        <w:rPr>
          <w:rFonts w:eastAsia="Calibri"/>
          <w:iCs/>
          <w:snapToGrid/>
          <w:kern w:val="0"/>
          <w:szCs w:val="22"/>
        </w:rPr>
        <w:t xml:space="preserve"> after the 716-722 or 722-728 MHz band</w:t>
      </w:r>
      <w:r w:rsidR="00DE7F2E">
        <w:rPr>
          <w:rFonts w:eastAsia="Calibri"/>
          <w:iCs/>
          <w:snapToGrid/>
          <w:kern w:val="0"/>
          <w:szCs w:val="22"/>
        </w:rPr>
        <w:t>s</w:t>
      </w:r>
      <w:r w:rsidR="000F6346" w:rsidRPr="000F6346">
        <w:rPr>
          <w:rFonts w:eastAsia="Calibri"/>
          <w:iCs/>
          <w:snapToGrid/>
          <w:kern w:val="0"/>
          <w:szCs w:val="22"/>
        </w:rPr>
        <w:t xml:space="preserve"> licensee deploys a </w:t>
      </w:r>
      <w:r w:rsidR="00B67020">
        <w:rPr>
          <w:rFonts w:eastAsia="Calibri"/>
          <w:iCs/>
          <w:snapToGrid/>
          <w:kern w:val="0"/>
          <w:szCs w:val="22"/>
        </w:rPr>
        <w:t>network</w:t>
      </w:r>
      <w:r w:rsidR="00DE7F2E">
        <w:rPr>
          <w:rFonts w:eastAsia="Calibri"/>
          <w:iCs/>
          <w:snapToGrid/>
          <w:kern w:val="0"/>
          <w:szCs w:val="22"/>
        </w:rPr>
        <w:t xml:space="preserve"> </w:t>
      </w:r>
      <w:r w:rsidR="000F6346" w:rsidRPr="000F6346">
        <w:rPr>
          <w:rFonts w:eastAsia="Calibri"/>
          <w:iCs/>
          <w:snapToGrid/>
          <w:kern w:val="0"/>
          <w:szCs w:val="22"/>
        </w:rPr>
        <w:t>on its 716-722 or 722-728 MHz spectrum in the same geographic market, the 716-722 or 722-728 MHz band</w:t>
      </w:r>
      <w:r w:rsidR="00DE7F2E">
        <w:rPr>
          <w:rFonts w:eastAsia="Calibri"/>
          <w:iCs/>
          <w:snapToGrid/>
          <w:kern w:val="0"/>
          <w:szCs w:val="22"/>
        </w:rPr>
        <w:t>s</w:t>
      </w:r>
      <w:r w:rsidR="000F6346" w:rsidRPr="000F6346">
        <w:rPr>
          <w:rFonts w:eastAsia="Calibri"/>
          <w:iCs/>
          <w:snapToGrid/>
          <w:kern w:val="0"/>
          <w:szCs w:val="22"/>
        </w:rPr>
        <w:t xml:space="preserve"> licensee will work with the licensee </w:t>
      </w:r>
      <w:r w:rsidR="00B67020">
        <w:rPr>
          <w:rFonts w:eastAsia="Calibri"/>
          <w:iCs/>
          <w:snapToGrid/>
          <w:kern w:val="0"/>
          <w:szCs w:val="22"/>
        </w:rPr>
        <w:t>with uplink operation</w:t>
      </w:r>
      <w:r w:rsidR="00DE7F2E">
        <w:rPr>
          <w:rFonts w:eastAsia="Calibri"/>
          <w:iCs/>
          <w:snapToGrid/>
          <w:kern w:val="0"/>
          <w:szCs w:val="22"/>
        </w:rPr>
        <w:t xml:space="preserve">s </w:t>
      </w:r>
      <w:r w:rsidR="000F6346" w:rsidRPr="000F6346">
        <w:rPr>
          <w:rFonts w:eastAsia="Calibri"/>
          <w:iCs/>
          <w:snapToGrid/>
          <w:kern w:val="0"/>
          <w:szCs w:val="22"/>
        </w:rPr>
        <w:t xml:space="preserve">in the 698-716 </w:t>
      </w:r>
      <w:r w:rsidR="00B67020">
        <w:rPr>
          <w:rFonts w:eastAsia="Calibri"/>
          <w:iCs/>
          <w:snapToGrid/>
          <w:kern w:val="0"/>
          <w:szCs w:val="22"/>
        </w:rPr>
        <w:t xml:space="preserve">MHz </w:t>
      </w:r>
      <w:r w:rsidR="000F6346" w:rsidRPr="000F6346">
        <w:rPr>
          <w:rFonts w:eastAsia="Calibri"/>
          <w:iCs/>
          <w:snapToGrid/>
          <w:kern w:val="0"/>
          <w:szCs w:val="22"/>
        </w:rPr>
        <w:t>band to identify sites that will require additional filtering, and will help the licensee operating in the 698-716 and 728-746 MHz band</w:t>
      </w:r>
      <w:r w:rsidR="00C82292">
        <w:rPr>
          <w:rFonts w:eastAsia="Calibri"/>
          <w:iCs/>
          <w:snapToGrid/>
          <w:kern w:val="0"/>
          <w:szCs w:val="22"/>
        </w:rPr>
        <w:t>s</w:t>
      </w:r>
      <w:r w:rsidR="000F6346" w:rsidRPr="000F6346">
        <w:rPr>
          <w:rFonts w:eastAsia="Calibri"/>
          <w:iCs/>
          <w:snapToGrid/>
          <w:kern w:val="0"/>
          <w:szCs w:val="22"/>
        </w:rPr>
        <w:t xml:space="preserve"> to identify proper filters; </w:t>
      </w:r>
    </w:p>
    <w:p w:rsidR="000F6346" w:rsidRPr="000F6346" w:rsidRDefault="001B63DB" w:rsidP="00D03910">
      <w:pPr>
        <w:keepNext/>
        <w:widowControl/>
        <w:spacing w:after="200" w:line="276" w:lineRule="auto"/>
        <w:ind w:left="360"/>
        <w:rPr>
          <w:rFonts w:eastAsia="Calibri"/>
          <w:iCs/>
          <w:snapToGrid/>
          <w:kern w:val="0"/>
          <w:szCs w:val="22"/>
        </w:rPr>
      </w:pPr>
      <w:r>
        <w:rPr>
          <w:rFonts w:eastAsia="Calibri"/>
          <w:iCs/>
          <w:snapToGrid/>
          <w:kern w:val="0"/>
          <w:szCs w:val="22"/>
        </w:rPr>
        <w:t>(ii) T</w:t>
      </w:r>
      <w:r w:rsidR="000F6346" w:rsidRPr="000F6346">
        <w:rPr>
          <w:rFonts w:eastAsia="Calibri"/>
          <w:iCs/>
          <w:snapToGrid/>
          <w:kern w:val="0"/>
          <w:szCs w:val="22"/>
        </w:rPr>
        <w:t>he 716-722 or 722-728 MHz band</w:t>
      </w:r>
      <w:r w:rsidR="00C82292">
        <w:rPr>
          <w:rFonts w:eastAsia="Calibri"/>
          <w:iCs/>
          <w:snapToGrid/>
          <w:kern w:val="0"/>
          <w:szCs w:val="22"/>
        </w:rPr>
        <w:t>s</w:t>
      </w:r>
      <w:r w:rsidR="000F6346" w:rsidRPr="000F6346">
        <w:rPr>
          <w:rFonts w:eastAsia="Calibri"/>
          <w:iCs/>
          <w:snapToGrid/>
          <w:kern w:val="0"/>
          <w:szCs w:val="22"/>
        </w:rPr>
        <w:t xml:space="preserve"> licensee must permit licensees</w:t>
      </w:r>
      <w:r w:rsidR="00554F7A">
        <w:rPr>
          <w:rFonts w:eastAsia="Calibri"/>
          <w:iCs/>
          <w:snapToGrid/>
          <w:kern w:val="0"/>
          <w:szCs w:val="22"/>
        </w:rPr>
        <w:t xml:space="preserve"> operating</w:t>
      </w:r>
      <w:r w:rsidR="00C82292">
        <w:rPr>
          <w:rFonts w:eastAsia="Calibri"/>
          <w:iCs/>
          <w:snapToGrid/>
          <w:kern w:val="0"/>
          <w:szCs w:val="22"/>
        </w:rPr>
        <w:t xml:space="preserve"> </w:t>
      </w:r>
      <w:r w:rsidR="000F6346" w:rsidRPr="000F6346">
        <w:rPr>
          <w:rFonts w:eastAsia="Calibri"/>
          <w:iCs/>
          <w:snapToGrid/>
          <w:kern w:val="0"/>
          <w:szCs w:val="22"/>
        </w:rPr>
        <w:t>in the 698-716 and 728-746 MHz band</w:t>
      </w:r>
      <w:r w:rsidR="00C82292">
        <w:rPr>
          <w:rFonts w:eastAsia="Calibri"/>
          <w:iCs/>
          <w:snapToGrid/>
          <w:kern w:val="0"/>
          <w:szCs w:val="22"/>
        </w:rPr>
        <w:t>s</w:t>
      </w:r>
      <w:r w:rsidR="000F6346" w:rsidRPr="000F6346">
        <w:rPr>
          <w:rFonts w:eastAsia="Calibri"/>
          <w:iCs/>
          <w:snapToGrid/>
          <w:kern w:val="0"/>
          <w:szCs w:val="22"/>
        </w:rPr>
        <w:t xml:space="preserve"> to collocate on the towers it owns at prevailing market rates;</w:t>
      </w:r>
      <w:r w:rsidR="00C82292">
        <w:rPr>
          <w:rFonts w:eastAsia="Calibri"/>
          <w:iCs/>
          <w:snapToGrid/>
          <w:kern w:val="0"/>
          <w:szCs w:val="22"/>
        </w:rPr>
        <w:t xml:space="preserve"> and</w:t>
      </w:r>
      <w:r w:rsidR="000F6346" w:rsidRPr="000F6346">
        <w:rPr>
          <w:rFonts w:eastAsia="Calibri"/>
          <w:iCs/>
          <w:snapToGrid/>
          <w:kern w:val="0"/>
          <w:szCs w:val="22"/>
        </w:rPr>
        <w:t xml:space="preserve"> </w:t>
      </w:r>
    </w:p>
    <w:p w:rsidR="00344AF5" w:rsidRDefault="001B63DB" w:rsidP="00D03910">
      <w:pPr>
        <w:keepNext/>
        <w:widowControl/>
        <w:spacing w:after="200" w:line="276" w:lineRule="auto"/>
        <w:ind w:left="360"/>
        <w:rPr>
          <w:rFonts w:eastAsia="Calibri"/>
          <w:iCs/>
          <w:snapToGrid/>
          <w:kern w:val="0"/>
          <w:szCs w:val="22"/>
        </w:rPr>
        <w:sectPr w:rsidR="00344AF5" w:rsidSect="00B80D9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1440" w:left="1440" w:header="720" w:footer="720" w:gutter="0"/>
          <w:cols w:space="720"/>
          <w:titlePg/>
          <w:docGrid w:linePitch="299"/>
        </w:sectPr>
      </w:pPr>
      <w:r>
        <w:rPr>
          <w:rFonts w:eastAsia="Calibri"/>
          <w:iCs/>
          <w:snapToGrid/>
          <w:kern w:val="0"/>
          <w:szCs w:val="22"/>
        </w:rPr>
        <w:t>(iii) I</w:t>
      </w:r>
      <w:r w:rsidR="000F6346" w:rsidRPr="000F6346">
        <w:rPr>
          <w:rFonts w:eastAsia="Calibri"/>
          <w:iCs/>
          <w:snapToGrid/>
          <w:kern w:val="0"/>
          <w:szCs w:val="22"/>
        </w:rPr>
        <w:t>f a 698-716 and 728-746 MHz band</w:t>
      </w:r>
      <w:r w:rsidR="00C82292">
        <w:rPr>
          <w:rFonts w:eastAsia="Calibri"/>
          <w:iCs/>
          <w:snapToGrid/>
          <w:kern w:val="0"/>
          <w:szCs w:val="22"/>
        </w:rPr>
        <w:t>s</w:t>
      </w:r>
      <w:r w:rsidR="000F6346" w:rsidRPr="000F6346">
        <w:rPr>
          <w:rFonts w:eastAsia="Calibri"/>
          <w:iCs/>
          <w:snapToGrid/>
          <w:kern w:val="0"/>
          <w:szCs w:val="22"/>
        </w:rPr>
        <w:t xml:space="preserve"> licensee deploys a </w:t>
      </w:r>
      <w:r w:rsidR="00554F7A">
        <w:rPr>
          <w:rFonts w:eastAsia="Calibri"/>
          <w:iCs/>
          <w:snapToGrid/>
          <w:kern w:val="0"/>
          <w:szCs w:val="22"/>
        </w:rPr>
        <w:t>network</w:t>
      </w:r>
      <w:r w:rsidR="000F6346" w:rsidRPr="000F6346">
        <w:rPr>
          <w:rFonts w:eastAsia="Calibri"/>
          <w:iCs/>
          <w:snapToGrid/>
          <w:kern w:val="0"/>
          <w:szCs w:val="22"/>
        </w:rPr>
        <w:t xml:space="preserve"> before a licensee in the 716-722 or 722-728 MHz band</w:t>
      </w:r>
      <w:r w:rsidR="00C82292">
        <w:rPr>
          <w:rFonts w:eastAsia="Calibri"/>
          <w:iCs/>
          <w:snapToGrid/>
          <w:kern w:val="0"/>
          <w:szCs w:val="22"/>
        </w:rPr>
        <w:t>s</w:t>
      </w:r>
      <w:r w:rsidR="000F6346" w:rsidRPr="000F6346">
        <w:rPr>
          <w:rFonts w:eastAsia="Calibri"/>
          <w:iCs/>
          <w:snapToGrid/>
          <w:kern w:val="0"/>
          <w:szCs w:val="22"/>
        </w:rPr>
        <w:t xml:space="preserve"> deploys </w:t>
      </w:r>
      <w:r w:rsidR="00554F7A">
        <w:rPr>
          <w:rFonts w:eastAsia="Calibri"/>
          <w:iCs/>
          <w:snapToGrid/>
          <w:kern w:val="0"/>
          <w:szCs w:val="22"/>
        </w:rPr>
        <w:t>a network</w:t>
      </w:r>
      <w:r w:rsidR="000F6346" w:rsidRPr="000F6346">
        <w:rPr>
          <w:rFonts w:eastAsia="Calibri"/>
          <w:iCs/>
          <w:snapToGrid/>
          <w:kern w:val="0"/>
          <w:szCs w:val="22"/>
        </w:rPr>
        <w:t xml:space="preserve"> in the same geographic market, the 716-722 or 722-728 MHz band</w:t>
      </w:r>
      <w:r w:rsidR="00C82292">
        <w:rPr>
          <w:rFonts w:eastAsia="Calibri"/>
          <w:iCs/>
          <w:snapToGrid/>
          <w:kern w:val="0"/>
          <w:szCs w:val="22"/>
        </w:rPr>
        <w:t>s</w:t>
      </w:r>
      <w:r w:rsidR="000F6346" w:rsidRPr="000F6346">
        <w:rPr>
          <w:rFonts w:eastAsia="Calibri"/>
          <w:iCs/>
          <w:snapToGrid/>
          <w:kern w:val="0"/>
          <w:szCs w:val="22"/>
        </w:rPr>
        <w:t xml:space="preserve"> licensee will work with licensee</w:t>
      </w:r>
      <w:r w:rsidR="00C82292">
        <w:rPr>
          <w:rFonts w:eastAsia="Calibri"/>
          <w:iCs/>
          <w:snapToGrid/>
          <w:kern w:val="0"/>
          <w:szCs w:val="22"/>
        </w:rPr>
        <w:t>s</w:t>
      </w:r>
      <w:r w:rsidR="000F6346" w:rsidRPr="000F6346">
        <w:rPr>
          <w:rFonts w:eastAsia="Calibri"/>
          <w:iCs/>
          <w:snapToGrid/>
          <w:kern w:val="0"/>
          <w:szCs w:val="22"/>
        </w:rPr>
        <w:t xml:space="preserve"> in the 698-716 and 728-746 MHz band</w:t>
      </w:r>
      <w:r w:rsidR="00C82292">
        <w:rPr>
          <w:rFonts w:eastAsia="Calibri"/>
          <w:iCs/>
          <w:snapToGrid/>
          <w:kern w:val="0"/>
          <w:szCs w:val="22"/>
        </w:rPr>
        <w:t>s</w:t>
      </w:r>
      <w:r w:rsidR="000F6346" w:rsidRPr="000F6346">
        <w:rPr>
          <w:rFonts w:eastAsia="Calibri"/>
          <w:iCs/>
          <w:snapToGrid/>
          <w:kern w:val="0"/>
          <w:szCs w:val="22"/>
        </w:rPr>
        <w:t xml:space="preserve"> to identify sites that will need additional filtering and will purchase and pay for installation of required filters on such sites.  </w:t>
      </w:r>
    </w:p>
    <w:p w:rsidR="002969FA" w:rsidRPr="005D7567" w:rsidRDefault="002969FA" w:rsidP="00A97797">
      <w:pPr>
        <w:pStyle w:val="ParaNum"/>
        <w:keepNext/>
        <w:widowControl/>
        <w:numPr>
          <w:ilvl w:val="0"/>
          <w:numId w:val="0"/>
        </w:numPr>
        <w:tabs>
          <w:tab w:val="left" w:pos="720"/>
        </w:tabs>
        <w:spacing w:after="240"/>
        <w:ind w:firstLine="720"/>
        <w:jc w:val="center"/>
        <w:rPr>
          <w:b/>
        </w:rPr>
      </w:pPr>
      <w:r w:rsidRPr="005D7567">
        <w:rPr>
          <w:b/>
        </w:rPr>
        <w:t>APPENDIX B</w:t>
      </w:r>
    </w:p>
    <w:p w:rsidR="002969FA" w:rsidRPr="0012571B" w:rsidRDefault="002969FA" w:rsidP="00A97797">
      <w:pPr>
        <w:pStyle w:val="ParaNum"/>
        <w:keepNext/>
        <w:widowControl/>
        <w:numPr>
          <w:ilvl w:val="0"/>
          <w:numId w:val="0"/>
        </w:numPr>
        <w:tabs>
          <w:tab w:val="left" w:pos="720"/>
        </w:tabs>
        <w:spacing w:line="480" w:lineRule="auto"/>
        <w:ind w:firstLine="720"/>
        <w:jc w:val="center"/>
        <w:rPr>
          <w:b/>
          <w:lang w:val="en-US"/>
        </w:rPr>
      </w:pPr>
      <w:bookmarkStart w:id="1467" w:name="_Toc139884900"/>
      <w:bookmarkStart w:id="1468" w:name="_Toc139945645"/>
      <w:bookmarkEnd w:id="1467"/>
      <w:bookmarkEnd w:id="1468"/>
      <w:r w:rsidRPr="005D7567">
        <w:rPr>
          <w:b/>
        </w:rPr>
        <w:t>F</w:t>
      </w:r>
      <w:r w:rsidR="0012571B">
        <w:rPr>
          <w:b/>
          <w:lang w:val="en-US"/>
        </w:rPr>
        <w:t>inal Regulatory Flexibility Analysis</w:t>
      </w:r>
    </w:p>
    <w:p w:rsidR="002969FA" w:rsidRPr="005D7567" w:rsidRDefault="002969FA" w:rsidP="00D03910">
      <w:pPr>
        <w:pStyle w:val="ParaNum"/>
        <w:keepNext/>
        <w:widowControl/>
        <w:numPr>
          <w:ilvl w:val="0"/>
          <w:numId w:val="11"/>
        </w:numPr>
        <w:snapToGrid w:val="0"/>
      </w:pPr>
      <w:r w:rsidRPr="005D7567">
        <w:t>As required by the Regulatory Flexibility Act of 1980, as amended (RFA),</w:t>
      </w:r>
      <w:r w:rsidRPr="005D7567">
        <w:rPr>
          <w:vertAlign w:val="superscript"/>
        </w:rPr>
        <w:footnoteReference w:id="217"/>
      </w:r>
      <w:r w:rsidRPr="005D7567">
        <w:t xml:space="preserve"> an Initial Regulatory Flexibility Analysis (IRFA) was incorporated in the</w:t>
      </w:r>
      <w:r w:rsidRPr="005D7567">
        <w:rPr>
          <w:i/>
          <w:iCs/>
        </w:rPr>
        <w:t xml:space="preserve"> </w:t>
      </w:r>
      <w:r w:rsidR="009D4C29">
        <w:rPr>
          <w:i/>
          <w:iCs/>
          <w:lang w:val="en-US"/>
        </w:rPr>
        <w:t>Interoperability NPRM</w:t>
      </w:r>
      <w:r w:rsidRPr="005D7567">
        <w:t>.</w:t>
      </w:r>
      <w:r w:rsidRPr="005D7567">
        <w:rPr>
          <w:vertAlign w:val="superscript"/>
        </w:rPr>
        <w:footnoteReference w:id="218"/>
      </w:r>
      <w:r w:rsidRPr="005D7567">
        <w:t xml:space="preserve">  The Wireless Telecommunications Bureau (WTB) sought written public comment on the proposals in the </w:t>
      </w:r>
      <w:r w:rsidR="004277A3">
        <w:rPr>
          <w:i/>
          <w:iCs/>
          <w:lang w:val="en-US"/>
        </w:rPr>
        <w:t>NPRM</w:t>
      </w:r>
      <w:r w:rsidRPr="005D7567">
        <w:t xml:space="preserve">, including comment on the IRFA.  This present Final Regulatory Flexibility Analysis (FRFA) conforms to </w:t>
      </w:r>
      <w:r w:rsidRPr="005D7567">
        <w:rPr>
          <w:kern w:val="0"/>
          <w:szCs w:val="22"/>
        </w:rPr>
        <w:t>the</w:t>
      </w:r>
      <w:r w:rsidRPr="005D7567">
        <w:t xml:space="preserve"> RFA.</w:t>
      </w:r>
      <w:r w:rsidRPr="005D7567">
        <w:rPr>
          <w:vertAlign w:val="superscript"/>
        </w:rPr>
        <w:footnoteReference w:id="219"/>
      </w:r>
    </w:p>
    <w:p w:rsidR="002969FA" w:rsidRPr="005D7567" w:rsidRDefault="002969FA" w:rsidP="00D03910">
      <w:pPr>
        <w:pStyle w:val="ParaNum"/>
        <w:keepNext/>
        <w:widowControl/>
      </w:pPr>
      <w:r w:rsidRPr="005D7567">
        <w:t xml:space="preserve">We </w:t>
      </w:r>
      <w:r w:rsidR="00F417DC">
        <w:rPr>
          <w:lang w:val="en-US"/>
        </w:rPr>
        <w:t>find</w:t>
      </w:r>
      <w:r w:rsidRPr="005D7567">
        <w:t xml:space="preserve"> that it would serve the public interest to analyze the possible significant economic impact of the policy and rule changes in the 700 MHz band on small entities.  Accordingly, this FRFA contains an analysis of this impact in connection with t</w:t>
      </w:r>
      <w:r>
        <w:t>he technical rule changes</w:t>
      </w:r>
      <w:r w:rsidRPr="005D7567">
        <w:t xml:space="preserve"> that fall within the scope of this Report and Order.</w:t>
      </w:r>
    </w:p>
    <w:p w:rsidR="002969FA" w:rsidRPr="005D7567" w:rsidRDefault="002969FA" w:rsidP="005B76F1">
      <w:pPr>
        <w:pStyle w:val="Heading2"/>
      </w:pPr>
      <w:bookmarkStart w:id="1469" w:name="_Toc365289485"/>
      <w:bookmarkStart w:id="1470" w:name="_Toc365297802"/>
      <w:bookmarkStart w:id="1471" w:name="_Toc366080764"/>
      <w:bookmarkStart w:id="1472" w:name="_Toc367975876"/>
      <w:bookmarkStart w:id="1473" w:name="_Toc367978249"/>
      <w:bookmarkStart w:id="1474" w:name="_Toc368049361"/>
      <w:bookmarkStart w:id="1475" w:name="_Toc370401679"/>
      <w:r w:rsidRPr="005D7567">
        <w:t>Need for, and Objectives of, the Report and Order</w:t>
      </w:r>
      <w:bookmarkEnd w:id="1469"/>
      <w:bookmarkEnd w:id="1470"/>
      <w:bookmarkEnd w:id="1471"/>
      <w:bookmarkEnd w:id="1472"/>
      <w:bookmarkEnd w:id="1473"/>
      <w:bookmarkEnd w:id="1474"/>
      <w:bookmarkEnd w:id="1475"/>
    </w:p>
    <w:p w:rsidR="002C1545" w:rsidRPr="007C2219" w:rsidRDefault="002C1545" w:rsidP="00D03910">
      <w:pPr>
        <w:pStyle w:val="ParaNum"/>
        <w:keepNext/>
        <w:widowControl/>
        <w:snapToGrid w:val="0"/>
      </w:pPr>
      <w:r>
        <w:rPr>
          <w:lang w:val="en-US"/>
        </w:rPr>
        <w:t xml:space="preserve">The </w:t>
      </w:r>
      <w:r>
        <w:t>Report and Order</w:t>
      </w:r>
      <w:r>
        <w:rPr>
          <w:lang w:val="en-US"/>
        </w:rPr>
        <w:t xml:space="preserve"> and Order of Proposed Modification </w:t>
      </w:r>
      <w:r>
        <w:t>take</w:t>
      </w:r>
      <w:r>
        <w:rPr>
          <w:lang w:val="en-US"/>
        </w:rPr>
        <w:t>s</w:t>
      </w:r>
      <w:r>
        <w:t xml:space="preserve"> steps to implement an</w:t>
      </w:r>
      <w:r w:rsidRPr="00B87B01">
        <w:t xml:space="preserve"> industry solution</w:t>
      </w:r>
      <w:r w:rsidDel="00B87B01">
        <w:t xml:space="preserve"> </w:t>
      </w:r>
      <w:r>
        <w:t xml:space="preserve">to provide interoperable </w:t>
      </w:r>
      <w:r w:rsidR="00D02A2D">
        <w:rPr>
          <w:lang w:val="en-US"/>
        </w:rPr>
        <w:t>long term evolution (</w:t>
      </w:r>
      <w:r>
        <w:rPr>
          <w:lang w:val="en-US"/>
        </w:rPr>
        <w:t>LTE</w:t>
      </w:r>
      <w:r w:rsidR="00D02A2D">
        <w:rPr>
          <w:lang w:val="en-US"/>
        </w:rPr>
        <w:t>)</w:t>
      </w:r>
      <w:r>
        <w:rPr>
          <w:lang w:val="en-US"/>
        </w:rPr>
        <w:t xml:space="preserve"> </w:t>
      </w:r>
      <w:r>
        <w:t>service in the L</w:t>
      </w:r>
      <w:r w:rsidRPr="006E2B83">
        <w:t xml:space="preserve">ower 700 MHz band in </w:t>
      </w:r>
      <w:r>
        <w:t>an</w:t>
      </w:r>
      <w:r w:rsidRPr="006E2B83">
        <w:t xml:space="preserve"> efficient </w:t>
      </w:r>
      <w:r>
        <w:t xml:space="preserve">and effective </w:t>
      </w:r>
      <w:r w:rsidRPr="006E2B83">
        <w:t>manner</w:t>
      </w:r>
      <w:r>
        <w:t xml:space="preserve"> to </w:t>
      </w:r>
      <w:r>
        <w:rPr>
          <w:lang w:val="en-US"/>
        </w:rPr>
        <w:t>improve choice and quality for consumers of mobile services</w:t>
      </w:r>
      <w:r>
        <w:t xml:space="preserve">.  </w:t>
      </w:r>
      <w:r w:rsidRPr="005D7567">
        <w:t xml:space="preserve">The public interest benefits of the steps </w:t>
      </w:r>
      <w:r>
        <w:rPr>
          <w:lang w:val="en-US"/>
        </w:rPr>
        <w:t xml:space="preserve">taken in the Report and Order </w:t>
      </w:r>
      <w:r w:rsidR="00717519">
        <w:rPr>
          <w:lang w:val="en-US"/>
        </w:rPr>
        <w:t>will assist</w:t>
      </w:r>
      <w:r w:rsidRPr="005D7567">
        <w:t xml:space="preserve"> consumers and the economies in rural areas, as well as for small and regional businesses that operate </w:t>
      </w:r>
      <w:r w:rsidR="00717519">
        <w:t>there</w:t>
      </w:r>
      <w:r w:rsidRPr="005D7567">
        <w:t xml:space="preserve">.  </w:t>
      </w:r>
      <w:r w:rsidRPr="005D7567">
        <w:rPr>
          <w:szCs w:val="22"/>
        </w:rPr>
        <w:t>Small or regional providers serving rural areas drive economic growth in these rural areas, directly, by investing in their networks and creating jobs, and indirectly, by enabling the growth of other small businesses.</w:t>
      </w:r>
      <w:r w:rsidRPr="005D7567">
        <w:t xml:space="preserve">  But in order to </w:t>
      </w:r>
      <w:r>
        <w:t>promote competition – and enable</w:t>
      </w:r>
      <w:r w:rsidRPr="005D7567">
        <w:t xml:space="preserve"> small business customers </w:t>
      </w:r>
      <w:r>
        <w:t xml:space="preserve">of 700 MHz band licensees </w:t>
      </w:r>
      <w:r w:rsidRPr="005D7567">
        <w:t>to operate successfully in the 21</w:t>
      </w:r>
      <w:r w:rsidRPr="005D7567">
        <w:rPr>
          <w:vertAlign w:val="superscript"/>
        </w:rPr>
        <w:t>st</w:t>
      </w:r>
      <w:r w:rsidRPr="005D7567">
        <w:t xml:space="preserve"> century </w:t>
      </w:r>
      <w:r>
        <w:t>–</w:t>
      </w:r>
      <w:r w:rsidRPr="005D7567">
        <w:t xml:space="preserve"> t</w:t>
      </w:r>
      <w:r>
        <w:t xml:space="preserve">hese licensees </w:t>
      </w:r>
      <w:r w:rsidRPr="005D7567">
        <w:t xml:space="preserve">need to be able to offer service choices, including the potential for nationwide coverage through roaming, comparable to those offered by the national providers.  </w:t>
      </w:r>
      <w:r>
        <w:t>I</w:t>
      </w:r>
      <w:r w:rsidRPr="005D7567">
        <w:t>nteroperability</w:t>
      </w:r>
      <w:r>
        <w:t xml:space="preserve"> of LTE service in the Lower 700 MHz band will </w:t>
      </w:r>
      <w:r w:rsidRPr="005D7567">
        <w:t>remove an unnecessary barrier to the successful operation of businesses that can drive economic growth, promote competitive service, and create jobs in rural America</w:t>
      </w:r>
      <w:r>
        <w:rPr>
          <w:lang w:val="en-US"/>
        </w:rPr>
        <w:t>.</w:t>
      </w:r>
    </w:p>
    <w:p w:rsidR="002C1545" w:rsidRPr="007C2219" w:rsidRDefault="002C1545" w:rsidP="00D03910">
      <w:pPr>
        <w:pStyle w:val="ParaNum"/>
        <w:keepNext/>
        <w:widowControl/>
        <w:snapToGrid w:val="0"/>
      </w:pPr>
      <w:r>
        <w:t>To effectuate the industr</w:t>
      </w:r>
      <w:r>
        <w:rPr>
          <w:lang w:val="en-US"/>
        </w:rPr>
        <w:t xml:space="preserve">y </w:t>
      </w:r>
      <w:r>
        <w:t>solution</w:t>
      </w:r>
      <w:r>
        <w:rPr>
          <w:lang w:val="en-US"/>
        </w:rPr>
        <w:t xml:space="preserve">, </w:t>
      </w:r>
      <w:r>
        <w:t>the Report and Order</w:t>
      </w:r>
      <w:r w:rsidRPr="005D7567">
        <w:t xml:space="preserve"> address</w:t>
      </w:r>
      <w:r>
        <w:t>es</w:t>
      </w:r>
      <w:r w:rsidRPr="005D7567">
        <w:t xml:space="preserve"> interference concerns that have been raised as possible obstacles to interoperability</w:t>
      </w:r>
      <w:r>
        <w:rPr>
          <w:lang w:val="en-US"/>
        </w:rPr>
        <w:t xml:space="preserve">.  It </w:t>
      </w:r>
      <w:r w:rsidRPr="001B745E">
        <w:t>find</w:t>
      </w:r>
      <w:r w:rsidRPr="0053605C">
        <w:rPr>
          <w:lang w:val="en-US"/>
        </w:rPr>
        <w:t>s</w:t>
      </w:r>
      <w:r w:rsidRPr="001B745E">
        <w:t xml:space="preserve"> that</w:t>
      </w:r>
      <w:r>
        <w:t>, under the current rules,</w:t>
      </w:r>
      <w:r w:rsidRPr="001B745E">
        <w:t xml:space="preserve"> there is a significant threat of harmful interference from high power transmissions in the Lower 700 MHz D and E Blocks to Band Class 12 devices operating on the Lower 700 MHz B and C Blocks that could jeopardize the viability of interoperability i</w:t>
      </w:r>
      <w:r>
        <w:t xml:space="preserve">n the band.  </w:t>
      </w:r>
      <w:r w:rsidRPr="0053605C">
        <w:rPr>
          <w:lang w:val="en-US"/>
        </w:rPr>
        <w:t>The Report and Order therefore</w:t>
      </w:r>
      <w:r w:rsidRPr="001B745E">
        <w:t xml:space="preserve"> revise</w:t>
      </w:r>
      <w:r w:rsidRPr="0053605C">
        <w:rPr>
          <w:lang w:val="en-US"/>
        </w:rPr>
        <w:t>s</w:t>
      </w:r>
      <w:r w:rsidRPr="001B745E">
        <w:t xml:space="preserve"> the technical rules applicable to the Lower 700 MHz D and E Blocks by reducing the maximum pe</w:t>
      </w:r>
      <w:r>
        <w:t xml:space="preserve">rmissible power levels and antenna heights on these blocks. </w:t>
      </w:r>
      <w:r w:rsidRPr="001B745E">
        <w:t xml:space="preserve"> </w:t>
      </w:r>
      <w:r w:rsidRPr="0053605C">
        <w:rPr>
          <w:lang w:val="en-US"/>
        </w:rPr>
        <w:t>It also modifies the</w:t>
      </w:r>
      <w:r w:rsidRPr="00781C0C">
        <w:rPr>
          <w:lang w:val="en-US"/>
        </w:rPr>
        <w:t xml:space="preserve"> rules to </w:t>
      </w:r>
      <w:r w:rsidRPr="009A127C">
        <w:t xml:space="preserve">limit </w:t>
      </w:r>
      <w:r>
        <w:t xml:space="preserve">all </w:t>
      </w:r>
      <w:r w:rsidRPr="009A127C">
        <w:t>operations in the Lower 700 MHz D and E Blocks to downlink only.</w:t>
      </w:r>
      <w:r>
        <w:t xml:space="preserve">  </w:t>
      </w:r>
      <w:r w:rsidRPr="0053605C">
        <w:rPr>
          <w:lang w:val="en-US"/>
        </w:rPr>
        <w:t>The Report and Order</w:t>
      </w:r>
      <w:r>
        <w:t xml:space="preserve"> also provide</w:t>
      </w:r>
      <w:r w:rsidRPr="0053605C">
        <w:rPr>
          <w:lang w:val="en-US"/>
        </w:rPr>
        <w:t>s</w:t>
      </w:r>
      <w:r>
        <w:t xml:space="preserve"> that Lower 700 MHz D and E B</w:t>
      </w:r>
      <w:r w:rsidRPr="001B745E">
        <w:t xml:space="preserve">lock licensees </w:t>
      </w:r>
      <w:r>
        <w:t xml:space="preserve">may </w:t>
      </w:r>
      <w:r w:rsidRPr="001B745E">
        <w:t xml:space="preserve">operate </w:t>
      </w:r>
      <w:r>
        <w:t xml:space="preserve">particular sites </w:t>
      </w:r>
      <w:r w:rsidRPr="001B745E">
        <w:t xml:space="preserve">at </w:t>
      </w:r>
      <w:r>
        <w:t xml:space="preserve">power </w:t>
      </w:r>
      <w:r w:rsidRPr="001B745E">
        <w:t xml:space="preserve">levels </w:t>
      </w:r>
      <w:r>
        <w:t>higher than permitted under the revised rules under certain specified conditions.</w:t>
      </w:r>
      <w:r w:rsidRPr="0053605C">
        <w:rPr>
          <w:lang w:val="en-US"/>
        </w:rPr>
        <w:t xml:space="preserve">  The Report and Order</w:t>
      </w:r>
      <w:r>
        <w:t xml:space="preserve"> find</w:t>
      </w:r>
      <w:r w:rsidRPr="0053605C">
        <w:rPr>
          <w:lang w:val="en-US"/>
        </w:rPr>
        <w:t>s</w:t>
      </w:r>
      <w:r>
        <w:t xml:space="preserve"> </w:t>
      </w:r>
      <w:r w:rsidRPr="0053605C">
        <w:rPr>
          <w:lang w:val="en-US"/>
        </w:rPr>
        <w:t xml:space="preserve">these changes to be in the public interest because, </w:t>
      </w:r>
      <w:r>
        <w:t>w</w:t>
      </w:r>
      <w:r w:rsidRPr="001B745E">
        <w:t>ithout the</w:t>
      </w:r>
      <w:r w:rsidRPr="0053605C">
        <w:rPr>
          <w:lang w:val="en-US"/>
        </w:rPr>
        <w:t>m,</w:t>
      </w:r>
      <w:r w:rsidRPr="001B745E">
        <w:t xml:space="preserve"> </w:t>
      </w:r>
      <w:r>
        <w:t>the public</w:t>
      </w:r>
      <w:r w:rsidRPr="001B745E">
        <w:t xml:space="preserve"> would not be able to realize the substantial benefits of mobile broadband deployment and interoperability</w:t>
      </w:r>
      <w:r>
        <w:t xml:space="preserve"> in the Lower 700 MHz band.  The technical changes </w:t>
      </w:r>
      <w:r w:rsidRPr="0053605C">
        <w:rPr>
          <w:lang w:val="en-US"/>
        </w:rPr>
        <w:t>the Report and Order</w:t>
      </w:r>
      <w:r w:rsidRPr="001B745E">
        <w:t xml:space="preserve"> adopt</w:t>
      </w:r>
      <w:r w:rsidRPr="0053605C">
        <w:rPr>
          <w:lang w:val="en-US"/>
        </w:rPr>
        <w:t>s</w:t>
      </w:r>
      <w:r>
        <w:t xml:space="preserve"> </w:t>
      </w:r>
      <w:r w:rsidRPr="001B745E">
        <w:t>will continue to enable the six megahertz of unpaired Lower 700 MHz E Block spectrum to be put to commercial use while facilitating effective and efficient use of 36 megahertz of the Lower 700 MHz A, B, and C Blocks for mobile broadband services</w:t>
      </w:r>
      <w:r w:rsidRPr="0053605C">
        <w:rPr>
          <w:lang w:val="en-US"/>
        </w:rPr>
        <w:t>.</w:t>
      </w:r>
      <w:r>
        <w:rPr>
          <w:lang w:val="en-US"/>
        </w:rPr>
        <w:t xml:space="preserve">  </w:t>
      </w:r>
    </w:p>
    <w:p w:rsidR="002969FA" w:rsidRPr="005D7567" w:rsidRDefault="002969FA" w:rsidP="005B76F1">
      <w:pPr>
        <w:pStyle w:val="Heading2"/>
      </w:pPr>
      <w:bookmarkStart w:id="1476" w:name="_Toc367975877"/>
      <w:bookmarkStart w:id="1477" w:name="_Toc367978250"/>
      <w:bookmarkStart w:id="1478" w:name="_Toc368049362"/>
      <w:bookmarkStart w:id="1479" w:name="_Toc370401680"/>
      <w:r w:rsidRPr="005D7567">
        <w:t>Summary of Significant Issues Raised by Public Comments in Response to the IRFA</w:t>
      </w:r>
      <w:bookmarkEnd w:id="1476"/>
      <w:bookmarkEnd w:id="1477"/>
      <w:bookmarkEnd w:id="1478"/>
      <w:bookmarkEnd w:id="1479"/>
      <w:r w:rsidRPr="005D7567">
        <w:tab/>
      </w:r>
    </w:p>
    <w:p w:rsidR="002969FA" w:rsidRPr="005D7567" w:rsidRDefault="002969FA" w:rsidP="00D03910">
      <w:pPr>
        <w:pStyle w:val="ParaNum"/>
        <w:keepNext/>
        <w:widowControl/>
      </w:pPr>
      <w:r w:rsidRPr="005D7567">
        <w:t>There were no comments filed that specifically addressed the rules and policies proposed in the IRFA.</w:t>
      </w:r>
    </w:p>
    <w:p w:rsidR="002969FA" w:rsidRPr="005D7567" w:rsidRDefault="002969FA" w:rsidP="005B76F1">
      <w:pPr>
        <w:pStyle w:val="Heading2"/>
        <w:rPr>
          <w:spacing w:val="-2"/>
        </w:rPr>
      </w:pPr>
      <w:bookmarkStart w:id="1480" w:name="_Toc367975878"/>
      <w:bookmarkStart w:id="1481" w:name="_Toc367978251"/>
      <w:bookmarkStart w:id="1482" w:name="_Toc368049363"/>
      <w:bookmarkStart w:id="1483" w:name="_Toc370401681"/>
      <w:r w:rsidRPr="005D7567">
        <w:t>Description and Estimate of the Number of Small Entities to Which the Proposed Rules Would Apply</w:t>
      </w:r>
      <w:bookmarkEnd w:id="1480"/>
      <w:bookmarkEnd w:id="1481"/>
      <w:bookmarkEnd w:id="1482"/>
      <w:bookmarkEnd w:id="1483"/>
    </w:p>
    <w:p w:rsidR="002969FA" w:rsidRPr="005D7567" w:rsidRDefault="002969FA" w:rsidP="00D03910">
      <w:pPr>
        <w:pStyle w:val="ParaNum"/>
        <w:keepNext/>
        <w:widowControl/>
      </w:pPr>
      <w:r w:rsidRPr="005D7567">
        <w:t>The RFA directs agencies to provide a description of, and, where feasible, an estimate of, the number of small entities that may be affected by the rules adopted herein.</w:t>
      </w:r>
      <w:r w:rsidRPr="005D7567">
        <w:rPr>
          <w:vertAlign w:val="superscript"/>
        </w:rPr>
        <w:footnoteReference w:id="220"/>
      </w:r>
      <w:r w:rsidRPr="005D7567">
        <w:t xml:space="preserve">  The RFA generally defines the term “small entity” as having the same meaning as the terms “small business,” “small organization,” and “small governmental jurisdiction.”</w:t>
      </w:r>
      <w:r w:rsidRPr="005D7567">
        <w:rPr>
          <w:vertAlign w:val="superscript"/>
        </w:rPr>
        <w:footnoteReference w:id="221"/>
      </w:r>
      <w:r w:rsidRPr="005D7567">
        <w:t xml:space="preserve">  In addition, the term “small business” has the same meaning as the term “small business concern” under the Small Business Act.</w:t>
      </w:r>
      <w:r w:rsidRPr="005D7567">
        <w:rPr>
          <w:vertAlign w:val="superscript"/>
        </w:rPr>
        <w:footnoteReference w:id="222"/>
      </w:r>
      <w:r w:rsidRPr="005D7567">
        <w:t xml:space="preserve">  A “small business concern” is one which: (1) is independently owned and operated; (2) is not dominant in its field of operation; and (3) satisfies any additional criteria established by the Small Business Administration (SBA).</w:t>
      </w:r>
      <w:r w:rsidRPr="005D7567">
        <w:rPr>
          <w:vertAlign w:val="superscript"/>
        </w:rPr>
        <w:footnoteReference w:id="223"/>
      </w:r>
    </w:p>
    <w:p w:rsidR="00D02A2D" w:rsidRDefault="00D02A2D" w:rsidP="00D03910">
      <w:pPr>
        <w:pStyle w:val="ParaNum"/>
        <w:keepNext/>
        <w:widowControl/>
      </w:pPr>
      <w:r w:rsidRPr="00D02A2D">
        <w:rPr>
          <w:i/>
        </w:rPr>
        <w:t>Small Businesses, Small Organizations, and Small Governmental Jurisdictions</w:t>
      </w:r>
      <w:r>
        <w:rPr>
          <w:b/>
        </w:rPr>
        <w:t xml:space="preserve">.  </w:t>
      </w:r>
      <w: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szCs w:val="22"/>
          <w:vertAlign w:val="superscript"/>
        </w:rPr>
        <w:footnoteReference w:id="224"/>
      </w:r>
      <w:r>
        <w:t xml:space="preserve">  As of 2009, small businesses represented 99.9% of the 27.5 million </w:t>
      </w:r>
      <w:r>
        <w:rPr>
          <w:szCs w:val="22"/>
        </w:rPr>
        <w:t>businesses in the United States, according to the SBA.</w:t>
      </w:r>
      <w:r>
        <w:rPr>
          <w:szCs w:val="22"/>
          <w:vertAlign w:val="superscript"/>
        </w:rPr>
        <w:footnoteReference w:id="225"/>
      </w:r>
      <w:r>
        <w:rPr>
          <w:szCs w:val="22"/>
        </w:rPr>
        <w:t xml:space="preserve">  </w:t>
      </w:r>
      <w:r>
        <w:t>Additionally, a “small organization” is generally “any not-for-profit enterprise which is independently owne</w:t>
      </w:r>
      <w:r>
        <w:rPr>
          <w:iCs/>
        </w:rPr>
        <w:t>d and operated and is not dominant in its field.”</w:t>
      </w:r>
      <w:r>
        <w:rPr>
          <w:iCs/>
          <w:szCs w:val="22"/>
          <w:vertAlign w:val="superscript"/>
        </w:rPr>
        <w:footnoteReference w:id="226"/>
      </w:r>
      <w:r>
        <w:rPr>
          <w:iCs/>
        </w:rPr>
        <w:t xml:space="preserve">  Nationwide, as of 2007, there were approximately 1,621,315 small organizations.</w:t>
      </w:r>
      <w:r>
        <w:rPr>
          <w:iCs/>
          <w:szCs w:val="22"/>
          <w:vertAlign w:val="superscript"/>
        </w:rPr>
        <w:footnoteReference w:id="227"/>
      </w:r>
      <w:r>
        <w:rPr>
          <w:iCs/>
        </w:rPr>
        <w:t xml:space="preserve">  Finally, the term “small governmenta</w:t>
      </w:r>
      <w:r>
        <w:t>l</w:t>
      </w:r>
      <w:r>
        <w:rPr>
          <w:iCs/>
        </w:rPr>
        <w:t xml:space="preserve"> jurisdiction” is defined generally as “governments of cities, counties, towns, townships, villages, school districts, or special districts, with a population of less than fifty thousand.”</w:t>
      </w:r>
      <w:r>
        <w:rPr>
          <w:iCs/>
          <w:szCs w:val="22"/>
          <w:vertAlign w:val="superscript"/>
        </w:rPr>
        <w:footnoteReference w:id="228"/>
      </w:r>
      <w:r>
        <w:rPr>
          <w:iCs/>
        </w:rPr>
        <w:t xml:space="preserve">  Census Bureau data for 2007 indicate that there</w:t>
      </w:r>
      <w:r>
        <w:t xml:space="preserve"> were 89,527 governmental jurisdictions in the United States.</w:t>
      </w:r>
      <w:r>
        <w:rPr>
          <w:szCs w:val="22"/>
          <w:vertAlign w:val="superscript"/>
        </w:rPr>
        <w:footnoteReference w:id="229"/>
      </w:r>
      <w:r>
        <w:t xml:space="preserve">  We estimate that, of this total, as many as 88,761 entities may qualify as “small governmental jurisdictions.”</w:t>
      </w:r>
      <w:r>
        <w:rPr>
          <w:szCs w:val="22"/>
          <w:vertAlign w:val="superscript"/>
        </w:rPr>
        <w:footnoteReference w:id="230"/>
      </w:r>
      <w:r>
        <w:t xml:space="preserve">  Thus, we estimate that most governmental jurisdictions are small.</w:t>
      </w:r>
    </w:p>
    <w:p w:rsidR="00712239" w:rsidRDefault="002969FA" w:rsidP="00D03910">
      <w:pPr>
        <w:pStyle w:val="ParaNum"/>
        <w:keepNext/>
        <w:widowControl/>
      </w:pPr>
      <w:r w:rsidRPr="005D7567">
        <w:rPr>
          <w:i/>
        </w:rPr>
        <w:t>Wireless Telecommunications Carrier (Except Satellite)</w:t>
      </w:r>
      <w:r w:rsidRPr="005D7567">
        <w:t xml:space="preserve"> </w:t>
      </w:r>
      <w:r w:rsidR="00712239">
        <w:t>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00712239">
        <w:rPr>
          <w:rStyle w:val="FootnoteReference"/>
        </w:rPr>
        <w:footnoteReference w:id="231"/>
      </w:r>
      <w:r w:rsidR="00712239">
        <w:t xml:space="preserve">  The appropriate size standard under SBA rules is for the category Wireless Telecommunications Carriers.  The size standard for that category is that a business is small if it has 1,500 or fewer employees.</w:t>
      </w:r>
      <w:r w:rsidR="00712239">
        <w:rPr>
          <w:rStyle w:val="FootnoteReference"/>
        </w:rPr>
        <w:footnoteReference w:id="232"/>
      </w:r>
      <w:r w:rsidR="00712239">
        <w:t xml:space="preserve">  Under the present and prior categories, the SBA has deemed a wireless business to be small if it has 1,500 or fewer employees.</w:t>
      </w:r>
      <w:r w:rsidR="00712239">
        <w:rPr>
          <w:rStyle w:val="FootnoteReference"/>
          <w:szCs w:val="22"/>
        </w:rPr>
        <w:footnoteReference w:id="233"/>
      </w:r>
      <w:r w:rsidR="00712239">
        <w:t xml:space="preserve">  For this category, census data for 2007 show that there were 11,163 firms that operated for the entire year.</w:t>
      </w:r>
      <w:r w:rsidR="00712239">
        <w:rPr>
          <w:rStyle w:val="FootnoteReference"/>
          <w:szCs w:val="22"/>
        </w:rPr>
        <w:footnoteReference w:id="234"/>
      </w:r>
      <w:r w:rsidR="00712239">
        <w:t xml:space="preserve">  Of this total, 10,791 firms had employment of 999 or fewer employees and 372 had employment of 1000 employees or more.</w:t>
      </w:r>
      <w:r w:rsidR="00712239">
        <w:rPr>
          <w:rStyle w:val="FootnoteReference"/>
          <w:szCs w:val="22"/>
        </w:rPr>
        <w:footnoteReference w:id="235"/>
      </w:r>
      <w:r w:rsidR="00712239">
        <w:t xml:space="preserve">  Thus under this category and the associated small business size standard, the Commission estimates that the majority of wireless telecommunications carriers (except satellite) are small entities.</w:t>
      </w:r>
      <w:r w:rsidR="00712239">
        <w:rPr>
          <w:rStyle w:val="FootnoteReference"/>
        </w:rPr>
        <w:footnoteReference w:id="236"/>
      </w:r>
      <w:r w:rsidR="00E51FB1">
        <w:rPr>
          <w:lang w:val="en-US"/>
        </w:rPr>
        <w:t xml:space="preserve">  </w:t>
      </w:r>
      <w:r w:rsidR="00E51FB1" w:rsidRPr="00E51FB1">
        <w:rPr>
          <w:lang w:val="en-US"/>
        </w:rPr>
        <w:t>Similarly, according to Commission data, 413 carriers reported that they were engaged in the provision of wireless telephony</w:t>
      </w:r>
      <w:r w:rsidR="0036308D">
        <w:rPr>
          <w:lang w:val="en-US"/>
        </w:rPr>
        <w:t>,</w:t>
      </w:r>
      <w:r w:rsidR="0036308D" w:rsidRPr="0036308D">
        <w:rPr>
          <w:lang w:val="en-US" w:eastAsia="en-US"/>
        </w:rPr>
        <w:t xml:space="preserve"> </w:t>
      </w:r>
      <w:r w:rsidR="0036308D" w:rsidRPr="0036308D">
        <w:rPr>
          <w:lang w:val="en-US"/>
        </w:rPr>
        <w:t xml:space="preserve">including cellular service, </w:t>
      </w:r>
      <w:r w:rsidR="0036308D">
        <w:rPr>
          <w:lang w:val="en-US"/>
        </w:rPr>
        <w:t>Personal Communications Services</w:t>
      </w:r>
      <w:r w:rsidR="0036308D" w:rsidRPr="0036308D">
        <w:rPr>
          <w:lang w:val="en-US"/>
        </w:rPr>
        <w:t xml:space="preserve"> (“PCS”), and Specialized Mobile Radio (“SMR”) Telephony services</w:t>
      </w:r>
      <w:r w:rsidR="00E51FB1" w:rsidRPr="00E51FB1">
        <w:rPr>
          <w:lang w:val="en-US"/>
        </w:rPr>
        <w:t>.</w:t>
      </w:r>
      <w:r w:rsidR="00E51FB1" w:rsidRPr="00E51FB1">
        <w:rPr>
          <w:vertAlign w:val="superscript"/>
          <w:lang w:val="en-US"/>
        </w:rPr>
        <w:footnoteReference w:id="237"/>
      </w:r>
      <w:r w:rsidR="00E51FB1" w:rsidRPr="00E51FB1">
        <w:rPr>
          <w:lang w:val="en-US"/>
        </w:rPr>
        <w:t xml:space="preserve">  Of these, an estimated 261 have 1,500 or fewer employees and 152 have more than 1,500 employees.</w:t>
      </w:r>
      <w:r w:rsidR="00E51FB1" w:rsidRPr="00E51FB1">
        <w:rPr>
          <w:vertAlign w:val="superscript"/>
          <w:lang w:val="en-US"/>
        </w:rPr>
        <w:footnoteReference w:id="238"/>
      </w:r>
      <w:r w:rsidR="00E51FB1" w:rsidRPr="00E51FB1">
        <w:rPr>
          <w:lang w:val="en-US"/>
        </w:rPr>
        <w:t xml:space="preserve">  Consequently, the Commission estimates that approximately half or more of these firms can be considered small.  Thus, using available data, we estimate that the majority of wireless firms can be considered small</w:t>
      </w:r>
      <w:r w:rsidR="00E51FB1">
        <w:rPr>
          <w:lang w:val="en-US"/>
        </w:rPr>
        <w:t>.</w:t>
      </w:r>
    </w:p>
    <w:p w:rsidR="002969FA" w:rsidRPr="005D7567" w:rsidRDefault="002969FA" w:rsidP="00D03910">
      <w:pPr>
        <w:pStyle w:val="ParaNum"/>
        <w:keepNext/>
        <w:widowControl/>
      </w:pPr>
      <w:r w:rsidRPr="005D7567">
        <w:rPr>
          <w:i/>
        </w:rPr>
        <w:t>Lower 700 MHz Band Licenses</w:t>
      </w:r>
      <w:r w:rsidRPr="005D7567">
        <w:t>.  The Commission previously adopted criteria for defining three groups of small businesses for purposes of determining their eligibility for special provisions such as bidding credits.</w:t>
      </w:r>
      <w:r w:rsidRPr="005D7567">
        <w:rPr>
          <w:vertAlign w:val="superscript"/>
        </w:rPr>
        <w:footnoteReference w:id="239"/>
      </w:r>
      <w:r w:rsidRPr="005D7567">
        <w:t xml:space="preserve">  The Commission defined a “small business” as an entity that, together with its affiliates and controlling principals, has average gross revenues not exceeding $40 million for the preceding three years.</w:t>
      </w:r>
      <w:r w:rsidRPr="005D7567">
        <w:rPr>
          <w:vertAlign w:val="superscript"/>
        </w:rPr>
        <w:footnoteReference w:id="240"/>
      </w:r>
      <w:r w:rsidRPr="005D7567">
        <w:t xml:space="preserve">  A “very small business” is defined as an entity that, together with its affiliates and controlling principals, has average gross revenues that are not more than $15 million for the preceding three years.</w:t>
      </w:r>
      <w:r w:rsidRPr="005D7567">
        <w:rPr>
          <w:vertAlign w:val="superscript"/>
        </w:rPr>
        <w:footnoteReference w:id="241"/>
      </w:r>
      <w:r w:rsidR="005A5769">
        <w:t xml:space="preserve">  Additionally, the </w:t>
      </w:r>
      <w:r w:rsidR="005A5769">
        <w:rPr>
          <w:lang w:val="en-US"/>
        </w:rPr>
        <w:t>L</w:t>
      </w:r>
      <w:r w:rsidRPr="005D7567">
        <w:t>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5D7567">
        <w:rPr>
          <w:vertAlign w:val="superscript"/>
        </w:rPr>
        <w:footnoteReference w:id="242"/>
      </w:r>
      <w:r w:rsidRPr="005D7567">
        <w:t xml:space="preserve">  The SBA approved these small size standards.</w:t>
      </w:r>
      <w:r w:rsidRPr="005D7567">
        <w:rPr>
          <w:vertAlign w:val="superscript"/>
        </w:rPr>
        <w:footnoteReference w:id="243"/>
      </w:r>
      <w:r w:rsidRPr="005D7567">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sidRPr="005D7567">
        <w:rPr>
          <w:vertAlign w:val="superscript"/>
        </w:rPr>
        <w:footnoteReference w:id="244"/>
      </w:r>
      <w:r w:rsidRPr="005D7567">
        <w:t xml:space="preserve">  A second auction commenced on May 28, 2003, closed on June 13, 2003, and included 256 licenses.</w:t>
      </w:r>
      <w:r w:rsidRPr="005D7567">
        <w:rPr>
          <w:vertAlign w:val="superscript"/>
        </w:rPr>
        <w:footnoteReference w:id="245"/>
      </w:r>
      <w:r w:rsidRPr="005D7567">
        <w:t xml:space="preserve">  Seventeen winning bidders claimed small or very small business status, and nine winning bidders claimed entrepreneur status.</w:t>
      </w:r>
      <w:r w:rsidRPr="005D7567">
        <w:rPr>
          <w:vertAlign w:val="superscript"/>
        </w:rPr>
        <w:footnoteReference w:id="246"/>
      </w:r>
      <w:r w:rsidRPr="005D7567">
        <w:t xml:space="preserve">  In 2005, the Commission completed an auction of 5 licenses in the Lower 700 MHz band.  All three winning bidders claimed small business status.</w:t>
      </w:r>
    </w:p>
    <w:p w:rsidR="002969FA" w:rsidRPr="005D7567" w:rsidRDefault="002969FA" w:rsidP="00D03910">
      <w:pPr>
        <w:pStyle w:val="ParaNum"/>
        <w:keepNext/>
        <w:widowControl/>
      </w:pPr>
      <w:r w:rsidRPr="005D7567">
        <w:t xml:space="preserve">In </w:t>
      </w:r>
      <w:r w:rsidRPr="005D7567">
        <w:rPr>
          <w:i/>
        </w:rPr>
        <w:t>2007</w:t>
      </w:r>
      <w:r w:rsidRPr="005D7567">
        <w:t xml:space="preserve">, the Commission reexamined its rules governing the 700 MHz band in the </w:t>
      </w:r>
      <w:r w:rsidRPr="005D7567">
        <w:rPr>
          <w:i/>
        </w:rPr>
        <w:t>700 MHz Second Report and Order</w:t>
      </w:r>
      <w:r w:rsidRPr="005D7567">
        <w:t>.</w:t>
      </w:r>
      <w:r w:rsidRPr="005D7567">
        <w:rPr>
          <w:rStyle w:val="FootnoteReference"/>
          <w:szCs w:val="22"/>
        </w:rPr>
        <w:footnoteReference w:id="247"/>
      </w:r>
      <w:r w:rsidRPr="005D7567">
        <w:t xml:space="preserve">  An auction of A, B and E block 700 MHz licenses was held in 2008.</w:t>
      </w:r>
      <w:r w:rsidRPr="005D7567">
        <w:rPr>
          <w:rStyle w:val="FootnoteReference"/>
          <w:szCs w:val="22"/>
        </w:rPr>
        <w:footnoteReference w:id="248"/>
      </w:r>
      <w:r w:rsidRPr="005D7567">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p>
    <w:p w:rsidR="002969FA" w:rsidRPr="005D7567" w:rsidRDefault="002969FA" w:rsidP="00D03910">
      <w:pPr>
        <w:pStyle w:val="ParaNum"/>
        <w:keepNext/>
        <w:widowControl/>
      </w:pPr>
      <w:r w:rsidRPr="005D7567">
        <w:rPr>
          <w:rStyle w:val="StyleParaNumCharCharBold1Char"/>
          <w:b w:val="0"/>
          <w:i/>
        </w:rPr>
        <w:t>Radio</w:t>
      </w:r>
      <w:r w:rsidRPr="005D7567">
        <w:rPr>
          <w:b/>
          <w:bCs/>
          <w:i/>
          <w:iCs/>
        </w:rPr>
        <w:t xml:space="preserve"> </w:t>
      </w:r>
      <w:r w:rsidRPr="005D7567">
        <w:rPr>
          <w:bCs/>
          <w:i/>
          <w:iCs/>
        </w:rPr>
        <w:t>and</w:t>
      </w:r>
      <w:r w:rsidRPr="005D7567">
        <w:rPr>
          <w:b/>
          <w:bCs/>
          <w:i/>
          <w:iCs/>
        </w:rPr>
        <w:t xml:space="preserve"> </w:t>
      </w:r>
      <w:r w:rsidRPr="005D7567">
        <w:rPr>
          <w:rStyle w:val="StyleParaNumCharCharBold1Char"/>
          <w:b w:val="0"/>
          <w:i/>
        </w:rPr>
        <w:t>Television</w:t>
      </w:r>
      <w:r w:rsidRPr="005D7567">
        <w:rPr>
          <w:b/>
          <w:bCs/>
          <w:i/>
          <w:iCs/>
        </w:rPr>
        <w:t xml:space="preserve"> </w:t>
      </w:r>
      <w:r w:rsidRPr="005D7567">
        <w:rPr>
          <w:rStyle w:val="StyleParaNumCharCharBold1Char"/>
          <w:b w:val="0"/>
          <w:i/>
        </w:rPr>
        <w:t>Broadcasting</w:t>
      </w:r>
      <w:r w:rsidRPr="005D7567">
        <w:rPr>
          <w:b/>
          <w:bCs/>
          <w:i/>
          <w:iCs/>
        </w:rPr>
        <w:t xml:space="preserve"> </w:t>
      </w:r>
      <w:r w:rsidRPr="005D7567">
        <w:rPr>
          <w:rStyle w:val="StyleParaNumCharCharBold1Char"/>
          <w:b w:val="0"/>
          <w:i/>
        </w:rPr>
        <w:t>and</w:t>
      </w:r>
      <w:r w:rsidRPr="005D7567">
        <w:rPr>
          <w:b/>
          <w:bCs/>
          <w:i/>
          <w:iCs/>
        </w:rPr>
        <w:t xml:space="preserve"> </w:t>
      </w:r>
      <w:r w:rsidRPr="005D7567">
        <w:rPr>
          <w:rStyle w:val="StyleParaNumCharCharBold1Char"/>
          <w:b w:val="0"/>
          <w:i/>
        </w:rPr>
        <w:t>Wireless</w:t>
      </w:r>
      <w:r w:rsidRPr="005D7567">
        <w:rPr>
          <w:b/>
          <w:bCs/>
          <w:i/>
          <w:iCs/>
        </w:rPr>
        <w:t xml:space="preserve"> </w:t>
      </w:r>
      <w:r w:rsidRPr="005D7567">
        <w:rPr>
          <w:rStyle w:val="StyleParaNumCharCharBold1Char"/>
          <w:b w:val="0"/>
          <w:i/>
        </w:rPr>
        <w:t>Communications</w:t>
      </w:r>
      <w:r w:rsidRPr="005D7567">
        <w:rPr>
          <w:b/>
          <w:bCs/>
          <w:i/>
          <w:iCs/>
        </w:rPr>
        <w:t xml:space="preserve"> </w:t>
      </w:r>
      <w:r w:rsidRPr="005D7567">
        <w:rPr>
          <w:rStyle w:val="StyleParaNumCharCharBold1Char"/>
          <w:b w:val="0"/>
          <w:i/>
        </w:rPr>
        <w:t>Equipment</w:t>
      </w:r>
      <w:r w:rsidRPr="005D7567">
        <w:rPr>
          <w:b/>
          <w:bCs/>
          <w:i/>
          <w:iCs/>
        </w:rPr>
        <w:t xml:space="preserve"> </w:t>
      </w:r>
      <w:r w:rsidRPr="005D7567">
        <w:rPr>
          <w:rStyle w:val="StyleParaNumCharCharBold1Char"/>
          <w:b w:val="0"/>
          <w:i/>
        </w:rPr>
        <w:t>Manufacturing</w:t>
      </w:r>
      <w:r w:rsidRPr="005D7567">
        <w:rPr>
          <w:b/>
          <w:bCs/>
        </w:rPr>
        <w:t>.</w:t>
      </w:r>
      <w:r w:rsidRPr="005D7567">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w:t>
      </w:r>
      <w:r w:rsidRPr="005D7567">
        <w:rPr>
          <w:rStyle w:val="StyleParaNumCharCharBold1Char"/>
          <w:b w:val="0"/>
        </w:rPr>
        <w:t>Radio</w:t>
      </w:r>
      <w:r w:rsidRPr="005D7567">
        <w:rPr>
          <w:b/>
        </w:rPr>
        <w:t xml:space="preserve"> </w:t>
      </w:r>
      <w:r w:rsidRPr="005D7567">
        <w:t>and</w:t>
      </w:r>
      <w:r w:rsidRPr="005D7567">
        <w:rPr>
          <w:b/>
        </w:rPr>
        <w:t xml:space="preserve"> </w:t>
      </w:r>
      <w:r w:rsidRPr="005D7567">
        <w:rPr>
          <w:rStyle w:val="StyleParaNumCharCharBold1Char"/>
          <w:b w:val="0"/>
        </w:rPr>
        <w:t>Television</w:t>
      </w:r>
      <w:r w:rsidRPr="005D7567">
        <w:rPr>
          <w:b/>
        </w:rPr>
        <w:t xml:space="preserve"> </w:t>
      </w:r>
      <w:r w:rsidRPr="005D7567">
        <w:rPr>
          <w:rStyle w:val="StyleParaNumCharCharBold1Char"/>
          <w:b w:val="0"/>
        </w:rPr>
        <w:t>Broadcasting</w:t>
      </w:r>
      <w:r w:rsidRPr="005D7567">
        <w:rPr>
          <w:b/>
        </w:rPr>
        <w:t xml:space="preserve"> </w:t>
      </w:r>
      <w:r w:rsidRPr="005D7567">
        <w:t>and</w:t>
      </w:r>
      <w:r w:rsidRPr="005D7567">
        <w:rPr>
          <w:b/>
        </w:rPr>
        <w:t xml:space="preserve"> </w:t>
      </w:r>
      <w:r w:rsidRPr="005D7567">
        <w:rPr>
          <w:rStyle w:val="StyleParaNumCharCharBold1Char"/>
          <w:b w:val="0"/>
        </w:rPr>
        <w:t>Wireless</w:t>
      </w:r>
      <w:r w:rsidRPr="005D7567">
        <w:rPr>
          <w:b/>
        </w:rPr>
        <w:t xml:space="preserve"> </w:t>
      </w:r>
      <w:r w:rsidRPr="005D7567">
        <w:rPr>
          <w:rStyle w:val="StyleParaNumCharCharBold1Char"/>
          <w:b w:val="0"/>
        </w:rPr>
        <w:t>Communications</w:t>
      </w:r>
      <w:r w:rsidRPr="005D7567">
        <w:rPr>
          <w:b/>
        </w:rPr>
        <w:t xml:space="preserve"> </w:t>
      </w:r>
      <w:r w:rsidRPr="005D7567">
        <w:rPr>
          <w:rStyle w:val="StyleParaNumCharCharBold1Char"/>
          <w:b w:val="0"/>
        </w:rPr>
        <w:t>Equipment</w:t>
      </w:r>
      <w:r w:rsidRPr="005D7567">
        <w:rPr>
          <w:b/>
        </w:rPr>
        <w:t xml:space="preserve"> </w:t>
      </w:r>
      <w:r w:rsidRPr="005D7567">
        <w:rPr>
          <w:rStyle w:val="StyleParaNumCharCharBold1Char"/>
          <w:b w:val="0"/>
        </w:rPr>
        <w:t>Manufacturing</w:t>
      </w:r>
      <w:r w:rsidRPr="005D7567">
        <w:t>, which is: all such firms having 750 or fewer employees.</w:t>
      </w:r>
      <w:r w:rsidRPr="005D7567">
        <w:rPr>
          <w:vertAlign w:val="superscript"/>
        </w:rPr>
        <w:t xml:space="preserve"> </w:t>
      </w:r>
      <w:r w:rsidRPr="005D7567">
        <w:rPr>
          <w:vertAlign w:val="superscript"/>
        </w:rPr>
        <w:footnoteReference w:id="249"/>
      </w:r>
      <w:r w:rsidRPr="005D7567">
        <w:rPr>
          <w:vertAlign w:val="superscript"/>
        </w:rPr>
        <w:t xml:space="preserve"> </w:t>
      </w:r>
      <w:r w:rsidRPr="005D7567">
        <w:t xml:space="preserve"> According to Census Bureau data for 2007, there were a total of 939 establishments in this category that operated for part or all of the entire year. Of this total, </w:t>
      </w:r>
      <w:r w:rsidR="00593492">
        <w:rPr>
          <w:lang w:val="en-US"/>
        </w:rPr>
        <w:t>912</w:t>
      </w:r>
      <w:r w:rsidRPr="005D7567">
        <w:t xml:space="preserve"> had fewer than 500 employees and </w:t>
      </w:r>
      <w:r w:rsidR="00593492">
        <w:rPr>
          <w:lang w:val="en-US"/>
        </w:rPr>
        <w:t>27</w:t>
      </w:r>
      <w:r w:rsidR="00593492">
        <w:t xml:space="preserve"> had more than </w:t>
      </w:r>
      <w:r w:rsidR="00593492">
        <w:rPr>
          <w:lang w:val="en-US"/>
        </w:rPr>
        <w:t>5</w:t>
      </w:r>
      <w:r w:rsidRPr="005D7567">
        <w:t>00 employees.</w:t>
      </w:r>
      <w:r w:rsidRPr="005D7567">
        <w:rPr>
          <w:rStyle w:val="FootnoteReference"/>
          <w:szCs w:val="22"/>
        </w:rPr>
        <w:footnoteReference w:id="250"/>
      </w:r>
      <w:r w:rsidRPr="005D7567">
        <w:t xml:space="preserve"> Thus, under this size standard, the majority of firms can be considered small.</w:t>
      </w:r>
    </w:p>
    <w:p w:rsidR="002969FA" w:rsidRPr="005D7567" w:rsidRDefault="002969FA" w:rsidP="005B76F1">
      <w:pPr>
        <w:pStyle w:val="Heading2"/>
        <w:rPr>
          <w:spacing w:val="-2"/>
        </w:rPr>
      </w:pPr>
      <w:bookmarkStart w:id="1484" w:name="_Toc367975879"/>
      <w:bookmarkStart w:id="1485" w:name="_Toc367978252"/>
      <w:bookmarkStart w:id="1486" w:name="_Toc368049364"/>
      <w:bookmarkStart w:id="1487" w:name="_Toc370401682"/>
      <w:r w:rsidRPr="005D7567">
        <w:t>Description of Projected Reporting, Recordkeeping, and Other Compliance Requirements for Small Entities</w:t>
      </w:r>
      <w:bookmarkEnd w:id="1484"/>
      <w:bookmarkEnd w:id="1485"/>
      <w:bookmarkEnd w:id="1486"/>
      <w:bookmarkEnd w:id="1487"/>
      <w:r w:rsidRPr="005D7567">
        <w:t xml:space="preserve"> </w:t>
      </w:r>
    </w:p>
    <w:p w:rsidR="002969FA" w:rsidRPr="003D6859" w:rsidRDefault="002969FA" w:rsidP="00D03910">
      <w:pPr>
        <w:pStyle w:val="ParaNum"/>
        <w:keepNext/>
        <w:widowControl/>
        <w:rPr>
          <w:i/>
        </w:rPr>
      </w:pPr>
      <w:r w:rsidRPr="003D6859">
        <w:rPr>
          <w:szCs w:val="22"/>
        </w:rPr>
        <w:t>The Report and Order will not impose any new reporting or recordkeeping requirements on small entities.  As described in Section A of this FRFA,</w:t>
      </w:r>
      <w:r w:rsidRPr="003D6859">
        <w:rPr>
          <w:kern w:val="0"/>
          <w:sz w:val="24"/>
        </w:rPr>
        <w:t xml:space="preserve"> </w:t>
      </w:r>
      <w:r w:rsidRPr="003D6859">
        <w:rPr>
          <w:kern w:val="0"/>
          <w:szCs w:val="22"/>
        </w:rPr>
        <w:t>to minimize interference</w:t>
      </w:r>
      <w:r>
        <w:rPr>
          <w:kern w:val="0"/>
          <w:szCs w:val="22"/>
        </w:rPr>
        <w:t xml:space="preserve"> and enable interoperability</w:t>
      </w:r>
      <w:r w:rsidRPr="003D6859">
        <w:rPr>
          <w:kern w:val="0"/>
          <w:szCs w:val="22"/>
        </w:rPr>
        <w:t xml:space="preserve">, </w:t>
      </w:r>
      <w:r w:rsidR="002C1545" w:rsidRPr="003D6859">
        <w:rPr>
          <w:kern w:val="0"/>
          <w:szCs w:val="22"/>
        </w:rPr>
        <w:t>the Report and Order</w:t>
      </w:r>
      <w:r w:rsidR="002C1545" w:rsidRPr="001B745E">
        <w:t xml:space="preserve"> revise</w:t>
      </w:r>
      <w:r w:rsidR="002C1545">
        <w:rPr>
          <w:lang w:val="en-US"/>
        </w:rPr>
        <w:t>s</w:t>
      </w:r>
      <w:r w:rsidR="002C1545" w:rsidRPr="001B745E">
        <w:t xml:space="preserve"> the technical rules applicable to the Lower 700 MHz D and E Blocks by reducing the maximum pe</w:t>
      </w:r>
      <w:r w:rsidR="002C1545">
        <w:t xml:space="preserve">rmissible power levels and antenna heights on these blocks. </w:t>
      </w:r>
      <w:r w:rsidR="002C1545" w:rsidRPr="001B745E">
        <w:t xml:space="preserve"> </w:t>
      </w:r>
      <w:r w:rsidR="002C1545">
        <w:rPr>
          <w:lang w:val="en-US"/>
        </w:rPr>
        <w:t xml:space="preserve">It also modifies the rules to </w:t>
      </w:r>
      <w:r w:rsidR="002C1545" w:rsidRPr="009A127C">
        <w:t xml:space="preserve">limit </w:t>
      </w:r>
      <w:r w:rsidR="002C1545">
        <w:t xml:space="preserve">all </w:t>
      </w:r>
      <w:r w:rsidR="002C1545" w:rsidRPr="009A127C">
        <w:t>operations in the Lower 700 MHz D and E Blocks to downlink only.</w:t>
      </w:r>
      <w:r w:rsidR="002C1545">
        <w:t xml:space="preserve">  </w:t>
      </w:r>
      <w:r w:rsidR="002C1545">
        <w:rPr>
          <w:lang w:val="en-US"/>
        </w:rPr>
        <w:t>The Report and Order</w:t>
      </w:r>
      <w:r w:rsidR="002C1545">
        <w:t xml:space="preserve"> also provide</w:t>
      </w:r>
      <w:r w:rsidR="002C1545">
        <w:rPr>
          <w:lang w:val="en-US"/>
        </w:rPr>
        <w:t>s</w:t>
      </w:r>
      <w:r w:rsidR="002C1545">
        <w:t xml:space="preserve"> that Lower 700 MHz D and E B</w:t>
      </w:r>
      <w:r w:rsidR="002C1545" w:rsidRPr="001B745E">
        <w:t xml:space="preserve">lock licensees </w:t>
      </w:r>
      <w:r w:rsidR="002C1545">
        <w:t xml:space="preserve">may </w:t>
      </w:r>
      <w:r w:rsidR="002C1545" w:rsidRPr="001B745E">
        <w:t xml:space="preserve">operate </w:t>
      </w:r>
      <w:r w:rsidR="002C1545">
        <w:t xml:space="preserve">particular sites </w:t>
      </w:r>
      <w:r w:rsidR="002C1545" w:rsidRPr="001B745E">
        <w:t xml:space="preserve">at </w:t>
      </w:r>
      <w:r w:rsidR="002C1545">
        <w:t xml:space="preserve">power </w:t>
      </w:r>
      <w:r w:rsidR="002C1545" w:rsidRPr="001B745E">
        <w:t xml:space="preserve">levels </w:t>
      </w:r>
      <w:r w:rsidR="002C1545">
        <w:t>higher than permitted under the revised rules under certain specified conditions.</w:t>
      </w:r>
      <w:r w:rsidR="002C1545">
        <w:rPr>
          <w:lang w:val="en-US"/>
        </w:rPr>
        <w:t xml:space="preserve"> </w:t>
      </w:r>
    </w:p>
    <w:p w:rsidR="002969FA" w:rsidRPr="003D6859" w:rsidRDefault="002969FA" w:rsidP="005B76F1">
      <w:pPr>
        <w:pStyle w:val="Heading2"/>
        <w:rPr>
          <w:spacing w:val="-2"/>
        </w:rPr>
      </w:pPr>
      <w:bookmarkStart w:id="1488" w:name="_Toc367975880"/>
      <w:bookmarkStart w:id="1489" w:name="_Toc367978253"/>
      <w:bookmarkStart w:id="1490" w:name="_Toc368049365"/>
      <w:bookmarkStart w:id="1491" w:name="_Toc370401683"/>
      <w:r w:rsidRPr="003D6859">
        <w:t>Steps Taken to Minimize Significant Economic Impact on Small Entities, and Significant Alternatives Considered</w:t>
      </w:r>
      <w:bookmarkEnd w:id="1488"/>
      <w:bookmarkEnd w:id="1489"/>
      <w:bookmarkEnd w:id="1490"/>
      <w:bookmarkEnd w:id="1491"/>
      <w:r w:rsidRPr="003D6859">
        <w:t xml:space="preserve"> </w:t>
      </w:r>
    </w:p>
    <w:p w:rsidR="002969FA" w:rsidRPr="005D7567" w:rsidRDefault="002969FA" w:rsidP="00D03910">
      <w:pPr>
        <w:pStyle w:val="ParaNum"/>
        <w:keepNext/>
        <w:widowControl/>
      </w:pPr>
      <w:r w:rsidRPr="005D7567">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5D7567">
        <w:rPr>
          <w:vertAlign w:val="superscript"/>
        </w:rPr>
        <w:footnoteReference w:id="251"/>
      </w:r>
    </w:p>
    <w:p w:rsidR="002C1545" w:rsidRPr="005F3009" w:rsidRDefault="002C1545" w:rsidP="00D03910">
      <w:pPr>
        <w:pStyle w:val="ParaNum"/>
        <w:keepNext/>
        <w:widowControl/>
        <w:rPr>
          <w:szCs w:val="22"/>
        </w:rPr>
      </w:pPr>
      <w:r>
        <w:t>The changes to the rules will benefit small or regional wireless providers serving rural areas by facilitat</w:t>
      </w:r>
      <w:r>
        <w:rPr>
          <w:lang w:val="en-US"/>
        </w:rPr>
        <w:t>ing</w:t>
      </w:r>
      <w:r w:rsidRPr="001B745E">
        <w:t xml:space="preserve"> Lower 700 MHz A Block operations because LTE service provided on the A Block would otherwise likely be subject to harmful interference from high-power operations in the Lower 700 MHz E Block. </w:t>
      </w:r>
      <w:r>
        <w:rPr>
          <w:lang w:val="en-US"/>
        </w:rPr>
        <w:t xml:space="preserve"> </w:t>
      </w:r>
      <w:r w:rsidRPr="001B745E">
        <w:t xml:space="preserve">In particular, mobile devices operating near a Lower E Block transmitter but far from their serving LTE base stations face a substantial risk of receiving harmful interference from E Block transmitters.  The potential for this interference would exist because of vastly different radio propagation characteristics between the high-powered Lower 700 MHz E Block and lower powered A Block LTE systems, and such interference would result in significant degradation of service to A Block operations in areas close to high-powered E Block transmitters.  Accordingly, the </w:t>
      </w:r>
      <w:r w:rsidR="00593492">
        <w:rPr>
          <w:lang w:val="en-US"/>
        </w:rPr>
        <w:t>changes to the</w:t>
      </w:r>
      <w:r w:rsidRPr="001B745E">
        <w:t xml:space="preserve"> technical rules will facilitate </w:t>
      </w:r>
      <w:r>
        <w:rPr>
          <w:lang w:val="en-US"/>
        </w:rPr>
        <w:t xml:space="preserve">Lower A Block licensees’ ability to provision </w:t>
      </w:r>
      <w:r w:rsidRPr="001B745E">
        <w:t>mobile broadband LTE services to consumers in all of the paired Lower 700 MHz bands without significant service degradation.</w:t>
      </w:r>
      <w:r w:rsidRPr="002C1545">
        <w:t xml:space="preserve"> </w:t>
      </w:r>
    </w:p>
    <w:p w:rsidR="002C1545" w:rsidRPr="007C2219" w:rsidRDefault="002C1545" w:rsidP="00D03910">
      <w:pPr>
        <w:pStyle w:val="ParaNum"/>
        <w:keepNext/>
        <w:widowControl/>
        <w:rPr>
          <w:szCs w:val="22"/>
        </w:rPr>
      </w:pPr>
      <w:r>
        <w:t>In revising the technical rules for the Lower 700 MHz D and E Blocks</w:t>
      </w:r>
      <w:r w:rsidRPr="005D7567">
        <w:t>, the Commission carefully considered the various benefits identified in the r</w:t>
      </w:r>
      <w:r>
        <w:t xml:space="preserve">ecord, and the costs for Lower 700 MHz D and E </w:t>
      </w:r>
      <w:r w:rsidRPr="005D7567">
        <w:t xml:space="preserve">Block licensees that would be associated with a new rule.  The Commission considered alternative actions, including </w:t>
      </w:r>
      <w:r>
        <w:t xml:space="preserve">maintaining the current technical rules, but determined that modifying the power limits </w:t>
      </w:r>
      <w:r w:rsidRPr="0010359D">
        <w:t>and antenna height restrictions for the L</w:t>
      </w:r>
      <w:r>
        <w:t>ower 700 MHz D and E Blocks would</w:t>
      </w:r>
      <w:r w:rsidRPr="0010359D">
        <w:t xml:space="preserve"> enable Lower 700 MHz interoperability by resolving concerns about interference from high-</w:t>
      </w:r>
      <w:r>
        <w:t xml:space="preserve">powered transmissions.  </w:t>
      </w:r>
      <w:r>
        <w:rPr>
          <w:lang w:val="en-US"/>
        </w:rPr>
        <w:t>The Report and Order provides flexibility for licensees by indicating</w:t>
      </w:r>
      <w:r>
        <w:t xml:space="preserve"> that Lower 700 MHz D and E B</w:t>
      </w:r>
      <w:r w:rsidRPr="001B745E">
        <w:t xml:space="preserve">lock licensees </w:t>
      </w:r>
      <w:r>
        <w:t xml:space="preserve">may </w:t>
      </w:r>
      <w:r w:rsidRPr="001B745E">
        <w:t xml:space="preserve">operate </w:t>
      </w:r>
      <w:r>
        <w:t xml:space="preserve">particular sites </w:t>
      </w:r>
      <w:r w:rsidRPr="001B745E">
        <w:t xml:space="preserve">at </w:t>
      </w:r>
      <w:r>
        <w:t xml:space="preserve">power </w:t>
      </w:r>
      <w:r w:rsidRPr="001B745E">
        <w:t xml:space="preserve">levels </w:t>
      </w:r>
      <w:r>
        <w:t>higher than permitted under the revised rules under certain specified conditions.</w:t>
      </w:r>
      <w:r w:rsidRPr="0053605C">
        <w:rPr>
          <w:lang w:val="en-US"/>
        </w:rPr>
        <w:t xml:space="preserve">  </w:t>
      </w:r>
    </w:p>
    <w:p w:rsidR="002969FA" w:rsidRPr="002C1545" w:rsidRDefault="002C1545" w:rsidP="00D03910">
      <w:pPr>
        <w:pStyle w:val="ParaNum"/>
        <w:keepNext/>
        <w:widowControl/>
        <w:snapToGrid w:val="0"/>
      </w:pPr>
      <w:r>
        <w:rPr>
          <w:lang w:val="en-US"/>
        </w:rPr>
        <w:t xml:space="preserve">In addition, to </w:t>
      </w:r>
      <w:r>
        <w:t xml:space="preserve">minimize the impact of the changes in the technical rules, the Report and Order </w:t>
      </w:r>
      <w:r>
        <w:rPr>
          <w:lang w:val="en-US"/>
        </w:rPr>
        <w:t xml:space="preserve">waives the construction requirements, </w:t>
      </w:r>
      <w:r>
        <w:t>extend</w:t>
      </w:r>
      <w:r>
        <w:rPr>
          <w:lang w:val="en-US"/>
        </w:rPr>
        <w:t>ing the construction benchmark deadlines</w:t>
      </w:r>
      <w:r>
        <w:t xml:space="preserve"> for Lower 700 MHz A, B, and E Block licensees.   The Report and Order</w:t>
      </w:r>
      <w:r w:rsidRPr="005D7567">
        <w:t xml:space="preserve"> </w:t>
      </w:r>
      <w:r>
        <w:t xml:space="preserve">concludes that </w:t>
      </w:r>
      <w:r>
        <w:rPr>
          <w:lang w:val="en-US"/>
        </w:rPr>
        <w:t xml:space="preserve">waiving the construction </w:t>
      </w:r>
      <w:r>
        <w:t>requirements will</w:t>
      </w:r>
      <w:r w:rsidRPr="005D7567">
        <w:t xml:space="preserve"> allow licensees to make appropriate business decisions regarding build-out and to meet the construction benchmark deadline</w:t>
      </w:r>
      <w:r>
        <w:t>s</w:t>
      </w:r>
      <w:r w:rsidRPr="005D7567">
        <w:t>.</w:t>
      </w:r>
      <w:r w:rsidRPr="005D7567">
        <w:rPr>
          <w:i/>
        </w:rPr>
        <w:t xml:space="preserve">  </w:t>
      </w:r>
    </w:p>
    <w:p w:rsidR="002969FA" w:rsidRPr="005D7567" w:rsidRDefault="002969FA" w:rsidP="00D03910">
      <w:pPr>
        <w:pStyle w:val="ParaNum"/>
        <w:keepNext/>
        <w:widowControl/>
      </w:pPr>
      <w:r w:rsidRPr="005D7567">
        <w:rPr>
          <w:b/>
          <w:u w:val="single"/>
        </w:rPr>
        <w:t>Report to Congress:</w:t>
      </w:r>
      <w:r w:rsidRPr="005D7567">
        <w:t xml:space="preserve"> The Commission will send a copy of the Report and Order, including this FRFA, in a report to be sent to Congress pursuant to the Congressional Review Act.</w:t>
      </w:r>
      <w:r w:rsidRPr="005D7567">
        <w:rPr>
          <w:vertAlign w:val="superscript"/>
        </w:rPr>
        <w:footnoteReference w:id="252"/>
      </w:r>
      <w:r w:rsidRPr="005D7567">
        <w:t xml:space="preserve">  In addition, the Commission will send a copy of the Report and Order, including this FRFA, to the Chief Counsel for Advocacy of the SBA.  A copy of the Report and Order and FRFA (or summaries thereof) will also be published in the </w:t>
      </w:r>
      <w:r w:rsidRPr="005D7567">
        <w:rPr>
          <w:i/>
        </w:rPr>
        <w:t>Federal Register</w:t>
      </w:r>
      <w:r w:rsidRPr="005D7567">
        <w:t>.</w:t>
      </w:r>
      <w:r w:rsidRPr="005D7567">
        <w:rPr>
          <w:vertAlign w:val="superscript"/>
        </w:rPr>
        <w:footnoteReference w:id="253"/>
      </w:r>
    </w:p>
    <w:p w:rsidR="002969FA" w:rsidRPr="005D7567" w:rsidRDefault="002969FA" w:rsidP="00D03910">
      <w:pPr>
        <w:keepNext/>
        <w:widowControl/>
        <w:rPr>
          <w:kern w:val="0"/>
          <w:szCs w:val="22"/>
        </w:rPr>
        <w:sectPr w:rsidR="002969FA" w:rsidRPr="005D7567" w:rsidSect="00344AF5">
          <w:footnotePr>
            <w:numRestart w:val="eachSect"/>
          </w:footnotePr>
          <w:endnotePr>
            <w:numFmt w:val="decimal"/>
          </w:endnotePr>
          <w:pgSz w:w="12240" w:h="15840"/>
          <w:pgMar w:top="1440" w:right="1440" w:bottom="1440" w:left="1440" w:header="720" w:footer="720" w:gutter="0"/>
          <w:cols w:space="720"/>
          <w:docGrid w:linePitch="299"/>
        </w:sectPr>
      </w:pPr>
    </w:p>
    <w:p w:rsidR="002969FA" w:rsidRPr="005D7567" w:rsidRDefault="002969FA" w:rsidP="00A97797">
      <w:pPr>
        <w:pStyle w:val="ParaNum"/>
        <w:keepNext/>
        <w:widowControl/>
        <w:numPr>
          <w:ilvl w:val="0"/>
          <w:numId w:val="0"/>
        </w:numPr>
        <w:spacing w:after="240"/>
        <w:ind w:firstLine="720"/>
        <w:jc w:val="center"/>
        <w:rPr>
          <w:b/>
        </w:rPr>
      </w:pPr>
      <w:r w:rsidRPr="005D7567">
        <w:rPr>
          <w:b/>
        </w:rPr>
        <w:t>APPENDIX C</w:t>
      </w:r>
    </w:p>
    <w:p w:rsidR="002969FA" w:rsidRPr="00A97797" w:rsidRDefault="00A97797" w:rsidP="001140FC">
      <w:pPr>
        <w:pStyle w:val="ParaNum"/>
        <w:keepNext/>
        <w:widowControl/>
        <w:numPr>
          <w:ilvl w:val="0"/>
          <w:numId w:val="0"/>
        </w:numPr>
        <w:spacing w:after="240"/>
        <w:ind w:firstLine="720"/>
        <w:jc w:val="center"/>
        <w:rPr>
          <w:b/>
          <w:lang w:val="en-US"/>
        </w:rPr>
      </w:pPr>
      <w:r>
        <w:rPr>
          <w:b/>
          <w:lang w:val="en-US"/>
        </w:rPr>
        <w:t>List of Commenters</w:t>
      </w:r>
    </w:p>
    <w:p w:rsidR="002969FA" w:rsidRPr="005D7567" w:rsidRDefault="002969FA" w:rsidP="00D03910">
      <w:pPr>
        <w:pStyle w:val="ParaNum"/>
        <w:keepNext/>
        <w:widowControl/>
        <w:numPr>
          <w:ilvl w:val="0"/>
          <w:numId w:val="0"/>
        </w:numPr>
        <w:tabs>
          <w:tab w:val="left" w:pos="720"/>
        </w:tabs>
        <w:rPr>
          <w:b/>
          <w:color w:val="000000"/>
          <w:szCs w:val="22"/>
          <w:u w:val="single"/>
        </w:rPr>
      </w:pPr>
      <w:r w:rsidRPr="005D7567">
        <w:rPr>
          <w:b/>
          <w:color w:val="000000"/>
          <w:szCs w:val="22"/>
          <w:u w:val="single"/>
        </w:rPr>
        <w:t>Comments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AT&amp;T Services, Inc. (AT&amp;T)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Blooston Rural Carriers (Blooston)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CTIA – The Wireless Association (CTIA)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Cavalier Wireless, LLC (Cavalier)</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Cellular South, Inc. d/b/a C Spire Wireless (Cellular South)</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Chris Barton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Community Liberty and Innovation Project (CLIP)</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Continuum 700 LLC (Continuum)</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Cricket Communications, Inc. (Cricket)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DISH Network, Inc. (DISH Network)</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 xml:space="preserve">Donald G. Everist, P.E., on behalf of </w:t>
      </w:r>
      <w:r w:rsidRPr="005D7567">
        <w:t>Cohen, Dippell and Everist, P.C. (Everist)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Edison Electric Institute (Edison)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Horry Telephone Cooperative, Inc.</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Information Age Economics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King Street Wireless, L.P. (King Street)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Maneesh Pangasa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McBride Spectrum Partners, LLC (McBride)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MetroPCS Communications, Inc. (MetroPCS)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Mike Cornell</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Motorola Mobility, Inc. (Motorola)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NTCH, Inc. (NTCH)</w:t>
      </w:r>
    </w:p>
    <w:p w:rsidR="002969FA" w:rsidRPr="005D7567" w:rsidRDefault="002969FA" w:rsidP="00D03910">
      <w:pPr>
        <w:pStyle w:val="ParaNum"/>
        <w:keepNext/>
        <w:widowControl/>
        <w:numPr>
          <w:ilvl w:val="0"/>
          <w:numId w:val="0"/>
        </w:numPr>
        <w:tabs>
          <w:tab w:val="left" w:pos="720"/>
        </w:tabs>
      </w:pPr>
      <w:r w:rsidRPr="005D7567">
        <w:rPr>
          <w:color w:val="000000"/>
          <w:szCs w:val="22"/>
        </w:rPr>
        <w:t>National Association of Police Organizations, Inc. (NAPO)</w:t>
      </w:r>
      <w:r w:rsidRPr="005D7567">
        <w:t>National Telecommunications Cooperative Association (NTCA)</w:t>
      </w:r>
    </w:p>
    <w:p w:rsidR="002969FA" w:rsidRPr="005D7567" w:rsidRDefault="002969FA" w:rsidP="00D03910">
      <w:pPr>
        <w:pStyle w:val="ParaNum"/>
        <w:keepNext/>
        <w:widowControl/>
        <w:numPr>
          <w:ilvl w:val="0"/>
          <w:numId w:val="0"/>
        </w:numPr>
        <w:tabs>
          <w:tab w:val="left" w:pos="720"/>
        </w:tabs>
      </w:pPr>
      <w:r w:rsidRPr="005D7567">
        <w:t>Nick Dunklee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Office of Advocacy, U.S. Small Business Administration (SBA)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Qualcomm Incorporated (Qualcomm)</w:t>
      </w:r>
    </w:p>
    <w:p w:rsidR="002969FA" w:rsidRPr="005D7567" w:rsidRDefault="002969FA" w:rsidP="00D03910">
      <w:pPr>
        <w:pStyle w:val="ParaNum"/>
        <w:keepNext/>
        <w:widowControl/>
        <w:numPr>
          <w:ilvl w:val="0"/>
          <w:numId w:val="0"/>
        </w:numPr>
        <w:tabs>
          <w:tab w:val="center" w:pos="4680"/>
        </w:tabs>
        <w:rPr>
          <w:color w:val="000000"/>
          <w:szCs w:val="22"/>
        </w:rPr>
      </w:pPr>
      <w:r w:rsidRPr="005D7567">
        <w:rPr>
          <w:color w:val="000000"/>
          <w:szCs w:val="22"/>
        </w:rPr>
        <w:t>RCA – The Competitive Carriers Association (RCA)</w:t>
      </w:r>
    </w:p>
    <w:p w:rsidR="002969FA" w:rsidRPr="005D7567" w:rsidRDefault="002969FA" w:rsidP="00D03910">
      <w:pPr>
        <w:pStyle w:val="ParaNum"/>
        <w:keepNext/>
        <w:widowControl/>
        <w:numPr>
          <w:ilvl w:val="0"/>
          <w:numId w:val="0"/>
        </w:numPr>
        <w:tabs>
          <w:tab w:val="center" w:pos="4680"/>
        </w:tabs>
        <w:rPr>
          <w:color w:val="000000"/>
          <w:szCs w:val="22"/>
        </w:rPr>
      </w:pPr>
      <w:r w:rsidRPr="005D7567">
        <w:rPr>
          <w:color w:val="000000"/>
          <w:szCs w:val="22"/>
        </w:rPr>
        <w:t>Research in Motion Corporation (RIM)</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T-Mobile USA, Inc. (T-Mobile)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The Consumer Electronics Association (CEA)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The Rural Telecommunications Group, Inc. (RTG)</w:t>
      </w:r>
    </w:p>
    <w:p w:rsidR="002969FA" w:rsidRDefault="002969FA" w:rsidP="00D03910">
      <w:pPr>
        <w:pStyle w:val="ParaNum"/>
        <w:keepNext/>
        <w:widowControl/>
        <w:numPr>
          <w:ilvl w:val="0"/>
          <w:numId w:val="0"/>
        </w:numPr>
        <w:tabs>
          <w:tab w:val="left" w:pos="720"/>
        </w:tabs>
        <w:rPr>
          <w:color w:val="000000"/>
          <w:szCs w:val="22"/>
        </w:rPr>
      </w:pPr>
      <w:r w:rsidRPr="005D7567">
        <w:rPr>
          <w:color w:val="000000"/>
          <w:szCs w:val="22"/>
        </w:rPr>
        <w:t>The Telecommunications Industry Association (TIA)</w:t>
      </w:r>
    </w:p>
    <w:p w:rsidR="002969FA" w:rsidRPr="005D7567" w:rsidRDefault="002969FA" w:rsidP="00D03910">
      <w:pPr>
        <w:pStyle w:val="ParaNum"/>
        <w:keepNext/>
        <w:widowControl/>
        <w:numPr>
          <w:ilvl w:val="0"/>
          <w:numId w:val="0"/>
        </w:numPr>
        <w:tabs>
          <w:tab w:val="left" w:pos="720"/>
        </w:tabs>
        <w:rPr>
          <w:color w:val="000000"/>
          <w:szCs w:val="22"/>
        </w:rPr>
      </w:pPr>
      <w:r>
        <w:rPr>
          <w:color w:val="000000"/>
          <w:szCs w:val="22"/>
        </w:rPr>
        <w:t>Vulcan Wireless, LLC (Vulcan)</w:t>
      </w:r>
    </w:p>
    <w:p w:rsidR="002969FA" w:rsidRPr="005D7567" w:rsidRDefault="002969FA" w:rsidP="00D03910">
      <w:pPr>
        <w:pStyle w:val="ParaNum"/>
        <w:keepNext/>
        <w:widowControl/>
        <w:numPr>
          <w:ilvl w:val="0"/>
          <w:numId w:val="0"/>
        </w:numPr>
        <w:jc w:val="both"/>
        <w:rPr>
          <w:b/>
        </w:rPr>
      </w:pPr>
    </w:p>
    <w:p w:rsidR="002969FA" w:rsidRPr="005D7567" w:rsidRDefault="002969FA" w:rsidP="00D03910">
      <w:pPr>
        <w:pStyle w:val="ParaNum"/>
        <w:keepNext/>
        <w:widowControl/>
        <w:numPr>
          <w:ilvl w:val="0"/>
          <w:numId w:val="0"/>
        </w:numPr>
        <w:tabs>
          <w:tab w:val="left" w:pos="720"/>
        </w:tabs>
        <w:rPr>
          <w:b/>
          <w:color w:val="000000"/>
          <w:szCs w:val="22"/>
          <w:u w:val="single"/>
        </w:rPr>
      </w:pPr>
      <w:r w:rsidRPr="005D7567">
        <w:rPr>
          <w:b/>
          <w:color w:val="000000"/>
          <w:szCs w:val="22"/>
          <w:u w:val="single"/>
        </w:rPr>
        <w:t>Reply Comments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AT&amp;T Services, Inc. (AT&amp;T)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Blooston Rural Carriers (Blooston)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CenturyLink, Inc. (Century Link)</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Consumers Union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CTIA – The Wireless Association (CTIA)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Cricket Communications, Inc. (Cricket)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DISH Network, LLC (DISH)</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Free Press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 xml:space="preserve">Information Age Economics </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King Street Wireless, L.P. (King Street)</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McBride Spectrum Partners, LLC (McBride)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Metro PCS Communications, Inc. (Metro PCS)</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New America Foundation</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Public Knowledge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Qualcomm Inc. (Qualcomm)</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RCA - The Competitive Carriers Association (RCA)</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SouthernLINC Wireless (Souther</w:t>
      </w:r>
      <w:r w:rsidR="003C30ED">
        <w:rPr>
          <w:color w:val="000000"/>
          <w:szCs w:val="22"/>
          <w:lang w:val="en-US"/>
        </w:rPr>
        <w:t>n</w:t>
      </w:r>
      <w:r w:rsidRPr="005D7567">
        <w:rPr>
          <w:color w:val="000000"/>
          <w:szCs w:val="22"/>
        </w:rPr>
        <w:t>LINC)</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T-Mobile USA, Inc. (T-Mobile)</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United States Cellular Corporation (USCC)</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V-COMM, LLC (V-COMM)</w:t>
      </w:r>
    </w:p>
    <w:p w:rsidR="002969FA" w:rsidRPr="005D7567" w:rsidRDefault="002969FA" w:rsidP="00D03910">
      <w:pPr>
        <w:pStyle w:val="ParaNum"/>
        <w:keepNext/>
        <w:widowControl/>
        <w:numPr>
          <w:ilvl w:val="0"/>
          <w:numId w:val="0"/>
        </w:numPr>
        <w:tabs>
          <w:tab w:val="left" w:pos="720"/>
        </w:tabs>
        <w:rPr>
          <w:color w:val="000000"/>
          <w:szCs w:val="22"/>
        </w:rPr>
      </w:pPr>
      <w:r w:rsidRPr="005D7567">
        <w:rPr>
          <w:color w:val="000000"/>
          <w:szCs w:val="22"/>
        </w:rPr>
        <w:t>Verizon Wireless</w:t>
      </w:r>
    </w:p>
    <w:p w:rsidR="002969FA" w:rsidRDefault="002969FA" w:rsidP="00D03910">
      <w:pPr>
        <w:pStyle w:val="ParaNum"/>
        <w:keepNext/>
        <w:widowControl/>
        <w:numPr>
          <w:ilvl w:val="0"/>
          <w:numId w:val="0"/>
        </w:numPr>
        <w:tabs>
          <w:tab w:val="left" w:pos="720"/>
        </w:tabs>
        <w:rPr>
          <w:color w:val="000000"/>
          <w:szCs w:val="22"/>
        </w:rPr>
      </w:pPr>
      <w:r w:rsidRPr="005D7567">
        <w:rPr>
          <w:color w:val="000000"/>
          <w:szCs w:val="22"/>
        </w:rPr>
        <w:t>Vulcan Wireless, LLC (Vulcan</w:t>
      </w:r>
      <w:r>
        <w:rPr>
          <w:color w:val="000000"/>
          <w:szCs w:val="22"/>
        </w:rPr>
        <w:t>)</w:t>
      </w:r>
    </w:p>
    <w:p w:rsidR="00D8299A" w:rsidRDefault="00D8299A" w:rsidP="00D03910">
      <w:pPr>
        <w:keepNext/>
        <w:widowControl/>
        <w:rPr>
          <w:b/>
        </w:rPr>
      </w:pPr>
      <w:r>
        <w:rPr>
          <w:b/>
        </w:rPr>
        <w:br w:type="page"/>
      </w:r>
    </w:p>
    <w:p w:rsidR="00D8299A" w:rsidRPr="00D8299A" w:rsidRDefault="00D8299A" w:rsidP="00D03910">
      <w:pPr>
        <w:keepNext/>
        <w:widowControl/>
        <w:autoSpaceDE w:val="0"/>
        <w:autoSpaceDN w:val="0"/>
        <w:adjustRightInd w:val="0"/>
        <w:jc w:val="center"/>
        <w:rPr>
          <w:b/>
          <w:bCs/>
          <w:snapToGrid/>
          <w:color w:val="020202"/>
          <w:kern w:val="0"/>
          <w:szCs w:val="22"/>
        </w:rPr>
      </w:pPr>
      <w:r w:rsidRPr="00D8299A">
        <w:rPr>
          <w:b/>
          <w:bCs/>
          <w:snapToGrid/>
          <w:color w:val="020202"/>
          <w:kern w:val="0"/>
          <w:szCs w:val="22"/>
        </w:rPr>
        <w:t>STATEMENT OF</w:t>
      </w:r>
    </w:p>
    <w:p w:rsidR="00D8299A" w:rsidRPr="00D8299A" w:rsidRDefault="00D8299A" w:rsidP="00D03910">
      <w:pPr>
        <w:keepNext/>
        <w:widowControl/>
        <w:jc w:val="center"/>
        <w:rPr>
          <w:b/>
          <w:bCs/>
          <w:snapToGrid/>
          <w:color w:val="020202"/>
          <w:kern w:val="0"/>
          <w:szCs w:val="22"/>
        </w:rPr>
      </w:pPr>
      <w:r w:rsidRPr="00D8299A">
        <w:rPr>
          <w:b/>
          <w:bCs/>
          <w:snapToGrid/>
          <w:color w:val="020202"/>
          <w:kern w:val="0"/>
          <w:szCs w:val="22"/>
        </w:rPr>
        <w:t xml:space="preserve">ACTING </w:t>
      </w:r>
      <w:r w:rsidR="00C062BD">
        <w:rPr>
          <w:b/>
          <w:bCs/>
          <w:snapToGrid/>
          <w:color w:val="020202"/>
          <w:kern w:val="0"/>
          <w:szCs w:val="22"/>
        </w:rPr>
        <w:t xml:space="preserve">FCC </w:t>
      </w:r>
      <w:r w:rsidRPr="00D8299A">
        <w:rPr>
          <w:b/>
          <w:bCs/>
          <w:snapToGrid/>
          <w:color w:val="020202"/>
          <w:kern w:val="0"/>
          <w:szCs w:val="22"/>
        </w:rPr>
        <w:t>CHAIRWOMAN MIGNON L. CLYBURN</w:t>
      </w:r>
    </w:p>
    <w:p w:rsidR="00D8299A" w:rsidRPr="00D8299A" w:rsidRDefault="00D8299A" w:rsidP="00D03910">
      <w:pPr>
        <w:keepNext/>
        <w:widowControl/>
        <w:jc w:val="center"/>
        <w:rPr>
          <w:b/>
          <w:bCs/>
          <w:snapToGrid/>
          <w:color w:val="020202"/>
          <w:kern w:val="0"/>
          <w:szCs w:val="22"/>
        </w:rPr>
      </w:pPr>
    </w:p>
    <w:p w:rsidR="00D8299A" w:rsidRPr="00C062BD" w:rsidRDefault="00D8299A" w:rsidP="00D03910">
      <w:pPr>
        <w:keepNext/>
        <w:widowControl/>
        <w:autoSpaceDE w:val="0"/>
        <w:autoSpaceDN w:val="0"/>
        <w:adjustRightInd w:val="0"/>
        <w:rPr>
          <w:iCs/>
          <w:snapToGrid/>
          <w:color w:val="020202"/>
          <w:kern w:val="0"/>
          <w:szCs w:val="22"/>
        </w:rPr>
      </w:pPr>
      <w:r w:rsidRPr="00D8299A">
        <w:rPr>
          <w:snapToGrid/>
          <w:color w:val="020202"/>
          <w:kern w:val="0"/>
          <w:szCs w:val="22"/>
        </w:rPr>
        <w:t xml:space="preserve">Re: </w:t>
      </w:r>
      <w:r w:rsidRPr="00D8299A">
        <w:rPr>
          <w:i/>
          <w:iCs/>
          <w:snapToGrid/>
          <w:color w:val="020202"/>
          <w:kern w:val="0"/>
          <w:szCs w:val="22"/>
        </w:rPr>
        <w:t>Promoting Interoperability in the 700MHz Commercial Spectrum, WT Docket No. 12-69; Requests for Waiver and Extension of Lower 700 MHz Band Interim Construction Benchmark Deadlines, WT Docket No. 12-332</w:t>
      </w:r>
      <w:r w:rsidR="00C062BD">
        <w:rPr>
          <w:iCs/>
          <w:snapToGrid/>
          <w:color w:val="020202"/>
          <w:kern w:val="0"/>
          <w:szCs w:val="22"/>
        </w:rPr>
        <w:t>.</w:t>
      </w:r>
    </w:p>
    <w:p w:rsidR="00D8299A" w:rsidRPr="00D8299A" w:rsidRDefault="00D8299A" w:rsidP="00D03910">
      <w:pPr>
        <w:keepNext/>
        <w:widowControl/>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In rural America, where nearly 50 million consumers live, work and play, just over one-third receive coverage from two or fewer mobile broadband providers.  For years, small wireless carriers in these communities have stated that the lack of interoperability in the Lower 700 MHz band has stifled growth and limited options for their customers.  Today’s Order removes barriers that have kept these carriers from operating in this band, and acts to spur private investment, job creation and the development of new services and devices.  It does so by implementing a voluntary industry solution to restore a framework that will substantially benefit the public interest and promote greater competition for advanced wireless services.</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This expected innovation and investment in advanced communications has been on hold for far too long.  In 2006, the Commission first initiated a proceeding to adopt service rules and auction this band.  That proceeding was widely followed, not just by wireless companies, but application developers and other technology innovators due to the excellent propagation characteristics of the band.  Those who participated in the 2008 auction for this spectrum fully expected that the band would be interoperable across all allocated blocks just as with other wireless mobile services, including cellular, PCS, AWS, and public safety broadband.  After this spectrum was auctioned, however, a standard setting process created two non-interoperable separate band classes that ended up stifling deployment of service into rural areas.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That is why, when the Commission first initiated this rulemaking proceeding in March 2012, I stated a preference for an expeditious path towards a voluntary solution to restore interoperability in the lower 700 MHz band.  I had hoped that NPRM would create the proper incentives for wireless companies on opposite sides of this debate to reach a solution before the end of 2012.  Unfortunately, that did not happen.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In fact, when I became Acting Chairwoman in May 2013, these parties still seemed as far apart as they did a year earlier.  Nonetheless, I remained steadfast in my belief that the quickest way for consumers to see the benefits of an interoperability solution for this band was not a regulatory mandate that would likely be challenged in court; but a collaborative industry wide solution with a timetable for implementation.  That is why I issued statements indicating that I expected an interoperability solution – whether voluntary or regulatory -- during my tenure.  I was pleased that the parties accepted my invitation to meet and engage in good-faith.  I am particularly grateful to AT&amp;T, The Interoperability Alliance, The Competitive Carriers Association, DISH, and the consumer advocacy groups who worked collaboratively with FCC staff to hammer out a solution that benefits all consumers.</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Under the agreement, AT&amp;T will modify its 700 MHz LTE network with new software that will enable it to support Band 12-capable devices and also work with manufacturers to develop devices that support Band Class 12.  In plain English, it will be possible for customers of small and regional providers to roam on AT&amp;T’s LTE network, and devices like the iPhone that used to work exclusively for AT&amp;T, will work on other networks in the Lower 700 MHz band.</w:t>
      </w:r>
    </w:p>
    <w:p w:rsidR="00D8299A" w:rsidRPr="00D8299A" w:rsidRDefault="00D8299A" w:rsidP="00D03910">
      <w:pPr>
        <w:keepNext/>
        <w:widowControl/>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 xml:space="preserve">The adoption of this Order is an important step in ensuring a proper transition to interoperability.  It addresses interference concerns by modifying the technical rules of the D and E blocks, so as to remove the likelihood of harm caused by attendant power levels, and finds that harmful interference from Channel 51 broadcast operations is unlikely.  The Order also carefully notes the responsibilities of all involved to finally bring interoperability to the Lower 700 MHz band to ensure full coverage in all markets and compatibility on a nationwide basis.  </w:t>
      </w:r>
    </w:p>
    <w:p w:rsidR="00D8299A" w:rsidRPr="00D8299A" w:rsidRDefault="00D8299A" w:rsidP="00D03910">
      <w:pPr>
        <w:keepNext/>
        <w:widowControl/>
        <w:ind w:firstLine="720"/>
        <w:rPr>
          <w:snapToGrid/>
          <w:kern w:val="0"/>
          <w:szCs w:val="22"/>
        </w:rPr>
      </w:pPr>
    </w:p>
    <w:p w:rsidR="00D8299A" w:rsidRPr="00D8299A" w:rsidRDefault="00D8299A" w:rsidP="00D03910">
      <w:pPr>
        <w:keepNext/>
        <w:widowControl/>
        <w:ind w:firstLine="720"/>
        <w:rPr>
          <w:snapToGrid/>
          <w:kern w:val="0"/>
          <w:szCs w:val="22"/>
        </w:rPr>
      </w:pPr>
      <w:r w:rsidRPr="00D8299A">
        <w:rPr>
          <w:snapToGrid/>
          <w:kern w:val="0"/>
          <w:szCs w:val="22"/>
        </w:rPr>
        <w:t>This is a big win for consumers, especially in rural areas, who will soon see more competition and have more choices.</w:t>
      </w:r>
    </w:p>
    <w:p w:rsidR="00D8299A" w:rsidRPr="00D8299A" w:rsidRDefault="00D8299A" w:rsidP="00D03910">
      <w:pPr>
        <w:keepNext/>
        <w:widowControl/>
        <w:ind w:firstLine="720"/>
        <w:rPr>
          <w:snapToGrid/>
          <w:kern w:val="0"/>
          <w:szCs w:val="22"/>
        </w:rPr>
      </w:pPr>
    </w:p>
    <w:p w:rsidR="00D8299A" w:rsidRDefault="00D8299A" w:rsidP="00D03910">
      <w:pPr>
        <w:keepNext/>
        <w:widowControl/>
        <w:ind w:firstLine="720"/>
        <w:rPr>
          <w:snapToGrid/>
          <w:color w:val="010101"/>
          <w:kern w:val="0"/>
          <w:szCs w:val="22"/>
        </w:rPr>
      </w:pPr>
      <w:r w:rsidRPr="00D8299A">
        <w:rPr>
          <w:snapToGrid/>
          <w:kern w:val="0"/>
          <w:szCs w:val="22"/>
        </w:rPr>
        <w:t>My sincere thanks to Ruth Milkman, Jim Schlichting, and the rest of her staff in the Wireless Bureau as well as Michele Ellison and Louis Peraertz in the Chair’s office for working so diligently throughout this proceeding and for quickly drafting this Order.</w:t>
      </w:r>
    </w:p>
    <w:p w:rsidR="00D8299A" w:rsidRDefault="00D8299A" w:rsidP="00D03910">
      <w:pPr>
        <w:keepNext/>
        <w:widowControl/>
        <w:rPr>
          <w:snapToGrid/>
          <w:color w:val="010101"/>
          <w:kern w:val="0"/>
          <w:szCs w:val="22"/>
        </w:rPr>
      </w:pPr>
      <w:r>
        <w:rPr>
          <w:snapToGrid/>
          <w:color w:val="010101"/>
          <w:kern w:val="0"/>
          <w:szCs w:val="22"/>
        </w:rPr>
        <w:br w:type="page"/>
      </w:r>
    </w:p>
    <w:p w:rsidR="00BA325E" w:rsidRDefault="00BA325E" w:rsidP="00D03910">
      <w:pPr>
        <w:keepNext/>
        <w:widowControl/>
        <w:jc w:val="center"/>
        <w:rPr>
          <w:b/>
          <w:snapToGrid/>
          <w:kern w:val="0"/>
          <w:szCs w:val="22"/>
        </w:rPr>
      </w:pPr>
      <w:r w:rsidRPr="00BA325E">
        <w:rPr>
          <w:b/>
          <w:bCs/>
          <w:snapToGrid/>
          <w:color w:val="020202"/>
          <w:kern w:val="0"/>
          <w:szCs w:val="22"/>
        </w:rPr>
        <w:t>STATEMENT</w:t>
      </w:r>
      <w:r>
        <w:rPr>
          <w:b/>
          <w:snapToGrid/>
          <w:kern w:val="0"/>
          <w:szCs w:val="22"/>
        </w:rPr>
        <w:t xml:space="preserve"> OF</w:t>
      </w:r>
    </w:p>
    <w:p w:rsidR="00BA325E" w:rsidRPr="00BA325E" w:rsidRDefault="00BA325E" w:rsidP="00D03910">
      <w:pPr>
        <w:keepNext/>
        <w:widowControl/>
        <w:jc w:val="center"/>
        <w:rPr>
          <w:b/>
          <w:snapToGrid/>
          <w:kern w:val="0"/>
          <w:szCs w:val="22"/>
        </w:rPr>
      </w:pPr>
      <w:r w:rsidRPr="00BA325E">
        <w:rPr>
          <w:b/>
          <w:bCs/>
          <w:snapToGrid/>
          <w:color w:val="020202"/>
          <w:kern w:val="0"/>
          <w:szCs w:val="22"/>
        </w:rPr>
        <w:t>COMMISSIONER</w:t>
      </w:r>
      <w:r w:rsidRPr="00BA325E">
        <w:rPr>
          <w:b/>
          <w:snapToGrid/>
          <w:kern w:val="0"/>
          <w:szCs w:val="22"/>
        </w:rPr>
        <w:t xml:space="preserve"> JESSICA ROSENWORCEL</w:t>
      </w:r>
    </w:p>
    <w:p w:rsidR="00BA325E" w:rsidRPr="00983577" w:rsidRDefault="00BA325E" w:rsidP="00D03910">
      <w:pPr>
        <w:keepNext/>
        <w:widowControl/>
        <w:ind w:firstLine="720"/>
        <w:rPr>
          <w:snapToGrid/>
          <w:kern w:val="0"/>
          <w:szCs w:val="22"/>
        </w:rPr>
      </w:pPr>
    </w:p>
    <w:p w:rsidR="00BA325E" w:rsidRPr="00B20393" w:rsidRDefault="00BA325E" w:rsidP="00D03910">
      <w:pPr>
        <w:keepNext/>
        <w:widowControl/>
        <w:autoSpaceDE w:val="0"/>
        <w:autoSpaceDN w:val="0"/>
        <w:adjustRightInd w:val="0"/>
        <w:rPr>
          <w:iCs/>
          <w:snapToGrid/>
          <w:kern w:val="0"/>
          <w:szCs w:val="22"/>
        </w:rPr>
      </w:pPr>
      <w:r w:rsidRPr="00BA325E">
        <w:rPr>
          <w:snapToGrid/>
          <w:kern w:val="0"/>
          <w:szCs w:val="22"/>
        </w:rPr>
        <w:t xml:space="preserve">Re: </w:t>
      </w:r>
      <w:r w:rsidRPr="00BA325E">
        <w:rPr>
          <w:i/>
          <w:iCs/>
          <w:snapToGrid/>
          <w:color w:val="020202"/>
          <w:kern w:val="0"/>
          <w:szCs w:val="22"/>
        </w:rPr>
        <w:t>Promoting</w:t>
      </w:r>
      <w:r w:rsidRPr="00BA325E">
        <w:rPr>
          <w:i/>
          <w:iCs/>
          <w:snapToGrid/>
          <w:kern w:val="0"/>
          <w:szCs w:val="22"/>
        </w:rPr>
        <w:t xml:space="preserve"> Interoperability in the 700MHz Commercial Spectrum, WT Docket No. 12-69; Requests for Waiver and Extension of Lower 700 MHz Band Interim Construction Benchmark Deadlines, WT Docket No. 12-332</w:t>
      </w:r>
      <w:r w:rsidR="00B20393">
        <w:rPr>
          <w:iCs/>
          <w:snapToGrid/>
          <w:kern w:val="0"/>
          <w:szCs w:val="22"/>
        </w:rPr>
        <w:t>.</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 xml:space="preserve">For too long, lack of interoperability in the lower 700 MHz band has left some carriers and some consumers with fewer choices and higher prices.  That is why I have long supported the push to find a voluntary solution to this problem.  I am gratified today that we do so by codifying an industry technical consensus.  </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The Commission is taking steps that have the potential to provide consumers of small and rural wireless carriers access to more cutting-edge devices.  Moreover, these devices will be available faster.  Thanks to economies of scale, they also will be less expensive.  In fact, according to some estimates, interoperability can cut development costs for new equipment by as much as $200 million.  Furthermore, at a time when demand for our airwaves is growing at a breathtaking pace, we are ushering into use 12 megahertz of prime wireless spectrum that previously had been barely used.  This is good all around.</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However, I remain concerned by the way the Commission has tied other upcoming auction and spectrum decisions to this interoperability effort.  Nonetheless, I believe that today’s decision warrant</w:t>
      </w:r>
      <w:r>
        <w:rPr>
          <w:snapToGrid/>
          <w:kern w:val="0"/>
          <w:szCs w:val="22"/>
        </w:rPr>
        <w:t>s support on its own merits.</w:t>
      </w:r>
    </w:p>
    <w:p w:rsidR="002969FA" w:rsidRPr="00E30E40" w:rsidRDefault="00983577" w:rsidP="00D03910">
      <w:pPr>
        <w:keepNext/>
        <w:widowControl/>
        <w:tabs>
          <w:tab w:val="left" w:pos="6431"/>
        </w:tabs>
        <w:rPr>
          <w:b/>
        </w:rPr>
      </w:pPr>
      <w:r>
        <w:rPr>
          <w:b/>
        </w:rPr>
        <w:tab/>
      </w:r>
    </w:p>
    <w:sectPr w:rsidR="002969FA" w:rsidRPr="00E30E40" w:rsidSect="004610B5">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CD" w:rsidRDefault="008F64CD">
      <w:pPr>
        <w:spacing w:line="20" w:lineRule="exact"/>
      </w:pPr>
    </w:p>
  </w:endnote>
  <w:endnote w:type="continuationSeparator" w:id="0">
    <w:p w:rsidR="008F64CD" w:rsidRDefault="008F64CD">
      <w:r>
        <w:t xml:space="preserve"> </w:t>
      </w:r>
    </w:p>
  </w:endnote>
  <w:endnote w:type="continuationNotice" w:id="1">
    <w:p w:rsidR="008F64CD" w:rsidRDefault="008F64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CD" w:rsidRDefault="008F64CD" w:rsidP="003B5CB4">
    <w:pPr>
      <w:pStyle w:val="Footer"/>
      <w:framePr w:wrap="around" w:vAnchor="text" w:hAnchor="margin" w:xAlign="center" w:y="1"/>
      <w:rPr>
        <w:rStyle w:val="PageNumber"/>
        <w:lang w:val="en-US" w:eastAsia="en-US"/>
      </w:rPr>
    </w:pPr>
    <w:r>
      <w:rPr>
        <w:rStyle w:val="PageNumber"/>
      </w:rPr>
      <w:fldChar w:fldCharType="begin"/>
    </w:r>
    <w:r>
      <w:rPr>
        <w:rStyle w:val="PageNumber"/>
      </w:rPr>
      <w:instrText xml:space="preserve">PAGE  </w:instrText>
    </w:r>
    <w:r>
      <w:rPr>
        <w:rStyle w:val="PageNumber"/>
      </w:rPr>
      <w:fldChar w:fldCharType="end"/>
    </w:r>
  </w:p>
  <w:p w:rsidR="008F64CD" w:rsidRDefault="008F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0058"/>
      <w:docPartObj>
        <w:docPartGallery w:val="Page Numbers (Bottom of Page)"/>
        <w:docPartUnique/>
      </w:docPartObj>
    </w:sdtPr>
    <w:sdtEndPr>
      <w:rPr>
        <w:noProof/>
      </w:rPr>
    </w:sdtEndPr>
    <w:sdtContent>
      <w:p w:rsidR="008F64CD" w:rsidRPr="00C062BD" w:rsidRDefault="008F64CD" w:rsidP="00C062BD">
        <w:pPr>
          <w:pStyle w:val="Footer"/>
          <w:jc w:val="center"/>
        </w:pPr>
        <w:r>
          <w:fldChar w:fldCharType="begin"/>
        </w:r>
        <w:r>
          <w:instrText xml:space="preserve"> PAGE   \* MERGEFORMAT </w:instrText>
        </w:r>
        <w:r>
          <w:fldChar w:fldCharType="separate"/>
        </w:r>
        <w:r w:rsidR="006C2D42">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Default="00D93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CD" w:rsidRDefault="008F64CD">
      <w:r>
        <w:separator/>
      </w:r>
    </w:p>
  </w:footnote>
  <w:footnote w:type="continuationSeparator" w:id="0">
    <w:p w:rsidR="008F64CD" w:rsidRDefault="008F64CD">
      <w:pPr>
        <w:rPr>
          <w:sz w:val="20"/>
        </w:rPr>
      </w:pPr>
      <w:r>
        <w:rPr>
          <w:sz w:val="20"/>
        </w:rPr>
        <w:t xml:space="preserve">(Continued from previous page)  </w:t>
      </w:r>
      <w:r>
        <w:rPr>
          <w:sz w:val="20"/>
        </w:rPr>
        <w:separator/>
      </w:r>
    </w:p>
  </w:footnote>
  <w:footnote w:type="continuationNotice" w:id="1">
    <w:p w:rsidR="008F64CD" w:rsidRDefault="008F64CD" w:rsidP="00344AF5">
      <w:pPr>
        <w:jc w:val="right"/>
        <w:rPr>
          <w:sz w:val="20"/>
        </w:rPr>
      </w:pPr>
      <w:r>
        <w:rPr>
          <w:sz w:val="20"/>
        </w:rPr>
        <w:t>(continued….)</w:t>
      </w:r>
    </w:p>
  </w:footnote>
  <w:footnote w:id="2">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w:t>
      </w:r>
      <w:r w:rsidRPr="00B068DD">
        <w:rPr>
          <w:iCs/>
        </w:rPr>
        <w:t>Implementation of Section 6002(b) of the Omnibus Budget Reconciliation</w:t>
      </w:r>
      <w:r>
        <w:rPr>
          <w:iCs/>
        </w:rPr>
        <w:t xml:space="preserve"> Act of 1993, Annual Report and </w:t>
      </w:r>
      <w:r w:rsidRPr="00B068DD">
        <w:rPr>
          <w:iCs/>
        </w:rPr>
        <w:t>Analysis of Competitive Market Conditions with Respect to Mobile Wireless, Including Commercial Mobile Services</w:t>
      </w:r>
      <w:r w:rsidRPr="00B068DD">
        <w:t>,</w:t>
      </w:r>
      <w:r w:rsidRPr="005D7567">
        <w:t xml:space="preserve"> WT Docket No. 11-186, </w:t>
      </w:r>
      <w:r w:rsidRPr="00B068DD">
        <w:rPr>
          <w:i/>
        </w:rPr>
        <w:t>Sixteenth Report</w:t>
      </w:r>
      <w:r w:rsidRPr="005D7567">
        <w:t>, 28 FCC Rcd 3700, 3945 at ¶¶ 392-393 (2013)</w:t>
      </w:r>
      <w:r w:rsidRPr="005D7567">
        <w:rPr>
          <w:i/>
          <w:iCs/>
        </w:rPr>
        <w:t xml:space="preserve"> </w:t>
      </w:r>
      <w:r w:rsidRPr="005D7567">
        <w:t>(</w:t>
      </w:r>
      <w:r w:rsidRPr="005D7567">
        <w:rPr>
          <w:i/>
          <w:iCs/>
        </w:rPr>
        <w:t>16</w:t>
      </w:r>
      <w:r w:rsidRPr="005D7567">
        <w:rPr>
          <w:i/>
          <w:iCs/>
          <w:vertAlign w:val="superscript"/>
        </w:rPr>
        <w:t>th</w:t>
      </w:r>
      <w:r w:rsidRPr="005D7567">
        <w:rPr>
          <w:i/>
          <w:iCs/>
        </w:rPr>
        <w:t xml:space="preserve"> Annual Mobile Wireless Competition Report</w:t>
      </w:r>
      <w:r w:rsidRPr="005D7567">
        <w:t xml:space="preserve">). Only 65.4% of the Nation’s rural population (and only 35.7% of rural road miles) has coverage by more than two mobile broadband providers.  </w:t>
      </w:r>
      <w:r w:rsidRPr="005D7567">
        <w:rPr>
          <w:i/>
        </w:rPr>
        <w:t>Id.</w:t>
      </w:r>
      <w:r w:rsidRPr="005D7567">
        <w:t xml:space="preserve"> </w:t>
      </w:r>
    </w:p>
  </w:footnote>
  <w:footnote w:id="3">
    <w:p w:rsidR="008F64CD" w:rsidRPr="005D7567" w:rsidRDefault="008F64CD" w:rsidP="00487096">
      <w:pPr>
        <w:pStyle w:val="FootnoteText"/>
      </w:pPr>
      <w:r w:rsidRPr="005D7567">
        <w:rPr>
          <w:rStyle w:val="FootnoteReference"/>
        </w:rPr>
        <w:footnoteRef/>
      </w:r>
      <w:r w:rsidRPr="005D7567">
        <w:t xml:space="preserve"> Promoting Interoperability in the 700 MHz Commercial Spectrum, WT Docket 12-69, </w:t>
      </w:r>
      <w:r w:rsidRPr="005D7567">
        <w:rPr>
          <w:i/>
        </w:rPr>
        <w:t>Notice of Proposed Rulemaking</w:t>
      </w:r>
      <w:r>
        <w:t>, 27 FCC R</w:t>
      </w:r>
      <w:r w:rsidRPr="005D7567">
        <w:t>cd 3521 (2012) (</w:t>
      </w:r>
      <w:r w:rsidRPr="005D7567">
        <w:rPr>
          <w:i/>
        </w:rPr>
        <w:t>Interoperability NPRM</w:t>
      </w:r>
      <w:r w:rsidRPr="005D7567">
        <w:t>).</w:t>
      </w:r>
    </w:p>
  </w:footnote>
  <w:footnote w:id="4">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27 FCC Rcd at 3522, ¶</w:t>
      </w:r>
      <w:r>
        <w:t xml:space="preserve"> </w:t>
      </w:r>
      <w:r w:rsidRPr="005D7567">
        <w:t>3.</w:t>
      </w:r>
    </w:p>
  </w:footnote>
  <w:footnote w:id="5">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27 FCC Rcd at 3543, ¶</w:t>
      </w:r>
      <w:r>
        <w:t xml:space="preserve"> </w:t>
      </w:r>
      <w:r w:rsidRPr="005D7567">
        <w:t>49.</w:t>
      </w:r>
    </w:p>
  </w:footnote>
  <w:footnote w:id="6">
    <w:p w:rsidR="008F64CD" w:rsidRDefault="008F64CD" w:rsidP="00487096">
      <w:pPr>
        <w:pStyle w:val="FootnoteText"/>
      </w:pPr>
      <w:r>
        <w:rPr>
          <w:rStyle w:val="FootnoteReference"/>
        </w:rPr>
        <w:footnoteRef/>
      </w:r>
      <w:r>
        <w:t xml:space="preserve"> Letter from Joan Marsh, Vice Pres. Fed. Regulatory, AT&amp;T Services, Inc. to the Hon. Mignon Clyburn, Chairwoman, FCC, WT Docket No. 12-69, filed Sept. 10, 2013 (AT&amp;T Sept. 10, 2013 Ex Parte); Letter from Jeffrey H. Blum, Senior Vice Pres. &amp; Dep. Gen. Counsel, DISH Network, Corp., to the Hon. Mignon Clyburn, Chairwoman, FCC, WT Docket No. 12-69, filed Sept. 10, 2013 (DISH Network Sept. 10, 2013 Ex Parte);</w:t>
      </w:r>
      <w:r w:rsidRPr="0067791C">
        <w:t xml:space="preserve"> </w:t>
      </w:r>
      <w:r>
        <w:t>Letter from Grant Spellmeyer, Vice Pres. Fed. Affairs &amp; Pub. Policy, US Cellular, Ben Moncrief, Dir. – Govt. Relations, C Spire Wireless,  Scott Wills, Vulcan Wireless LLC, Allison Cryor NiNardo, Pres., Gen. Partner, King Street Wireless, L.P., Nash Nyland, Gen. Counsel, Cavalier Wireless LLC, T.Clark Akers, Exec. Vice Pres. Continuum 700 LLC, and Steven K. Berry, Pres. and CEO, Competitive Carriers Association to the Hon. Mignon Clyburn, Chairwoman, FCC, WT Docket No. 12-69, filed Sept. 10, 2013 (Coalition Sept. 10, 2013 Ex Parte).</w:t>
      </w:r>
    </w:p>
  </w:footnote>
  <w:footnote w:id="7">
    <w:p w:rsidR="008F64CD" w:rsidRDefault="008F64CD" w:rsidP="00487096">
      <w:pPr>
        <w:pStyle w:val="FootnoteText"/>
      </w:pPr>
      <w:r>
        <w:rPr>
          <w:rStyle w:val="FootnoteReference"/>
        </w:rPr>
        <w:footnoteRef/>
      </w:r>
      <w:r>
        <w:t xml:space="preserve"> 47 U.S.C. § 316.</w:t>
      </w:r>
    </w:p>
  </w:footnote>
  <w:footnote w:id="8">
    <w:p w:rsidR="008F64CD" w:rsidRDefault="008F64CD" w:rsidP="00487096">
      <w:pPr>
        <w:pStyle w:val="FootnoteText"/>
      </w:pPr>
      <w:r>
        <w:rPr>
          <w:rStyle w:val="FootnoteReference"/>
        </w:rPr>
        <w:footnoteRef/>
      </w:r>
      <w:r>
        <w:t xml:space="preserve"> AT&amp;T Sept. 10, 2013 Ex Parte.</w:t>
      </w:r>
    </w:p>
  </w:footnote>
  <w:footnote w:id="9">
    <w:p w:rsidR="008F64CD" w:rsidRPr="005D7567" w:rsidRDefault="008F64CD" w:rsidP="00487096">
      <w:pPr>
        <w:pStyle w:val="FootnoteText"/>
      </w:pPr>
      <w:r w:rsidRPr="005D7567">
        <w:rPr>
          <w:rStyle w:val="FootnoteReference"/>
        </w:rPr>
        <w:footnoteRef/>
      </w:r>
      <w:r w:rsidRPr="005D7567">
        <w:t xml:space="preserve"> The band also includes 4 megahertz of guard band spectrum in the Upper 700 MHz band.  The 34 megahertz of public safety spectrum includes what was formerly the Upper 700 MHz D Block, which was reallocated to public safety use in September 2012 under the Spectrum Act. </w:t>
      </w:r>
      <w:r w:rsidRPr="005D7567">
        <w:rPr>
          <w:i/>
        </w:rPr>
        <w:t xml:space="preserve">See </w:t>
      </w:r>
      <w:r w:rsidRPr="005D7567">
        <w:t xml:space="preserve">Implementing Public Safety Broadband Provisions of the Middle Class Tax Relief and Job Creation Act of 2012, PS Docket No. 12-94, </w:t>
      </w:r>
      <w:r w:rsidRPr="005D7567">
        <w:rPr>
          <w:i/>
        </w:rPr>
        <w:t>Report and Order</w:t>
      </w:r>
      <w:r w:rsidRPr="005D7567">
        <w:t xml:space="preserve">, </w:t>
      </w:r>
      <w:r w:rsidRPr="005D7567">
        <w:rPr>
          <w:kern w:val="28"/>
        </w:rPr>
        <w:t>27 FCC Rcd 10953 (2012)</w:t>
      </w:r>
      <w:r w:rsidRPr="005D7567">
        <w:t xml:space="preserve">; </w:t>
      </w:r>
      <w:r w:rsidRPr="005D7567">
        <w:rPr>
          <w:i/>
        </w:rPr>
        <w:t>see also</w:t>
      </w:r>
      <w:r w:rsidRPr="005D7567">
        <w:t xml:space="preserve"> Middle Class Tax Relief and Job Creation Act of 2012, Pub. L. No. 112-96, § 1411, 126 Stat. 158, 205 (2012), 47 U.S.C. 1411 (Spectrum Act).  </w:t>
      </w:r>
    </w:p>
  </w:footnote>
  <w:footnote w:id="10">
    <w:p w:rsidR="008F64CD" w:rsidRPr="005D7567" w:rsidRDefault="008F64CD" w:rsidP="00487096">
      <w:pPr>
        <w:pStyle w:val="FootnoteText"/>
      </w:pPr>
      <w:r w:rsidRPr="005D7567">
        <w:rPr>
          <w:rStyle w:val="FootnoteReference"/>
        </w:rPr>
        <w:footnoteRef/>
      </w:r>
      <w:r w:rsidRPr="005D7567">
        <w:t xml:space="preserve"> Balanced Budget Act of 1997, Pub. L. No. 105-33, 111 Stat. 251, § 3004 (1997) (Balanced Budget Act of 1997). </w:t>
      </w:r>
    </w:p>
  </w:footnote>
  <w:footnote w:id="11">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47 C.F.R. § 73.622(f)(8).  As discussed elsewhere in this Report and Order, we are considering the incentive auction of broadcast television spectrum, including Channel 51, in a separate proceeding.  </w:t>
      </w:r>
      <w:r w:rsidRPr="005D7567">
        <w:rPr>
          <w:i/>
        </w:rPr>
        <w:t xml:space="preserve">See </w:t>
      </w:r>
      <w:r w:rsidRPr="005D7567">
        <w:t>Expanding the Economic and Innovation Opportunities of Spectrum Through Incentive Auctions,</w:t>
      </w:r>
      <w:r w:rsidRPr="005D7567">
        <w:rPr>
          <w:i/>
        </w:rPr>
        <w:t xml:space="preserve"> </w:t>
      </w:r>
      <w:r w:rsidRPr="005D7567">
        <w:t xml:space="preserve">GN Docket No. 12-268, </w:t>
      </w:r>
      <w:r w:rsidRPr="005D7567">
        <w:rPr>
          <w:i/>
        </w:rPr>
        <w:t>Notice of Proposed Rulemaking</w:t>
      </w:r>
      <w:r w:rsidRPr="005D7567">
        <w:t xml:space="preserve">, </w:t>
      </w:r>
      <w:r>
        <w:t>27 FCC Rcd 12357, 12360-61, ¶ 9, 12415, ¶ 160 (</w:t>
      </w:r>
      <w:r w:rsidRPr="005D7567">
        <w:t>2012) (</w:t>
      </w:r>
      <w:r w:rsidRPr="005D7567">
        <w:rPr>
          <w:i/>
        </w:rPr>
        <w:t>Incentive Auctions NPRM</w:t>
      </w:r>
      <w:r w:rsidRPr="005D7567">
        <w:t>).</w:t>
      </w:r>
    </w:p>
  </w:footnote>
  <w:footnote w:id="12">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47 C.F.R. § 27.50(c)(7).  Lower 700 MHz C, D, and E Block fixed and base stations may operate at total power levels up to 50 kW ERP in their authorized spectrum blocks.  </w:t>
      </w:r>
    </w:p>
  </w:footnote>
  <w:footnote w:id="13">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Lower 700 MHz Band Auction Closes, </w:t>
      </w:r>
      <w:r w:rsidRPr="005D7567">
        <w:rPr>
          <w:i/>
        </w:rPr>
        <w:t>Public Notice</w:t>
      </w:r>
      <w:r w:rsidRPr="005D7567">
        <w:t>, 17 FCC Rcd 17272 (2002).</w:t>
      </w:r>
    </w:p>
  </w:footnote>
  <w:footnote w:id="14">
    <w:p w:rsidR="008F64CD" w:rsidRPr="005D7567" w:rsidRDefault="008F64CD" w:rsidP="00487096">
      <w:pPr>
        <w:pStyle w:val="FootnoteText"/>
        <w:tabs>
          <w:tab w:val="right" w:pos="9360"/>
        </w:tabs>
      </w:pPr>
      <w:r w:rsidRPr="005D7567">
        <w:rPr>
          <w:rStyle w:val="FootnoteReference"/>
        </w:rPr>
        <w:footnoteRef/>
      </w:r>
      <w:r w:rsidRPr="005D7567">
        <w:t xml:space="preserve"> </w:t>
      </w:r>
      <w:r w:rsidRPr="005D7567">
        <w:rPr>
          <w:i/>
        </w:rPr>
        <w:t>See</w:t>
      </w:r>
      <w:r w:rsidRPr="005D7567">
        <w:t xml:space="preserve"> Lower 700 MHz Band Auction Closes, </w:t>
      </w:r>
      <w:r w:rsidRPr="005D7567">
        <w:rPr>
          <w:i/>
        </w:rPr>
        <w:t>Public Notice</w:t>
      </w:r>
      <w:r w:rsidRPr="005D7567">
        <w:t xml:space="preserve">, 18 FCC Rcd 11873 (2003); </w:t>
      </w:r>
      <w:r w:rsidRPr="005D7567">
        <w:rPr>
          <w:i/>
        </w:rPr>
        <w:t xml:space="preserve">See </w:t>
      </w:r>
      <w:r w:rsidRPr="005D7567">
        <w:rPr>
          <w:rStyle w:val="searchterm"/>
        </w:rPr>
        <w:t>Auction</w:t>
      </w:r>
      <w:r w:rsidRPr="005D7567">
        <w:t xml:space="preserve"> of </w:t>
      </w:r>
      <w:r w:rsidRPr="005D7567">
        <w:rPr>
          <w:rStyle w:val="searchterm"/>
        </w:rPr>
        <w:t>Lower</w:t>
      </w:r>
      <w:r w:rsidRPr="005D7567">
        <w:t xml:space="preserve"> </w:t>
      </w:r>
      <w:r w:rsidRPr="005D7567">
        <w:rPr>
          <w:rStyle w:val="searchterm"/>
        </w:rPr>
        <w:t>700</w:t>
      </w:r>
      <w:r w:rsidRPr="005D7567">
        <w:t xml:space="preserve"> </w:t>
      </w:r>
      <w:r w:rsidRPr="005D7567">
        <w:rPr>
          <w:rStyle w:val="searchterm"/>
        </w:rPr>
        <w:t>MHz</w:t>
      </w:r>
      <w:r w:rsidRPr="005D7567">
        <w:t xml:space="preserve"> </w:t>
      </w:r>
      <w:r w:rsidRPr="005D7567">
        <w:rPr>
          <w:rStyle w:val="searchterm"/>
        </w:rPr>
        <w:t>Band</w:t>
      </w:r>
      <w:r w:rsidRPr="005D7567">
        <w:t xml:space="preserve"> </w:t>
      </w:r>
      <w:r w:rsidRPr="005D7567">
        <w:rPr>
          <w:rStyle w:val="searchterm"/>
        </w:rPr>
        <w:t>Licenses</w:t>
      </w:r>
      <w:r w:rsidRPr="005D7567">
        <w:t xml:space="preserve"> </w:t>
      </w:r>
      <w:r w:rsidRPr="005D7567">
        <w:rPr>
          <w:rStyle w:val="searchterm"/>
        </w:rPr>
        <w:t>Closes</w:t>
      </w:r>
      <w:r w:rsidRPr="005D7567">
        <w:t xml:space="preserve">, </w:t>
      </w:r>
      <w:r w:rsidRPr="005D7567">
        <w:rPr>
          <w:i/>
          <w:iCs/>
        </w:rPr>
        <w:t>Public Notice</w:t>
      </w:r>
      <w:r w:rsidRPr="005D7567">
        <w:t>, 20 FCC Rcd 13424 (2005).</w:t>
      </w:r>
    </w:p>
  </w:footnote>
  <w:footnote w:id="15">
    <w:p w:rsidR="008F64CD" w:rsidRPr="005D7567" w:rsidRDefault="008F64CD" w:rsidP="00487096">
      <w:pPr>
        <w:pStyle w:val="FootnoteText"/>
      </w:pPr>
      <w:r w:rsidRPr="005D7567">
        <w:rPr>
          <w:rStyle w:val="FootnoteReference"/>
        </w:rPr>
        <w:footnoteRef/>
      </w:r>
      <w:r w:rsidRPr="005D7567">
        <w:t xml:space="preserve"> Deficit Reduction Act of 2005, Digital Transition and Public Safety Act, Pub. L. 109-171, 120 Stat. 4 (2006).  The DTV Delay Act subsequently extended the deadline for transition to digital television.  See Pub. L. 111-4, 123 Stat. 112 (2009).</w:t>
      </w:r>
    </w:p>
  </w:footnote>
  <w:footnote w:id="16">
    <w:p w:rsidR="008F64CD" w:rsidRPr="005D7567" w:rsidRDefault="008F64CD" w:rsidP="00487096">
      <w:pPr>
        <w:pStyle w:val="FootnoteText"/>
        <w:rPr>
          <w:i/>
        </w:rPr>
      </w:pPr>
      <w:r w:rsidRPr="005D7567">
        <w:rPr>
          <w:rStyle w:val="FootnoteReference"/>
        </w:rPr>
        <w:footnoteRef/>
      </w:r>
      <w:r w:rsidRPr="005D7567">
        <w:t xml:space="preserve"> </w:t>
      </w:r>
      <w:r w:rsidRPr="005D7567">
        <w:rPr>
          <w:i/>
        </w:rPr>
        <w:t>See</w:t>
      </w:r>
      <w:r w:rsidRPr="005D7567">
        <w:t xml:space="preserve"> Auction of 700 MHz Band Licenses Closes, </w:t>
      </w:r>
      <w:r w:rsidRPr="005D7567">
        <w:rPr>
          <w:i/>
        </w:rPr>
        <w:t>Public Notice</w:t>
      </w:r>
      <w:r w:rsidRPr="005D7567">
        <w:t>, 23 FCC Rcd 4572 (2008).</w:t>
      </w:r>
      <w:r>
        <w:t xml:space="preserve">  Auction 73 included licenses for the Lower 700 MHz A, B, and E Blocks</w:t>
      </w:r>
      <w:r w:rsidRPr="00627D8E">
        <w:t xml:space="preserve"> </w:t>
      </w:r>
      <w:r>
        <w:t>and the Upper 700 MHz C and D Blocks.</w:t>
      </w:r>
    </w:p>
  </w:footnote>
  <w:footnote w:id="17">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rsidRPr="005D7567">
        <w:rPr>
          <w:rStyle w:val="searchterm"/>
        </w:rPr>
        <w:t>Auction</w:t>
      </w:r>
      <w:r w:rsidRPr="005D7567">
        <w:t xml:space="preserve"> of </w:t>
      </w:r>
      <w:r w:rsidRPr="005D7567">
        <w:rPr>
          <w:rStyle w:val="searchterm"/>
        </w:rPr>
        <w:t>700</w:t>
      </w:r>
      <w:r w:rsidRPr="005D7567">
        <w:t xml:space="preserve"> </w:t>
      </w:r>
      <w:r w:rsidRPr="005D7567">
        <w:rPr>
          <w:rStyle w:val="searchterm"/>
        </w:rPr>
        <w:t>MHz</w:t>
      </w:r>
      <w:r w:rsidRPr="005D7567">
        <w:t xml:space="preserve"> </w:t>
      </w:r>
      <w:r w:rsidRPr="005D7567">
        <w:rPr>
          <w:rStyle w:val="searchterm"/>
        </w:rPr>
        <w:t>Band</w:t>
      </w:r>
      <w:r w:rsidRPr="005D7567">
        <w:t xml:space="preserve"> </w:t>
      </w:r>
      <w:r w:rsidRPr="005D7567">
        <w:rPr>
          <w:rStyle w:val="searchterm"/>
        </w:rPr>
        <w:t>Licenses</w:t>
      </w:r>
      <w:r w:rsidRPr="005D7567">
        <w:t xml:space="preserve"> </w:t>
      </w:r>
      <w:r w:rsidRPr="005D7567">
        <w:rPr>
          <w:rStyle w:val="searchterm"/>
        </w:rPr>
        <w:t>Closes</w:t>
      </w:r>
      <w:r w:rsidRPr="005D7567">
        <w:t xml:space="preserve">, </w:t>
      </w:r>
      <w:r w:rsidRPr="005D7567">
        <w:rPr>
          <w:i/>
          <w:iCs/>
        </w:rPr>
        <w:t>Public Notice</w:t>
      </w:r>
      <w:r w:rsidRPr="005D7567">
        <w:t>, 26 FCC Rcd 10494 (2011).</w:t>
      </w:r>
    </w:p>
  </w:footnote>
  <w:footnote w:id="18">
    <w:p w:rsidR="008F64CD" w:rsidRPr="005D7567" w:rsidRDefault="008F64CD" w:rsidP="00487096">
      <w:pPr>
        <w:pStyle w:val="FootnoteText"/>
      </w:pPr>
      <w:r w:rsidRPr="005D7567">
        <w:rPr>
          <w:rStyle w:val="FootnoteReference"/>
        </w:rPr>
        <w:footnoteRef/>
      </w:r>
      <w:r w:rsidRPr="005D7567">
        <w:t xml:space="preserve"> </w:t>
      </w:r>
      <w:r w:rsidRPr="005D7567">
        <w:rPr>
          <w:i/>
        </w:rPr>
        <w:t>16</w:t>
      </w:r>
      <w:r w:rsidRPr="005D7567">
        <w:rPr>
          <w:i/>
          <w:vertAlign w:val="superscript"/>
        </w:rPr>
        <w:t>th</w:t>
      </w:r>
      <w:r w:rsidRPr="005D7567">
        <w:rPr>
          <w:i/>
        </w:rPr>
        <w:t xml:space="preserve"> Annual Mobile Wireless Competition Report</w:t>
      </w:r>
      <w:r w:rsidRPr="005D7567">
        <w:t>, 28 FCC Rcd at 3822, ¶</w:t>
      </w:r>
      <w:r>
        <w:t xml:space="preserve"> </w:t>
      </w:r>
      <w:r w:rsidRPr="005D7567">
        <w:t xml:space="preserve">185.  </w:t>
      </w:r>
    </w:p>
  </w:footnote>
  <w:footnote w:id="19">
    <w:p w:rsidR="008F64CD" w:rsidRPr="005D7567" w:rsidRDefault="008F64CD" w:rsidP="00487096">
      <w:pPr>
        <w:pStyle w:val="FootnoteText"/>
      </w:pPr>
      <w:r w:rsidRPr="005D7567">
        <w:rPr>
          <w:rStyle w:val="FootnoteReference"/>
        </w:rPr>
        <w:footnoteRef/>
      </w:r>
      <w:r w:rsidRPr="005D7567">
        <w:t xml:space="preserve"> </w:t>
      </w:r>
      <w:r w:rsidRPr="005D7567">
        <w:rPr>
          <w:i/>
        </w:rPr>
        <w:t>16</w:t>
      </w:r>
      <w:r w:rsidRPr="005D7567">
        <w:rPr>
          <w:i/>
          <w:vertAlign w:val="superscript"/>
        </w:rPr>
        <w:t>th</w:t>
      </w:r>
      <w:r w:rsidRPr="005D7567">
        <w:rPr>
          <w:i/>
        </w:rPr>
        <w:t xml:space="preserve"> Annual Mobile Wireless Competition Report, </w:t>
      </w:r>
      <w:r w:rsidRPr="005D7567">
        <w:t>28 FCC Rcd at 3825</w:t>
      </w:r>
      <w:r>
        <w:t>-26</w:t>
      </w:r>
      <w:r w:rsidRPr="005D7567">
        <w:t>, ¶</w:t>
      </w:r>
      <w:r>
        <w:t xml:space="preserve"> </w:t>
      </w:r>
      <w:r w:rsidRPr="005D7567">
        <w:t>189.</w:t>
      </w:r>
    </w:p>
  </w:footnote>
  <w:footnote w:id="20">
    <w:p w:rsidR="008F64CD" w:rsidRPr="005D7567" w:rsidRDefault="008F64CD" w:rsidP="00487096">
      <w:pPr>
        <w:spacing w:after="120"/>
        <w:rPr>
          <w:kern w:val="0"/>
          <w:sz w:val="20"/>
        </w:rPr>
      </w:pPr>
      <w:r w:rsidRPr="005D7567">
        <w:rPr>
          <w:rStyle w:val="FootnoteReference"/>
        </w:rPr>
        <w:footnoteRef/>
      </w:r>
      <w:r w:rsidRPr="005D7567">
        <w:rPr>
          <w:sz w:val="20"/>
        </w:rPr>
        <w:t xml:space="preserve"> </w:t>
      </w:r>
      <w:r w:rsidRPr="005D7567">
        <w:rPr>
          <w:kern w:val="0"/>
          <w:sz w:val="20"/>
        </w:rPr>
        <w:t>3GPP is not associated with any governmental agency.  Its worldwide partners come from Asia, Europe, and North America.  3GPP’s</w:t>
      </w:r>
      <w:r w:rsidRPr="005D7567">
        <w:rPr>
          <w:sz w:val="20"/>
        </w:rPr>
        <w:t xml:space="preserve"> many technical specification groups meet in various countries throughout the year to carry out the organization’s mission.  </w:t>
      </w:r>
      <w:r w:rsidRPr="005D7567">
        <w:rPr>
          <w:i/>
          <w:kern w:val="0"/>
          <w:sz w:val="20"/>
        </w:rPr>
        <w:t xml:space="preserve">See </w:t>
      </w:r>
      <w:r w:rsidRPr="005D7567">
        <w:rPr>
          <w:smallCaps/>
          <w:kern w:val="0"/>
          <w:sz w:val="20"/>
        </w:rPr>
        <w:t>3GPP – About 3GPP</w:t>
      </w:r>
      <w:r w:rsidRPr="005D7567">
        <w:rPr>
          <w:kern w:val="0"/>
          <w:sz w:val="20"/>
        </w:rPr>
        <w:t>,</w:t>
      </w:r>
      <w:r w:rsidRPr="005D7567">
        <w:rPr>
          <w:smallCaps/>
          <w:kern w:val="0"/>
          <w:sz w:val="20"/>
        </w:rPr>
        <w:t xml:space="preserve"> </w:t>
      </w:r>
      <w:r w:rsidRPr="005D7567">
        <w:rPr>
          <w:kern w:val="0"/>
          <w:sz w:val="20"/>
        </w:rPr>
        <w:t>http://www.3gpp.org/-About-3GPP (last visited Mar. 17, 2013).</w:t>
      </w:r>
    </w:p>
  </w:footnote>
  <w:footnote w:id="21">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27 FCC Rcd at 3525-26,</w:t>
      </w:r>
      <w:r>
        <w:t xml:space="preserve"> </w:t>
      </w:r>
      <w:r w:rsidRPr="005D7567">
        <w:t>¶</w:t>
      </w:r>
      <w:r>
        <w:t xml:space="preserve"> </w:t>
      </w:r>
      <w:r w:rsidRPr="005D7567">
        <w:t>10.</w:t>
      </w:r>
      <w:r w:rsidRPr="005D7567">
        <w:rPr>
          <w:snapToGrid w:val="0"/>
          <w:kern w:val="28"/>
          <w:sz w:val="22"/>
        </w:rPr>
        <w:t xml:space="preserve">  </w:t>
      </w:r>
    </w:p>
  </w:footnote>
  <w:footnote w:id="22">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3GPP TR 25.822, v1.0.0, 3rd Generation Partnership Project; Technical Specification Group TSG RAN; UMTS 700 MHz Work Item Technical Report (Release 8) (dated Nov. 2007)</w:t>
      </w:r>
      <w:r>
        <w:t>, at 14 (Sec. 6.1);Vulcan</w:t>
      </w:r>
      <w:r w:rsidRPr="005D7567">
        <w:t xml:space="preserve"> </w:t>
      </w:r>
      <w:r>
        <w:t xml:space="preserve">Comments at 3; </w:t>
      </w:r>
      <w:r w:rsidRPr="005D7567">
        <w:t>Rural</w:t>
      </w:r>
      <w:r>
        <w:t xml:space="preserve"> Telecommunications Group Comments </w:t>
      </w:r>
      <w:r w:rsidRPr="005D7567">
        <w:t xml:space="preserve">at 2 n.7.  Band Class 12 </w:t>
      </w:r>
      <w:r>
        <w:t xml:space="preserve">was </w:t>
      </w:r>
      <w:r w:rsidRPr="005D7567">
        <w:t>presented to 3GPP in November 2007, but it was ratified in December</w:t>
      </w:r>
      <w:r>
        <w:t xml:space="preserve"> 2010.  </w:t>
      </w:r>
    </w:p>
  </w:footnote>
  <w:footnote w:id="23">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t>Vulcan</w:t>
      </w:r>
      <w:r w:rsidRPr="0002778B">
        <w:t xml:space="preserve"> Comments</w:t>
      </w:r>
      <w:r w:rsidRPr="0002778B">
        <w:rPr>
          <w:i/>
        </w:rPr>
        <w:t xml:space="preserve"> </w:t>
      </w:r>
      <w:r>
        <w:t xml:space="preserve">at 4 n.12.  </w:t>
      </w:r>
      <w:r w:rsidRPr="005D7567">
        <w:rPr>
          <w:i/>
        </w:rPr>
        <w:t xml:space="preserve">See also Interoperability NPRM, </w:t>
      </w:r>
      <w:r w:rsidRPr="005D7567">
        <w:t>27 FCC Rcd at 3525-26, ¶ 10.</w:t>
      </w:r>
    </w:p>
  </w:footnote>
  <w:footnote w:id="24">
    <w:p w:rsidR="008F64CD" w:rsidRPr="005D7567" w:rsidRDefault="008F64CD" w:rsidP="00487096">
      <w:pPr>
        <w:pStyle w:val="FootnoteText"/>
      </w:pPr>
      <w:r w:rsidRPr="005D7567">
        <w:rPr>
          <w:rStyle w:val="FootnoteReference"/>
        </w:rPr>
        <w:footnoteRef/>
      </w:r>
      <w:r>
        <w:t xml:space="preserve"> Motorola Comments </w:t>
      </w:r>
      <w:r w:rsidRPr="005D7567">
        <w:t>at 2.</w:t>
      </w:r>
    </w:p>
  </w:footnote>
  <w:footnote w:id="25">
    <w:p w:rsidR="008F64CD" w:rsidRPr="005D7567" w:rsidRDefault="008F64CD" w:rsidP="00487096">
      <w:pPr>
        <w:pStyle w:val="FootnoteText"/>
      </w:pPr>
      <w:r w:rsidRPr="005D7567">
        <w:rPr>
          <w:rStyle w:val="FootnoteReference"/>
        </w:rPr>
        <w:footnoteRef/>
      </w:r>
      <w:r>
        <w:t xml:space="preserve"> AT&amp;T Comments, </w:t>
      </w:r>
      <w:r w:rsidRPr="005D7567">
        <w:t>Wolter Declaration ¶</w:t>
      </w:r>
      <w:r>
        <w:t xml:space="preserve"> 13; </w:t>
      </w:r>
      <w:r w:rsidRPr="005D7567">
        <w:t>Rural</w:t>
      </w:r>
      <w:r>
        <w:t xml:space="preserve"> Telecommunications Group Comments </w:t>
      </w:r>
      <w:r w:rsidRPr="005D7567">
        <w:t xml:space="preserve">at 2 n.7.  </w:t>
      </w:r>
      <w:r w:rsidRPr="005D7567">
        <w:rPr>
          <w:i/>
        </w:rPr>
        <w:t>Cf.</w:t>
      </w:r>
      <w:r>
        <w:t xml:space="preserve"> </w:t>
      </w:r>
      <w:r w:rsidRPr="005D7567">
        <w:t xml:space="preserve">Vulcan </w:t>
      </w:r>
      <w:r>
        <w:t xml:space="preserve">Reply Comments </w:t>
      </w:r>
      <w:r w:rsidRPr="005D7567">
        <w:t>at 37 (Band 17 first proposed in May 2008 and approved in August 2008).</w:t>
      </w:r>
    </w:p>
  </w:footnote>
  <w:footnote w:id="26">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w:t>
      </w:r>
      <w:r w:rsidRPr="005D7567">
        <w:rPr>
          <w:snapToGrid w:val="0"/>
        </w:rPr>
        <w:t>700 MHz Block A Good Faith Purchaser Alliance Petition for Rulemaking Regarding the Need for 700 MHz Mobile Equipment to be Capable of Operating on All Paired Commercial 700 MHz Frequency Blocks, filed Sept. 29, 2009 (Petition).</w:t>
      </w:r>
    </w:p>
  </w:footnote>
  <w:footnote w:id="27">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xml:space="preserve">, 27 FCC Rcd at 3535-36, ¶ 30.  The technical analysis in the </w:t>
      </w:r>
      <w:r w:rsidRPr="005D7567">
        <w:rPr>
          <w:i/>
        </w:rPr>
        <w:t>Interoperability NPRM</w:t>
      </w:r>
      <w:r w:rsidRPr="005D7567">
        <w:t xml:space="preserve"> focused on two primary issues, reverse intermodulation interference from adjacent DTV Channel 51 operations, and blocking interference from neighboring high-powered operations in Lower 700 MHz E Block.  </w:t>
      </w:r>
      <w:r w:rsidRPr="005D7567">
        <w:rPr>
          <w:i/>
        </w:rPr>
        <w:t xml:space="preserve">See id. </w:t>
      </w:r>
      <w:r w:rsidRPr="005D7567">
        <w:t xml:space="preserve">at 3536-37, ¶ 32.  The Commission received 36 comments and 17 reply comments in response to the </w:t>
      </w:r>
      <w:r w:rsidRPr="005D7567">
        <w:rPr>
          <w:i/>
        </w:rPr>
        <w:t>Interoperability NPRM</w:t>
      </w:r>
      <w:r w:rsidRPr="005D7567">
        <w:t xml:space="preserve">.  A list of these commenters and reply commenters is set forth in </w:t>
      </w:r>
      <w:r w:rsidRPr="008D2FDF">
        <w:t>Appendix C</w:t>
      </w:r>
      <w:r>
        <w:t xml:space="preserve"> </w:t>
      </w:r>
      <w:r w:rsidRPr="005D7567">
        <w:t>to this Report and Order</w:t>
      </w:r>
      <w:r>
        <w:t xml:space="preserve"> and Order of Proposed Modification</w:t>
      </w:r>
      <w:r w:rsidRPr="005D7567">
        <w:t>.</w:t>
      </w:r>
    </w:p>
  </w:footnote>
  <w:footnote w:id="28">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xml:space="preserve">, 27 FCC Rcd at 3525-26, ¶ 10. </w:t>
      </w:r>
      <w:r>
        <w:t xml:space="preserve">We define “harmful interference” in accordance with established Commission rules.  </w:t>
      </w:r>
      <w:r>
        <w:rPr>
          <w:i/>
        </w:rPr>
        <w:t xml:space="preserve">See </w:t>
      </w:r>
      <w:r>
        <w:t>47 C.F.R. § 15.3(m).</w:t>
      </w:r>
      <w:r w:rsidRPr="005D7567">
        <w:t xml:space="preserve">  As</w:t>
      </w:r>
      <w:r>
        <w:t xml:space="preserve"> we discuss below in Sec.III.B.1. </w:t>
      </w:r>
      <w:r w:rsidRPr="005D7567">
        <w:t>with respect to DTV transmissions from Channel 51, an issue concerning reverse intermodulation interference can arise where there is a “mix” or interaction of Channel 51 transmissions an</w:t>
      </w:r>
      <w:r>
        <w:t xml:space="preserve">d transmissions from a wireless </w:t>
      </w:r>
      <w:r w:rsidRPr="005D7567">
        <w:t xml:space="preserve">device in Lower 700 MHz B and C Blocks.  The issue is whether, and the degree to which, the resulting third transmission, or intermodulation product, can occur on frequencies used by the wireless device to receive transmissions.  The risk of reverse intermodulation interference to Lower 700 MHz B and C Block licensees because of the existence of Channel 51 operations is separate and distinct from the limitations placed on Lower 700 MHz A Block licensees to protect Channel 51 operations from adjacent channel interference from Lower 700 MHz A Block operations.  </w:t>
      </w:r>
      <w:r w:rsidRPr="005D7567">
        <w:rPr>
          <w:i/>
        </w:rPr>
        <w:t xml:space="preserve">See </w:t>
      </w:r>
      <w:r w:rsidRPr="005D7567">
        <w:t>47 C.F.R. § 27.60(a)(2).</w:t>
      </w:r>
    </w:p>
  </w:footnote>
  <w:footnote w:id="29">
    <w:p w:rsidR="008F64CD" w:rsidRDefault="008F64CD" w:rsidP="00487096">
      <w:pPr>
        <w:pStyle w:val="FootnoteText"/>
      </w:pPr>
      <w:r>
        <w:rPr>
          <w:rStyle w:val="FootnoteReference"/>
        </w:rPr>
        <w:footnoteRef/>
      </w:r>
      <w:r>
        <w:t xml:space="preserve"> AT&amp;T Sept. 10, 2013 Ex Parte. </w:t>
      </w:r>
    </w:p>
  </w:footnote>
  <w:footnote w:id="30">
    <w:p w:rsidR="008F64CD" w:rsidRDefault="008F64CD" w:rsidP="00487096">
      <w:pPr>
        <w:pStyle w:val="FootnoteText"/>
      </w:pPr>
      <w:r>
        <w:rPr>
          <w:rStyle w:val="FootnoteReference"/>
        </w:rPr>
        <w:footnoteRef/>
      </w:r>
      <w:r>
        <w:t xml:space="preserve"> DISH Network Sept. 10, 2013 Ex Parte.</w:t>
      </w:r>
    </w:p>
  </w:footnote>
  <w:footnote w:id="31">
    <w:p w:rsidR="008F64CD" w:rsidRDefault="008F64CD" w:rsidP="00487096">
      <w:pPr>
        <w:pStyle w:val="FootnoteText"/>
      </w:pPr>
      <w:r>
        <w:rPr>
          <w:rStyle w:val="FootnoteReference"/>
        </w:rPr>
        <w:footnoteRef/>
      </w:r>
      <w:r>
        <w:t xml:space="preserve"> Coalition Sept. 10, 2013 Ex Parte.</w:t>
      </w:r>
    </w:p>
  </w:footnote>
  <w:footnote w:id="32">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47 C.F.R. §27.60.</w:t>
      </w:r>
    </w:p>
  </w:footnote>
  <w:footnote w:id="33">
    <w:p w:rsidR="008F64CD" w:rsidRPr="005D7567" w:rsidRDefault="008F64CD" w:rsidP="00487096">
      <w:pPr>
        <w:pStyle w:val="FootnoteText"/>
      </w:pPr>
      <w:r w:rsidRPr="005D7567">
        <w:rPr>
          <w:rStyle w:val="FootnoteReference"/>
        </w:rPr>
        <w:footnoteRef/>
      </w:r>
      <w:r>
        <w:t>W</w:t>
      </w:r>
      <w:r w:rsidRPr="005D7567">
        <w:t xml:space="preserve">e designate as “rural” the population of Census blocks where the associated county has a population of 100 persons or less per square mile.  Likewise, we estimate “rural” area (in square miles) by designating as rural the area within counties that have a population of 100 persons or less per square mile. </w:t>
      </w:r>
    </w:p>
  </w:footnote>
  <w:footnote w:id="34">
    <w:p w:rsidR="008F64CD" w:rsidRDefault="008F64CD" w:rsidP="00487096">
      <w:pPr>
        <w:pStyle w:val="FootnoteText"/>
      </w:pPr>
      <w:r>
        <w:rPr>
          <w:rStyle w:val="FootnoteReference"/>
        </w:rPr>
        <w:footnoteRef/>
      </w:r>
      <w:r>
        <w:t xml:space="preserve"> </w:t>
      </w:r>
      <w:r w:rsidRPr="00A44686">
        <w:rPr>
          <w:i/>
        </w:rPr>
        <w:t>See</w:t>
      </w:r>
      <w:r>
        <w:t xml:space="preserve"> AT&amp;T Sept. 10, 2013 Ex Parte; DISH Network Sept. 10, 2013 Ex Parte; and Coalition Sept. 10, 2013 Ex Parte.</w:t>
      </w:r>
    </w:p>
  </w:footnote>
  <w:footnote w:id="35">
    <w:p w:rsidR="008F64CD" w:rsidRDefault="008F64CD" w:rsidP="00487096">
      <w:pPr>
        <w:pStyle w:val="FootnoteText"/>
      </w:pPr>
      <w:r>
        <w:rPr>
          <w:rStyle w:val="FootnoteReference"/>
        </w:rPr>
        <w:footnoteRef/>
      </w:r>
      <w:r>
        <w:t xml:space="preserve"> </w:t>
      </w:r>
      <w:r w:rsidRPr="00323B5C">
        <w:rPr>
          <w:i/>
        </w:rPr>
        <w:t xml:space="preserve">See </w:t>
      </w:r>
      <w:r>
        <w:t>AT&amp;T Sept. 10, 2013 Ex Parte.</w:t>
      </w:r>
    </w:p>
  </w:footnote>
  <w:footnote w:id="36">
    <w:p w:rsidR="008F64CD" w:rsidRPr="005D7567" w:rsidRDefault="008F64CD" w:rsidP="00487096">
      <w:pPr>
        <w:pStyle w:val="FootnoteText"/>
      </w:pPr>
      <w:r w:rsidRPr="005D7567">
        <w:rPr>
          <w:rStyle w:val="FootnoteReference"/>
        </w:rPr>
        <w:footnoteRef/>
      </w:r>
      <w:r w:rsidRPr="005D7567">
        <w:t xml:space="preserve"> 47 C.F.R. § 27.50(c)(7).  </w:t>
      </w:r>
    </w:p>
  </w:footnote>
  <w:footnote w:id="37">
    <w:p w:rsidR="008F64CD" w:rsidRPr="005D7567" w:rsidRDefault="008F64CD" w:rsidP="00487096">
      <w:pPr>
        <w:pStyle w:val="FootnoteText"/>
      </w:pPr>
      <w:r w:rsidRPr="005D7567">
        <w:rPr>
          <w:rStyle w:val="FootnoteReference"/>
        </w:rPr>
        <w:footnoteRef/>
      </w:r>
      <w:r w:rsidRPr="005D7567">
        <w:t xml:space="preserve"> </w:t>
      </w:r>
      <w:r w:rsidRPr="005D7567">
        <w:rPr>
          <w:i/>
        </w:rPr>
        <w:t>Id</w:t>
      </w:r>
      <w:r w:rsidRPr="005D7567">
        <w:t xml:space="preserve">.; </w:t>
      </w:r>
      <w:r w:rsidRPr="005D7567">
        <w:rPr>
          <w:i/>
        </w:rPr>
        <w:t>see also</w:t>
      </w:r>
      <w:r w:rsidRPr="005D7567">
        <w:t xml:space="preserve"> 47 C.F.R. § 27.55(b).</w:t>
      </w:r>
    </w:p>
  </w:footnote>
  <w:footnote w:id="38">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47 C.F.R. § 27.50(c)(3), (4).  Antenna height may increase if power level is reduced.  </w:t>
      </w:r>
      <w:r w:rsidRPr="005D7567">
        <w:rPr>
          <w:i/>
        </w:rPr>
        <w:t>See id</w:t>
      </w:r>
      <w:r w:rsidRPr="005D7567">
        <w:t xml:space="preserve">.  </w:t>
      </w:r>
    </w:p>
  </w:footnote>
  <w:footnote w:id="39">
    <w:p w:rsidR="008F64CD" w:rsidRPr="005D7567" w:rsidRDefault="008F64CD" w:rsidP="00487096">
      <w:pPr>
        <w:pStyle w:val="FootnoteText"/>
      </w:pPr>
      <w:r w:rsidRPr="005D7567">
        <w:rPr>
          <w:rStyle w:val="FootnoteReference"/>
        </w:rPr>
        <w:footnoteRef/>
      </w:r>
      <w:r w:rsidRPr="005D7567">
        <w:t xml:space="preserve"> </w:t>
      </w:r>
      <w:r>
        <w:t xml:space="preserve">Application of AT&amp;T Inc. and Qualcomm Incorporated for Consent to Assign Licenses and Authorizations, WT Docket 11-18, FCC 11-188, </w:t>
      </w:r>
      <w:r>
        <w:rPr>
          <w:i/>
        </w:rPr>
        <w:t>Order</w:t>
      </w:r>
      <w:r>
        <w:t xml:space="preserve">, 26 FCC Rcd 17589, 17616-17, </w:t>
      </w:r>
      <w:r w:rsidRPr="005D7567">
        <w:rPr>
          <w:bCs/>
          <w:color w:val="000000"/>
        </w:rPr>
        <w:t>¶¶ 61-67</w:t>
      </w:r>
      <w:r>
        <w:t xml:space="preserve"> (2011) (</w:t>
      </w:r>
      <w:r w:rsidRPr="005D7567">
        <w:rPr>
          <w:i/>
        </w:rPr>
        <w:t>AT&amp;T-Qualcomm Order</w:t>
      </w:r>
      <w:r>
        <w:t>)</w:t>
      </w:r>
      <w:r w:rsidRPr="005D7567">
        <w:rPr>
          <w:bCs/>
          <w:color w:val="000000"/>
        </w:rPr>
        <w:t>.</w:t>
      </w:r>
    </w:p>
  </w:footnote>
  <w:footnote w:id="40">
    <w:p w:rsidR="008F64CD" w:rsidRPr="005D7567" w:rsidRDefault="008F64CD" w:rsidP="00487096">
      <w:pPr>
        <w:pStyle w:val="FootnoteText"/>
      </w:pPr>
      <w:r w:rsidRPr="005D7567">
        <w:rPr>
          <w:rStyle w:val="FootnoteReference"/>
        </w:rPr>
        <w:footnoteRef/>
      </w:r>
      <w:r w:rsidRPr="005D7567">
        <w:t xml:space="preserve"> </w:t>
      </w:r>
      <w:r w:rsidRPr="005D7567">
        <w:rPr>
          <w:i/>
        </w:rPr>
        <w:t>AT&amp;T-Qualcomm Order</w:t>
      </w:r>
      <w:r w:rsidRPr="005D7567">
        <w:t>, 26 FCC Rcd at 17616-17, ¶¶ 61-67.</w:t>
      </w:r>
    </w:p>
  </w:footnote>
  <w:footnote w:id="41">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Sections 6.2.2, 6.6.2, and 6.6.2.2.3 of 3GPP TS 36.101 V9.9.0 (2011-09).  The class 3 devices (UE) maximum transmit power is 23dBm for all bands with ±2dB tolerance, and Table 6.6.2.2.3-1 specifies the spectrum emission limits for available channel bandwidths.</w:t>
      </w:r>
    </w:p>
  </w:footnote>
  <w:footnote w:id="42">
    <w:p w:rsidR="008F64CD" w:rsidRPr="005D7567" w:rsidRDefault="008F64CD" w:rsidP="00487096">
      <w:pPr>
        <w:pStyle w:val="FootnoteText"/>
      </w:pPr>
      <w:r w:rsidRPr="005D7567">
        <w:rPr>
          <w:rStyle w:val="FootnoteReference"/>
        </w:rPr>
        <w:footnoteRef/>
      </w:r>
      <w:r w:rsidRPr="005D7567">
        <w:t xml:space="preserve"> Receiver blocking requirements address a receiver’s ability to receive at least 95% of the maximum throughput at its assigned channel in the presence of an unwanted interfering signal falling into the device receive band or into the first adjacent 15 megahertz.  </w:t>
      </w:r>
      <w:r w:rsidRPr="005D7567">
        <w:rPr>
          <w:i/>
        </w:rPr>
        <w:t>See</w:t>
      </w:r>
      <w:r w:rsidRPr="005D7567">
        <w:t xml:space="preserve"> Table 7.6.1.1-2, Section 7.6.1 of 3GPP TS 36.104 V9.9.0 (2011-09). </w:t>
      </w:r>
    </w:p>
  </w:footnote>
  <w:footnote w:id="43">
    <w:p w:rsidR="008F64CD" w:rsidRPr="009A602D" w:rsidRDefault="008F64CD" w:rsidP="00487096">
      <w:pPr>
        <w:pStyle w:val="FootnoteText"/>
      </w:pPr>
      <w:r w:rsidRPr="005D7567">
        <w:rPr>
          <w:rStyle w:val="FootnoteReference"/>
        </w:rPr>
        <w:footnoteRef/>
      </w:r>
      <w:r w:rsidRPr="005D7567">
        <w:t xml:space="preserve"> The 3GPP standard specifies blocking requirements of -56 dBm and -30 dBm (maximum received signal strength from the Lower 700 MHz E Block transmissions for LTE operations in the Lower 700 MHz B Block) for Band Class 12 and Band C</w:t>
      </w:r>
      <w:r>
        <w:t xml:space="preserve">lass 17 devices, respectively. </w:t>
      </w:r>
      <w:r>
        <w:rPr>
          <w:i/>
        </w:rPr>
        <w:t>Id.</w:t>
      </w:r>
    </w:p>
  </w:footnote>
  <w:footnote w:id="44">
    <w:p w:rsidR="008F64CD" w:rsidRDefault="008F64CD" w:rsidP="00487096">
      <w:pPr>
        <w:pStyle w:val="FootnoteText"/>
      </w:pPr>
      <w:r>
        <w:rPr>
          <w:rStyle w:val="FootnoteReference"/>
        </w:rPr>
        <w:footnoteRef/>
      </w:r>
      <w:r>
        <w:t xml:space="preserve"> </w:t>
      </w:r>
      <w:r w:rsidRPr="005E4DF3">
        <w:rPr>
          <w:i/>
        </w:rPr>
        <w:t>Interoperability NPRM</w:t>
      </w:r>
      <w:r w:rsidRPr="005E4DF3">
        <w:t>, 27 FCC Rcd at 35</w:t>
      </w:r>
      <w:r>
        <w:t>40,</w:t>
      </w:r>
      <w:r w:rsidRPr="005E4DF3">
        <w:t xml:space="preserve"> ¶ 4</w:t>
      </w:r>
      <w:r>
        <w:t>2</w:t>
      </w:r>
      <w:r w:rsidRPr="005E4DF3">
        <w:t>.</w:t>
      </w:r>
    </w:p>
  </w:footnote>
  <w:footnote w:id="45">
    <w:p w:rsidR="008F64CD" w:rsidRDefault="008F64CD" w:rsidP="00487096">
      <w:pPr>
        <w:pStyle w:val="FootnoteText"/>
      </w:pPr>
      <w:r>
        <w:rPr>
          <w:rStyle w:val="FootnoteReference"/>
        </w:rPr>
        <w:footnoteRef/>
      </w:r>
      <w:r>
        <w:t xml:space="preserve"> </w:t>
      </w:r>
      <w:r w:rsidRPr="005D7567">
        <w:rPr>
          <w:i/>
        </w:rPr>
        <w:t>Interoperability NPRM</w:t>
      </w:r>
      <w:r w:rsidRPr="005D7567">
        <w:t>, 27 FCC Rcd at 35</w:t>
      </w:r>
      <w:r>
        <w:t>41,</w:t>
      </w:r>
      <w:r w:rsidRPr="005D7567">
        <w:t xml:space="preserve"> ¶ 4</w:t>
      </w:r>
      <w:r>
        <w:t>3</w:t>
      </w:r>
      <w:r w:rsidRPr="005D7567">
        <w:t>.</w:t>
      </w:r>
    </w:p>
  </w:footnote>
  <w:footnote w:id="46">
    <w:p w:rsidR="008F64CD" w:rsidRDefault="008F64CD" w:rsidP="00487096">
      <w:pPr>
        <w:pStyle w:val="FootnoteText"/>
      </w:pPr>
      <w:r>
        <w:rPr>
          <w:rStyle w:val="FootnoteReference"/>
        </w:rPr>
        <w:footnoteRef/>
      </w:r>
      <w:r>
        <w:t xml:space="preserve"> </w:t>
      </w:r>
      <w:r w:rsidRPr="005D7567">
        <w:rPr>
          <w:i/>
        </w:rPr>
        <w:t>I</w:t>
      </w:r>
      <w:r>
        <w:rPr>
          <w:i/>
        </w:rPr>
        <w:t>d</w:t>
      </w:r>
      <w:r w:rsidRPr="005D7567">
        <w:t>.</w:t>
      </w:r>
    </w:p>
  </w:footnote>
  <w:footnote w:id="47">
    <w:p w:rsidR="008F64CD" w:rsidRDefault="008F64CD" w:rsidP="00487096">
      <w:pPr>
        <w:pStyle w:val="FootnoteText"/>
      </w:pPr>
      <w:r>
        <w:rPr>
          <w:rStyle w:val="FootnoteReference"/>
        </w:rPr>
        <w:footnoteRef/>
      </w:r>
      <w:r>
        <w:t xml:space="preserve"> </w:t>
      </w:r>
      <w:r w:rsidRPr="005D7567">
        <w:rPr>
          <w:i/>
        </w:rPr>
        <w:t>I</w:t>
      </w:r>
      <w:r>
        <w:rPr>
          <w:i/>
        </w:rPr>
        <w:t>d</w:t>
      </w:r>
      <w:r w:rsidRPr="005D7567">
        <w:t>.</w:t>
      </w:r>
    </w:p>
  </w:footnote>
  <w:footnote w:id="48">
    <w:p w:rsidR="008F64CD" w:rsidRDefault="008F64CD" w:rsidP="00487096">
      <w:pPr>
        <w:pStyle w:val="FootnoteText"/>
      </w:pPr>
      <w:r>
        <w:rPr>
          <w:rStyle w:val="FootnoteReference"/>
        </w:rPr>
        <w:footnoteRef/>
      </w:r>
      <w:r>
        <w:t xml:space="preserve"> </w:t>
      </w:r>
      <w:r w:rsidRPr="008F614F">
        <w:rPr>
          <w:i/>
        </w:rPr>
        <w:t>See</w:t>
      </w:r>
      <w:r>
        <w:t xml:space="preserve"> AT&amp;T Sept. 10, 2013 Ex Parte; DISH Network Sept. 10, 2013 Ex Parte.</w:t>
      </w:r>
    </w:p>
  </w:footnote>
  <w:footnote w:id="49">
    <w:p w:rsidR="008F64CD" w:rsidRDefault="008F64CD" w:rsidP="00487096">
      <w:pPr>
        <w:pStyle w:val="FootnoteText"/>
      </w:pPr>
      <w:r>
        <w:rPr>
          <w:rStyle w:val="FootnoteReference"/>
        </w:rPr>
        <w:footnoteRef/>
      </w:r>
      <w:r>
        <w:t xml:space="preserve"> </w:t>
      </w:r>
      <w:r w:rsidRPr="00C722AA">
        <w:t xml:space="preserve">DISH Network Sept. 10, 2013 Ex Parte at </w:t>
      </w:r>
      <w:r>
        <w:t>1-</w:t>
      </w:r>
      <w:r w:rsidRPr="00C722AA">
        <w:t>2</w:t>
      </w:r>
      <w:r>
        <w:t>.</w:t>
      </w:r>
    </w:p>
  </w:footnote>
  <w:footnote w:id="50">
    <w:p w:rsidR="008F64CD" w:rsidRPr="00F74E6F" w:rsidRDefault="008F64CD" w:rsidP="00487096">
      <w:pPr>
        <w:pStyle w:val="FootnoteText"/>
        <w:rPr>
          <w:i/>
        </w:rPr>
      </w:pPr>
      <w:r>
        <w:rPr>
          <w:rStyle w:val="FootnoteReference"/>
        </w:rPr>
        <w:footnoteRef/>
      </w:r>
      <w:r>
        <w:t xml:space="preserve"> DISH Network Sept. 10, 2013 Ex Parte at 2.  DISH also states that it “is willing to consent to a reduction of power if the Commission takes similar concrete steps to: (i) make corresponding changes to the E Block licensee obligations and rights to coincide with the dramatic change in operating characteristics; and (ii) unlock the more efficient use of spectrum in the AWS-4 band, the H Block, and the proposed AWS-3 bands.</w:t>
      </w:r>
      <w:r w:rsidRPr="00C722AA">
        <w:t>”</w:t>
      </w:r>
      <w:r>
        <w:t xml:space="preserve">  </w:t>
      </w:r>
      <w:r>
        <w:rPr>
          <w:i/>
        </w:rPr>
        <w:t>Id.</w:t>
      </w:r>
    </w:p>
  </w:footnote>
  <w:footnote w:id="51">
    <w:p w:rsidR="008F64CD" w:rsidRDefault="008F64CD" w:rsidP="00487096">
      <w:pPr>
        <w:pStyle w:val="FootnoteText"/>
      </w:pPr>
      <w:r>
        <w:rPr>
          <w:rStyle w:val="FootnoteReference"/>
        </w:rPr>
        <w:footnoteRef/>
      </w:r>
      <w:r>
        <w:t>DISH Network Sept. 10, 2013 Ex Parte at 2.</w:t>
      </w:r>
    </w:p>
  </w:footnote>
  <w:footnote w:id="52">
    <w:p w:rsidR="008F64CD" w:rsidRDefault="008F64CD" w:rsidP="00487096">
      <w:pPr>
        <w:pStyle w:val="FootnoteText"/>
      </w:pPr>
      <w:r>
        <w:rPr>
          <w:rStyle w:val="FootnoteReference"/>
        </w:rPr>
        <w:footnoteRef/>
      </w:r>
      <w:r>
        <w:t xml:space="preserve"> DISH Network Sept. 10, 2013 Ex Parte at 3.</w:t>
      </w:r>
    </w:p>
  </w:footnote>
  <w:footnote w:id="53">
    <w:p w:rsidR="008F64CD" w:rsidRDefault="008F64CD" w:rsidP="00487096">
      <w:pPr>
        <w:pStyle w:val="FootnoteText"/>
      </w:pPr>
      <w:r>
        <w:rPr>
          <w:rStyle w:val="FootnoteReference"/>
        </w:rPr>
        <w:footnoteRef/>
      </w:r>
      <w:r>
        <w:t xml:space="preserve"> </w:t>
      </w:r>
      <w:r>
        <w:rPr>
          <w:i/>
        </w:rPr>
        <w:t>Id</w:t>
      </w:r>
      <w:r>
        <w:t>.</w:t>
      </w:r>
    </w:p>
  </w:footnote>
  <w:footnote w:id="54">
    <w:p w:rsidR="008F64CD" w:rsidRDefault="008F64CD" w:rsidP="00487096">
      <w:pPr>
        <w:pStyle w:val="FootnoteText"/>
      </w:pPr>
      <w:r>
        <w:rPr>
          <w:rStyle w:val="FootnoteReference"/>
        </w:rPr>
        <w:footnoteRef/>
      </w:r>
      <w:r>
        <w:t xml:space="preserve"> </w:t>
      </w:r>
      <w:r w:rsidRPr="002B5626">
        <w:rPr>
          <w:i/>
        </w:rPr>
        <w:t>Id</w:t>
      </w:r>
      <w:r>
        <w:t>.</w:t>
      </w:r>
    </w:p>
  </w:footnote>
  <w:footnote w:id="55">
    <w:p w:rsidR="008F64CD" w:rsidRDefault="008F64CD" w:rsidP="00487096">
      <w:pPr>
        <w:pStyle w:val="FootnoteText"/>
      </w:pPr>
      <w:r>
        <w:rPr>
          <w:rStyle w:val="FootnoteReference"/>
        </w:rPr>
        <w:footnoteRef/>
      </w:r>
      <w:r>
        <w:t xml:space="preserve"> AT&amp;T Sept. 10, 2013 Ex Parte at 6.</w:t>
      </w:r>
    </w:p>
  </w:footnote>
  <w:footnote w:id="56">
    <w:p w:rsidR="008F64CD" w:rsidRDefault="008F64CD" w:rsidP="00487096">
      <w:pPr>
        <w:pStyle w:val="FootnoteText"/>
      </w:pPr>
      <w:r>
        <w:rPr>
          <w:rStyle w:val="FootnoteReference"/>
        </w:rPr>
        <w:footnoteRef/>
      </w:r>
      <w:r>
        <w:t xml:space="preserve"> </w:t>
      </w:r>
      <w:r>
        <w:rPr>
          <w:i/>
        </w:rPr>
        <w:t xml:space="preserve">See </w:t>
      </w:r>
      <w:r w:rsidRPr="005D7567">
        <w:rPr>
          <w:i/>
        </w:rPr>
        <w:t>AT&amp;T-Qualcomm Order</w:t>
      </w:r>
      <w:r w:rsidRPr="005D7567">
        <w:t>, 26 FCC Rcd at 17616-17, ¶¶ 61-67.</w:t>
      </w:r>
    </w:p>
  </w:footnote>
  <w:footnote w:id="57">
    <w:p w:rsidR="008F64CD" w:rsidRDefault="008F64CD" w:rsidP="00487096">
      <w:pPr>
        <w:pStyle w:val="FootnoteText"/>
      </w:pPr>
      <w:r>
        <w:rPr>
          <w:rStyle w:val="FootnoteReference"/>
        </w:rPr>
        <w:footnoteRef/>
      </w:r>
      <w:r>
        <w:t xml:space="preserve"> </w:t>
      </w:r>
      <w:r w:rsidRPr="00E11393">
        <w:t>DISH’s current deployment plans and its agreement to these technical rule changes provide further supp</w:t>
      </w:r>
      <w:r>
        <w:t xml:space="preserve">ort for such changes.  </w:t>
      </w:r>
    </w:p>
  </w:footnote>
  <w:footnote w:id="58">
    <w:p w:rsidR="008F64CD" w:rsidRDefault="008F64CD" w:rsidP="00487096">
      <w:pPr>
        <w:pStyle w:val="FootnoteText"/>
      </w:pPr>
      <w:r>
        <w:rPr>
          <w:rStyle w:val="FootnoteReference"/>
        </w:rPr>
        <w:footnoteRef/>
      </w:r>
      <w:r>
        <w:t xml:space="preserve"> Except pursuant to consent or waiver as described below, t</w:t>
      </w:r>
      <w:r w:rsidRPr="0062208C">
        <w:t xml:space="preserve">he specific revisions to the Commission’s rules adopted in this Report and Order that modify the applicable power limits and the antenna height restrictions applicable to </w:t>
      </w:r>
      <w:r>
        <w:t>Lower 700 MHz D and E B</w:t>
      </w:r>
      <w:r w:rsidRPr="0062208C">
        <w:t>lock licenses are consistent with the current rules applicabl</w:t>
      </w:r>
      <w:r>
        <w:t>e to the Lower 700 MHz A and B B</w:t>
      </w:r>
      <w:r w:rsidRPr="0062208C">
        <w:t xml:space="preserve">lock licenses and with conditions adopted in the </w:t>
      </w:r>
      <w:r w:rsidRPr="0062208C">
        <w:rPr>
          <w:i/>
        </w:rPr>
        <w:t>AT&amp;T-Qualcomm Order</w:t>
      </w:r>
      <w:r w:rsidRPr="0062208C">
        <w:t xml:space="preserve"> that were pla</w:t>
      </w:r>
      <w:r>
        <w:t>ced on all the Lower 700 MHz D B</w:t>
      </w:r>
      <w:r w:rsidRPr="0062208C">
        <w:t xml:space="preserve">lock licenses and those E Block licenses that are held by AT&amp;T. </w:t>
      </w:r>
      <w:r>
        <w:t xml:space="preserve"> </w:t>
      </w:r>
      <w:r>
        <w:rPr>
          <w:i/>
        </w:rPr>
        <w:t xml:space="preserve">See also </w:t>
      </w:r>
      <w:r>
        <w:t>4</w:t>
      </w:r>
      <w:r w:rsidRPr="001E32A2">
        <w:t xml:space="preserve">7 C.F.R </w:t>
      </w:r>
      <w:r>
        <w:t xml:space="preserve">§ </w:t>
      </w:r>
      <w:r w:rsidRPr="001E32A2">
        <w:t>27.</w:t>
      </w:r>
      <w:r w:rsidRPr="00012E68">
        <w:t>50</w:t>
      </w:r>
      <w:r w:rsidRPr="001E32A2">
        <w:t xml:space="preserve"> </w:t>
      </w:r>
      <w:r>
        <w:t xml:space="preserve">(Tables 1, 2, </w:t>
      </w:r>
      <w:r w:rsidRPr="00B62B5E">
        <w:t xml:space="preserve">3, </w:t>
      </w:r>
      <w:r>
        <w:t xml:space="preserve">and 4).  For the reasons set forth in this Report and Order, our revised rules will apply to all D and E Block licensees, including AT&amp;T, and operate to supersede the conditions adopted in the </w:t>
      </w:r>
      <w:r w:rsidRPr="0051128C">
        <w:rPr>
          <w:i/>
        </w:rPr>
        <w:t>AT&amp;T Qualcomm Order</w:t>
      </w:r>
      <w:r>
        <w:t xml:space="preserve"> applicable to AT&amp;T’s D and E Block operations.  The revised rules will supersede the conditions adopted in the </w:t>
      </w:r>
      <w:r w:rsidRPr="00D965BF">
        <w:rPr>
          <w:i/>
        </w:rPr>
        <w:t>AT&amp;T Qualcomm Order</w:t>
      </w:r>
      <w:r>
        <w:t xml:space="preserve"> only after they become final and unappealable.</w:t>
      </w:r>
    </w:p>
  </w:footnote>
  <w:footnote w:id="59">
    <w:p w:rsidR="008F64CD" w:rsidRDefault="008F64CD" w:rsidP="00487096">
      <w:pPr>
        <w:pStyle w:val="FootnoteText"/>
      </w:pPr>
      <w:r>
        <w:rPr>
          <w:rStyle w:val="FootnoteReference"/>
        </w:rPr>
        <w:footnoteRef/>
      </w:r>
      <w:r>
        <w:t xml:space="preserve"> </w:t>
      </w:r>
      <w:r w:rsidRPr="002017BE">
        <w:t>The new rule that provi</w:t>
      </w:r>
      <w:r>
        <w:t xml:space="preserve">des that operations in the Lower 700 MHz D and E Blocks </w:t>
      </w:r>
      <w:r w:rsidRPr="002017BE">
        <w:t xml:space="preserve">are </w:t>
      </w:r>
      <w:r>
        <w:t>limited to</w:t>
      </w:r>
      <w:r w:rsidRPr="002017BE">
        <w:t xml:space="preserve"> downlink only is consistent with</w:t>
      </w:r>
      <w:r>
        <w:t>, and as noted above supersedes,</w:t>
      </w:r>
      <w:r w:rsidRPr="002017BE">
        <w:t xml:space="preserve"> a condition adopted in the </w:t>
      </w:r>
      <w:r w:rsidRPr="002017BE">
        <w:rPr>
          <w:i/>
        </w:rPr>
        <w:t>AT&amp;T-Qualcomm Order</w:t>
      </w:r>
      <w:r w:rsidRPr="002017BE">
        <w:t xml:space="preserve"> that ap</w:t>
      </w:r>
      <w:r>
        <w:t>plies to all the Lower 700 MHz D B</w:t>
      </w:r>
      <w:r w:rsidRPr="002017BE">
        <w:t>lock licenses and those E Block licenses that are held by AT&amp;T.</w:t>
      </w:r>
    </w:p>
  </w:footnote>
  <w:footnote w:id="60">
    <w:p w:rsidR="008F64CD" w:rsidRDefault="008F64CD" w:rsidP="00487096">
      <w:pPr>
        <w:pStyle w:val="FootnoteText"/>
      </w:pPr>
      <w:r>
        <w:rPr>
          <w:rStyle w:val="FootnoteReference"/>
        </w:rPr>
        <w:footnoteRef/>
      </w:r>
      <w:r>
        <w:t xml:space="preserve"> 47 C.F.R. §</w:t>
      </w:r>
      <w:r w:rsidRPr="00BF51A5">
        <w:t>§</w:t>
      </w:r>
      <w:r>
        <w:t xml:space="preserve"> 27.50(c)(7) and 27.55(b).</w:t>
      </w:r>
    </w:p>
  </w:footnote>
  <w:footnote w:id="61">
    <w:p w:rsidR="008F64CD" w:rsidRPr="005D7567" w:rsidRDefault="008F64CD" w:rsidP="00487096">
      <w:pPr>
        <w:pStyle w:val="FootnoteText"/>
      </w:pPr>
      <w:r w:rsidRPr="005D7567">
        <w:rPr>
          <w:rStyle w:val="FootnoteReference"/>
        </w:rPr>
        <w:footnoteRef/>
      </w:r>
      <w:r w:rsidRPr="005D7567">
        <w:t xml:space="preserve"> </w:t>
      </w:r>
      <w:r w:rsidRPr="00AF2C31">
        <w:t>Receiver “desense” or “desensitization” is the amount of receiver sensitivity degradation due to interference relative to the unencumbered receiver sensitivity (the lowest received signal power that a “noise limited” receiver needs to be functional), measured in dB.  For example, a 3 dB desense occurs when the interference power is equal to the receiver’s system noise power.</w:t>
      </w:r>
    </w:p>
  </w:footnote>
  <w:footnote w:id="62">
    <w:p w:rsidR="008F64CD" w:rsidRDefault="008F64CD" w:rsidP="00487096">
      <w:pPr>
        <w:pStyle w:val="FootnoteText"/>
      </w:pPr>
      <w:r>
        <w:rPr>
          <w:rStyle w:val="FootnoteReference"/>
        </w:rPr>
        <w:footnoteRef/>
      </w:r>
      <w:r>
        <w:t xml:space="preserve"> </w:t>
      </w:r>
      <w:r w:rsidRPr="005D7567">
        <w:t xml:space="preserve">Receiver blocking requirements address a receiver’s ability to receive at least 95% of the </w:t>
      </w:r>
      <w:r>
        <w:t>reference</w:t>
      </w:r>
      <w:r w:rsidRPr="005D7567">
        <w:t xml:space="preserve"> throughput</w:t>
      </w:r>
      <w:r>
        <w:t xml:space="preserve"> at the reference sensitivity, </w:t>
      </w:r>
      <w:r w:rsidRPr="005D7567">
        <w:t xml:space="preserve">at its assigned channel in the presence of an unwanted interfering signal falling into the device receive band or into the first adjacent 15 megahertz.  </w:t>
      </w:r>
      <w:r w:rsidRPr="005D7567">
        <w:rPr>
          <w:i/>
        </w:rPr>
        <w:t>See</w:t>
      </w:r>
      <w:r w:rsidRPr="005D7567">
        <w:t xml:space="preserve"> Table 7.6.1.1-2, Section 7.6.1 of 3GPP TS 36.104 V9.9.0 (2011-09).</w:t>
      </w:r>
      <w:r w:rsidRPr="007A3C89">
        <w:t xml:space="preserve"> </w:t>
      </w:r>
    </w:p>
  </w:footnote>
  <w:footnote w:id="63">
    <w:p w:rsidR="008F64CD" w:rsidRDefault="008F64CD" w:rsidP="00487096">
      <w:pPr>
        <w:pStyle w:val="FootnoteText"/>
      </w:pPr>
      <w:r>
        <w:rPr>
          <w:rStyle w:val="FootnoteReference"/>
        </w:rPr>
        <w:footnoteRef/>
      </w:r>
      <w:r>
        <w:t xml:space="preserve"> </w:t>
      </w:r>
      <w:r w:rsidRPr="005D7567">
        <w:rPr>
          <w:i/>
        </w:rPr>
        <w:t>See</w:t>
      </w:r>
      <w:r>
        <w:rPr>
          <w:i/>
        </w:rPr>
        <w:t xml:space="preserve"> </w:t>
      </w:r>
      <w:r w:rsidRPr="005D7567">
        <w:t>Service Rules for Advanced Wireless Services H Block,</w:t>
      </w:r>
      <w:r>
        <w:t xml:space="preserve"> WT Docket 12-357, </w:t>
      </w:r>
      <w:r w:rsidRPr="007B6979">
        <w:t>FCC 13-88</w:t>
      </w:r>
      <w:r>
        <w:t>,</w:t>
      </w:r>
      <w:r w:rsidRPr="005D7567">
        <w:t xml:space="preserve"> </w:t>
      </w:r>
      <w:r w:rsidRPr="005D7567">
        <w:rPr>
          <w:i/>
        </w:rPr>
        <w:t xml:space="preserve">Report and Order, </w:t>
      </w:r>
      <w:r>
        <w:rPr>
          <w:color w:val="000000"/>
        </w:rPr>
        <w:t>28 FCC Rcd. 9483</w:t>
      </w:r>
      <w:r w:rsidRPr="005D7567">
        <w:t>,</w:t>
      </w:r>
      <w:r>
        <w:t xml:space="preserve"> 9527, 9537-8, </w:t>
      </w:r>
      <w:r w:rsidRPr="005D7567">
        <w:t xml:space="preserve"> ¶¶ 114, 143-45 (2013)</w:t>
      </w:r>
      <w:r>
        <w:t xml:space="preserve"> (</w:t>
      </w:r>
      <w:r>
        <w:rPr>
          <w:i/>
        </w:rPr>
        <w:t>H Block Report and Order</w:t>
      </w:r>
      <w:r>
        <w:t>)</w:t>
      </w:r>
      <w:r w:rsidRPr="005D7567">
        <w:t>.</w:t>
      </w:r>
    </w:p>
  </w:footnote>
  <w:footnote w:id="64">
    <w:p w:rsidR="008F64CD" w:rsidRPr="005D7567" w:rsidRDefault="008F64CD" w:rsidP="00487096">
      <w:pPr>
        <w:pStyle w:val="FootnoteText"/>
      </w:pPr>
      <w:r w:rsidRPr="005D7567">
        <w:rPr>
          <w:rStyle w:val="FootnoteReference"/>
        </w:rPr>
        <w:footnoteRef/>
      </w:r>
      <w:r w:rsidRPr="005D7567">
        <w:t xml:space="preserve"> </w:t>
      </w:r>
      <w:r w:rsidRPr="00B068DD">
        <w:rPr>
          <w:i/>
        </w:rPr>
        <w:t>See</w:t>
      </w:r>
      <w:r w:rsidRPr="005D7567">
        <w:t xml:space="preserve"> V</w:t>
      </w:r>
      <w:r>
        <w:t>-</w:t>
      </w:r>
      <w:r w:rsidRPr="005D7567">
        <w:t xml:space="preserve">COMM </w:t>
      </w:r>
      <w:r>
        <w:t>Reply Comments at 3</w:t>
      </w:r>
      <w:r w:rsidRPr="005D7567">
        <w:t>6, Figure 24</w:t>
      </w:r>
      <w:r>
        <w:t xml:space="preserve"> (V-COMM Study)</w:t>
      </w:r>
      <w:r w:rsidRPr="005D7567">
        <w:t>.</w:t>
      </w:r>
    </w:p>
  </w:footnote>
  <w:footnote w:id="65">
    <w:p w:rsidR="008F64CD" w:rsidRPr="005D7567" w:rsidRDefault="008F64CD" w:rsidP="00487096">
      <w:pPr>
        <w:pStyle w:val="FootnoteText"/>
        <w:rPr>
          <w:b/>
        </w:rPr>
      </w:pPr>
      <w:r w:rsidRPr="005D7567">
        <w:rPr>
          <w:rStyle w:val="FootnoteReference"/>
        </w:rPr>
        <w:footnoteRef/>
      </w:r>
      <w:r w:rsidRPr="005D7567">
        <w:t xml:space="preserve"> Based on these test da</w:t>
      </w:r>
      <w:r>
        <w:t>ta, we are not persuaded by DISH</w:t>
      </w:r>
      <w:r w:rsidRPr="005D7567">
        <w:t xml:space="preserve"> Network’s assertion that “Band 12 devices </w:t>
      </w:r>
      <w:r>
        <w:t>[</w:t>
      </w:r>
      <w:r w:rsidRPr="005D7567">
        <w:t>will</w:t>
      </w:r>
      <w:r>
        <w:t>]</w:t>
      </w:r>
      <w:r w:rsidRPr="005D7567">
        <w:t xml:space="preserve"> exceed the 3GPP minimum </w:t>
      </w:r>
      <w:r>
        <w:t>[</w:t>
      </w:r>
      <w:r w:rsidRPr="005D7567">
        <w:t>Adjacent Channel Selectivity</w:t>
      </w:r>
      <w:r>
        <w:t>]</w:t>
      </w:r>
      <w:r w:rsidRPr="005D7567">
        <w:t xml:space="preserve"> and blocking specifications by more t</w:t>
      </w:r>
      <w:r>
        <w:t>han 30 dB and can perform at 95% throughput at adjacent E B</w:t>
      </w:r>
      <w:r w:rsidRPr="005D7567">
        <w:t xml:space="preserve">lock levels as high as -13 dBm.”  DISH Network Aug. 8, 2013 Ex Parte at 6-7.  We note that DISH Network tested a single device and based its results on desense values far in excess of our 3dB </w:t>
      </w:r>
      <w:r>
        <w:t>threshold</w:t>
      </w:r>
      <w:r w:rsidRPr="005D7567">
        <w:t xml:space="preserve">, </w:t>
      </w:r>
      <w:r w:rsidRPr="005D7567">
        <w:rPr>
          <w:i/>
        </w:rPr>
        <w:t xml:space="preserve">i.e., </w:t>
      </w:r>
      <w:r w:rsidRPr="005D7567">
        <w:t xml:space="preserve">having used 6dB for the Lower B and C Blocks and 14dB for the Lower A Block, presumably to be consistent with 3GPP test points.  </w:t>
      </w:r>
      <w:r w:rsidRPr="005D7567">
        <w:rPr>
          <w:i/>
        </w:rPr>
        <w:t>See</w:t>
      </w:r>
      <w:r w:rsidRPr="005D7567">
        <w:t xml:space="preserve"> DISH Network </w:t>
      </w:r>
      <w:r w:rsidRPr="005D7567">
        <w:rPr>
          <w:i/>
        </w:rPr>
        <w:t>Ex Parte</w:t>
      </w:r>
      <w:r w:rsidRPr="005D7567">
        <w:t xml:space="preserve"> letter, Aug. 8, 2013, at 6-7, Attachment A at 10. However, 3GPP test points are not intended to be reflective of an acceptable interference threshold.  </w:t>
      </w:r>
      <w:r w:rsidRPr="005D7567">
        <w:rPr>
          <w:i/>
        </w:rPr>
        <w:t>See</w:t>
      </w:r>
      <w:r w:rsidRPr="005D7567">
        <w:t xml:space="preserve"> Qualcomm Reply Comments at 6.</w:t>
      </w:r>
    </w:p>
  </w:footnote>
  <w:footnote w:id="66">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V-COMM Study at </w:t>
      </w:r>
      <w:r>
        <w:t xml:space="preserve">42-44, </w:t>
      </w:r>
      <w:r w:rsidRPr="005D7567">
        <w:t xml:space="preserve">Figures 28-33 (showing large red dashed lines around E Block sites where signal could exceed -26 dBm) and </w:t>
      </w:r>
      <w:r>
        <w:t xml:space="preserve">Letter from R. Nash Neyland, Cavalier Wireless LLC and other parties to Marlene H. Dortch, Secretary, FCC, Letter and Attachment, Doug Hyslop and Paul Kolodzy, “Lower 700 MHz Test Report: Laboratory and Field Testing of LTE Performance near Lower E Block and Channel 51 Broadcast Stations,” WT Docket No. 12-69, </w:t>
      </w:r>
      <w:r w:rsidRPr="005D7567">
        <w:t>at 76, Table A.1:  Nokia Field Measurements of Analog and Digital Television</w:t>
      </w:r>
      <w:r>
        <w:t xml:space="preserve"> (May 29, 2012) (</w:t>
      </w:r>
      <w:r w:rsidRPr="005D7567">
        <w:t>Hyslop-Kolodzy Report</w:t>
      </w:r>
      <w:r>
        <w:t>)</w:t>
      </w:r>
      <w:r w:rsidRPr="005D7567">
        <w:t xml:space="preserve">. </w:t>
      </w:r>
    </w:p>
  </w:footnote>
  <w:footnote w:id="67">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Hyslop-Kolodzy Report at 28, Figure 4.5:  Signal Strength:  Lower E System in Atlanta</w:t>
      </w:r>
      <w:r>
        <w:t>.</w:t>
      </w:r>
      <w:r w:rsidRPr="005D7567">
        <w:t xml:space="preserve"> A service provider’s signal may be significantly weaker in locations that are not represented by an antenna on the roof of a car that is driving down the middle of the street.  In some of these cases where the LTE receive signal is weak, the E Block signal may also be weaker, but this is not necessarily true, especially if the E Block and LTE transmitters are not collocated.</w:t>
      </w:r>
    </w:p>
  </w:footnote>
  <w:footnote w:id="68">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e.g., </w:t>
      </w:r>
      <w:r w:rsidRPr="005D7567">
        <w:t>AT&amp;T Comments at 8 and AT&amp;T Reply Comments at 48-50.</w:t>
      </w:r>
    </w:p>
  </w:footnote>
  <w:footnote w:id="69">
    <w:p w:rsidR="008F64CD" w:rsidRDefault="008F64CD" w:rsidP="00487096">
      <w:pPr>
        <w:pStyle w:val="FootnoteText"/>
      </w:pPr>
      <w:r>
        <w:rPr>
          <w:rStyle w:val="FootnoteReference"/>
        </w:rPr>
        <w:footnoteRef/>
      </w:r>
      <w:r>
        <w:t xml:space="preserve"> This challenge is in contrast to the ability of B and C Block licensees to address potential reverse intermodulation interference from Channel 51 transmitters, which is described below are limited in number, known, and stable, and expected to decrease over time.</w:t>
      </w:r>
    </w:p>
  </w:footnote>
  <w:footnote w:id="70">
    <w:p w:rsidR="008F64CD" w:rsidRPr="005D7567" w:rsidRDefault="008F64CD" w:rsidP="00487096">
      <w:pPr>
        <w:pStyle w:val="FootnoteText"/>
      </w:pPr>
      <w:r w:rsidRPr="005D7567">
        <w:rPr>
          <w:rStyle w:val="FootnoteReference"/>
        </w:rPr>
        <w:footnoteRef/>
      </w:r>
      <w:r w:rsidRPr="005D7567">
        <w:t xml:space="preserve"> </w:t>
      </w:r>
      <w:r w:rsidRPr="005D7567">
        <w:rPr>
          <w:i/>
        </w:rPr>
        <w:t>See</w:t>
      </w:r>
      <w:r>
        <w:t xml:space="preserve"> AT&amp;T Reply Comments </w:t>
      </w:r>
      <w:r w:rsidRPr="005D7567">
        <w:t>at 8.</w:t>
      </w:r>
    </w:p>
  </w:footnote>
  <w:footnote w:id="71">
    <w:p w:rsidR="008F64CD" w:rsidRPr="005D7567" w:rsidRDefault="008F64CD" w:rsidP="00487096">
      <w:pPr>
        <w:pStyle w:val="FootnoteText"/>
      </w:pPr>
      <w:r w:rsidRPr="005D7567">
        <w:rPr>
          <w:rStyle w:val="FootnoteReference"/>
        </w:rPr>
        <w:footnoteRef/>
      </w:r>
      <w:r w:rsidRPr="005D7567">
        <w:t xml:space="preserve"> DISH Network Comments at 2</w:t>
      </w:r>
      <w:r>
        <w:t>-3</w:t>
      </w:r>
      <w:r w:rsidRPr="005D7567">
        <w:t xml:space="preserve"> and DISH Network </w:t>
      </w:r>
      <w:r>
        <w:t xml:space="preserve">March 21, 2013 </w:t>
      </w:r>
      <w:r w:rsidRPr="00B068DD">
        <w:t>Ex Parte</w:t>
      </w:r>
      <w:r w:rsidRPr="005D7567">
        <w:t>.</w:t>
      </w:r>
    </w:p>
  </w:footnote>
  <w:footnote w:id="72">
    <w:p w:rsidR="008F64CD" w:rsidRDefault="008F64CD" w:rsidP="00487096">
      <w:pPr>
        <w:pStyle w:val="FootnoteText"/>
      </w:pPr>
      <w:r>
        <w:rPr>
          <w:rStyle w:val="FootnoteReference"/>
        </w:rPr>
        <w:footnoteRef/>
      </w:r>
      <w:r>
        <w:t xml:space="preserve"> We note that a signal </w:t>
      </w:r>
      <w:r w:rsidRPr="00281E0B">
        <w:t>strength threshold of -26 dBm would likely cause harmful interference to adjacent channel operations</w:t>
      </w:r>
      <w:r>
        <w:t>,</w:t>
      </w:r>
      <w:r w:rsidRPr="00281E0B">
        <w:t xml:space="preserve"> </w:t>
      </w:r>
      <w:r>
        <w:t xml:space="preserve">and this threshold </w:t>
      </w:r>
      <w:r w:rsidRPr="00281E0B">
        <w:t xml:space="preserve">is much lower than </w:t>
      </w:r>
      <w:r>
        <w:t xml:space="preserve">what </w:t>
      </w:r>
      <w:r w:rsidRPr="00281E0B">
        <w:t xml:space="preserve">the </w:t>
      </w:r>
      <w:r>
        <w:t xml:space="preserve">current </w:t>
      </w:r>
      <w:r w:rsidRPr="00281E0B">
        <w:t xml:space="preserve">rules </w:t>
      </w:r>
      <w:r>
        <w:t>allow</w:t>
      </w:r>
      <w:r w:rsidRPr="00281E0B">
        <w:t xml:space="preserve"> </w:t>
      </w:r>
      <w:r>
        <w:t xml:space="preserve">as </w:t>
      </w:r>
      <w:r w:rsidRPr="00281E0B">
        <w:t>si</w:t>
      </w:r>
      <w:r>
        <w:t>gnal strength</w:t>
      </w:r>
      <w:r w:rsidRPr="00281E0B">
        <w:t xml:space="preserve"> on the ground </w:t>
      </w:r>
      <w:r>
        <w:t xml:space="preserve">which is </w:t>
      </w:r>
      <w:r w:rsidRPr="00281E0B">
        <w:t>up to -12 dBm</w:t>
      </w:r>
      <w:r>
        <w:t>, using the current PFD limit</w:t>
      </w:r>
      <w:r w:rsidRPr="00281E0B">
        <w:t>.</w:t>
      </w:r>
    </w:p>
  </w:footnote>
  <w:footnote w:id="73">
    <w:p w:rsidR="008F64CD" w:rsidRDefault="008F64CD" w:rsidP="00487096">
      <w:pPr>
        <w:pStyle w:val="FootnoteText"/>
      </w:pPr>
      <w:r>
        <w:rPr>
          <w:rStyle w:val="FootnoteReference"/>
        </w:rPr>
        <w:footnoteRef/>
      </w:r>
      <w:r>
        <w:t xml:space="preserve"> 47 C.F.R. § </w:t>
      </w:r>
      <w:r w:rsidRPr="007E3A71">
        <w:t>27.50</w:t>
      </w:r>
      <w:r>
        <w:t>.</w:t>
      </w:r>
    </w:p>
  </w:footnote>
  <w:footnote w:id="74">
    <w:p w:rsidR="008F64CD" w:rsidRPr="007C028E" w:rsidRDefault="008F64CD" w:rsidP="00487096">
      <w:pPr>
        <w:pStyle w:val="FootnoteText"/>
        <w:rPr>
          <w:i/>
        </w:rPr>
      </w:pPr>
      <w:r>
        <w:rPr>
          <w:rStyle w:val="FootnoteReference"/>
        </w:rPr>
        <w:footnoteRef/>
      </w:r>
      <w:r>
        <w:t xml:space="preserve"> </w:t>
      </w:r>
      <w:r>
        <w:rPr>
          <w:i/>
        </w:rPr>
        <w:t>Id.</w:t>
      </w:r>
    </w:p>
  </w:footnote>
  <w:footnote w:id="75">
    <w:p w:rsidR="008F64CD" w:rsidRPr="005D7567" w:rsidRDefault="008F64CD" w:rsidP="00487096">
      <w:pPr>
        <w:pStyle w:val="FootnoteText"/>
      </w:pPr>
      <w:r w:rsidRPr="005D7567">
        <w:rPr>
          <w:rStyle w:val="FootnoteReference"/>
        </w:rPr>
        <w:footnoteRef/>
      </w:r>
      <w:r w:rsidRPr="005D7567">
        <w:t xml:space="preserve"> Reallocation and Service Rules for the 698-746 MHz Spectrum Band (Television Channels 52-59), GN Docket 01-74, </w:t>
      </w:r>
      <w:r w:rsidRPr="0064723D">
        <w:rPr>
          <w:i/>
        </w:rPr>
        <w:t>Report and Order</w:t>
      </w:r>
      <w:r w:rsidRPr="005D7567">
        <w:t>, 17 FCC Rcd 1022,1064, ¶</w:t>
      </w:r>
      <w:r>
        <w:t xml:space="preserve"> </w:t>
      </w:r>
      <w:r w:rsidRPr="005D7567">
        <w:t>104 (2002) (</w:t>
      </w:r>
      <w:r w:rsidRPr="005D7567">
        <w:rPr>
          <w:i/>
        </w:rPr>
        <w:t>Lower 700 MHz Report and Order</w:t>
      </w:r>
      <w:r w:rsidRPr="005D7567">
        <w:t>).</w:t>
      </w:r>
    </w:p>
  </w:footnote>
  <w:footnote w:id="76">
    <w:p w:rsidR="008F64CD" w:rsidRPr="005D7567" w:rsidRDefault="008F64CD" w:rsidP="00487096">
      <w:pPr>
        <w:pStyle w:val="FootnoteText"/>
      </w:pPr>
      <w:r w:rsidRPr="005D7567">
        <w:rPr>
          <w:rStyle w:val="FootnoteReference"/>
        </w:rPr>
        <w:footnoteRef/>
      </w:r>
      <w:r w:rsidRPr="005D7567">
        <w:t xml:space="preserve"> </w:t>
      </w:r>
      <w:r w:rsidRPr="005D7567">
        <w:rPr>
          <w:i/>
        </w:rPr>
        <w:t>Lower 700 MHz Report and Order</w:t>
      </w:r>
      <w:r w:rsidRPr="005D7567">
        <w:t>, 17 FCC Rcd at1063-65, ¶¶</w:t>
      </w:r>
      <w:r>
        <w:t xml:space="preserve"> </w:t>
      </w:r>
      <w:r w:rsidRPr="005D7567">
        <w:t>102-107.</w:t>
      </w:r>
    </w:p>
  </w:footnote>
  <w:footnote w:id="77">
    <w:p w:rsidR="008F64CD" w:rsidRPr="005D7567" w:rsidRDefault="008F64CD" w:rsidP="00487096">
      <w:pPr>
        <w:pStyle w:val="FootnoteText"/>
      </w:pPr>
      <w:r w:rsidRPr="005D7567">
        <w:rPr>
          <w:rStyle w:val="FootnoteReference"/>
        </w:rPr>
        <w:footnoteRef/>
      </w:r>
      <w:r w:rsidRPr="005D7567">
        <w:t xml:space="preserve"> </w:t>
      </w:r>
      <w:r w:rsidRPr="005D7567">
        <w:rPr>
          <w:i/>
        </w:rPr>
        <w:t>Lower 700 MHz Report and Order</w:t>
      </w:r>
      <w:r w:rsidRPr="005D7567">
        <w:t>, 17 FCC Rcd at 1028, ¶</w:t>
      </w:r>
      <w:r>
        <w:t xml:space="preserve"> </w:t>
      </w:r>
      <w:r w:rsidRPr="005D7567">
        <w:t>9.</w:t>
      </w:r>
    </w:p>
  </w:footnote>
  <w:footnote w:id="78">
    <w:p w:rsidR="008F64CD" w:rsidRPr="004A7C70" w:rsidRDefault="008F64CD" w:rsidP="00487096">
      <w:pPr>
        <w:pStyle w:val="FootnoteText"/>
        <w:rPr>
          <w:i/>
        </w:rPr>
      </w:pPr>
      <w:r w:rsidRPr="005D7567">
        <w:rPr>
          <w:rStyle w:val="FootnoteReference"/>
        </w:rPr>
        <w:footnoteRef/>
      </w:r>
      <w:r w:rsidRPr="005D7567">
        <w:t xml:space="preserve"> </w:t>
      </w:r>
      <w:r w:rsidRPr="005D7567">
        <w:rPr>
          <w:i/>
        </w:rPr>
        <w:t xml:space="preserve">See </w:t>
      </w:r>
      <w:r w:rsidRPr="005D7567">
        <w:t xml:space="preserve">Balanced Budget Act of 1997. </w:t>
      </w:r>
      <w:r>
        <w:t xml:space="preserve"> </w:t>
      </w:r>
      <w:r w:rsidRPr="001B745E">
        <w:t>Although this Act required analog broadcasters to cease operations in the 700 MHz band by the end of 2006, it also required the Commission to extend the end of the transition on a market-by-market basis if one or more of the four largest network stations or affiliates were not broadcasting in digital, digital to analog converter technology was generally not available, or 15 percent or more television households were not receiving a digital signal.</w:t>
      </w:r>
      <w:r>
        <w:t xml:space="preserve">  </w:t>
      </w:r>
      <w:r>
        <w:rPr>
          <w:i/>
        </w:rPr>
        <w:t>Id.</w:t>
      </w:r>
    </w:p>
  </w:footnote>
  <w:footnote w:id="79">
    <w:p w:rsidR="008F64CD" w:rsidRPr="005D7567" w:rsidRDefault="008F64CD" w:rsidP="00487096">
      <w:pPr>
        <w:pStyle w:val="FootnoteText"/>
      </w:pPr>
      <w:r w:rsidRPr="005D7567">
        <w:rPr>
          <w:rStyle w:val="FootnoteReference"/>
        </w:rPr>
        <w:footnoteRef/>
      </w:r>
      <w:r w:rsidRPr="005D7567">
        <w:t xml:space="preserve"> </w:t>
      </w:r>
      <w:r w:rsidRPr="005D7567">
        <w:rPr>
          <w:i/>
        </w:rPr>
        <w:t>Lower 700 MHz Report and Order</w:t>
      </w:r>
      <w:r w:rsidRPr="005D7567">
        <w:t>, 17 FCC Rcd at 1051-52, ¶</w:t>
      </w:r>
      <w:r>
        <w:t xml:space="preserve"> </w:t>
      </w:r>
      <w:r w:rsidRPr="005D7567">
        <w:t>70.</w:t>
      </w:r>
    </w:p>
  </w:footnote>
  <w:footnote w:id="80">
    <w:p w:rsidR="008F64CD" w:rsidRPr="005D7567" w:rsidRDefault="008F64CD" w:rsidP="00487096">
      <w:pPr>
        <w:pStyle w:val="FootnoteText"/>
      </w:pPr>
      <w:r w:rsidRPr="005D7567">
        <w:rPr>
          <w:rStyle w:val="FootnoteReference"/>
        </w:rPr>
        <w:footnoteRef/>
      </w:r>
      <w:r w:rsidRPr="005D7567">
        <w:t xml:space="preserve"> Deficit Reduction Act of 2005, Pub. L. No. 109-171, 120 Stat. 4 (2006).</w:t>
      </w:r>
    </w:p>
  </w:footnote>
  <w:footnote w:id="81">
    <w:p w:rsidR="008F64CD" w:rsidRPr="005D7567" w:rsidRDefault="008F64CD" w:rsidP="00487096">
      <w:pPr>
        <w:pStyle w:val="FootnoteText"/>
      </w:pPr>
      <w:r w:rsidRPr="005D7567">
        <w:rPr>
          <w:rStyle w:val="FootnoteReference"/>
        </w:rPr>
        <w:footnoteRef/>
      </w:r>
      <w:r w:rsidRPr="005D7567">
        <w:t xml:space="preserve"> The end of the DTV transition was subsequently extended to June 30, 2009 pursuant to the DTV Delay Act.  </w:t>
      </w:r>
      <w:r w:rsidRPr="00B068DD">
        <w:rPr>
          <w:i/>
        </w:rPr>
        <w:t>See</w:t>
      </w:r>
      <w:r w:rsidRPr="005D7567">
        <w:t xml:space="preserve"> </w:t>
      </w:r>
      <w:r>
        <w:t xml:space="preserve">DTV Delay Act, </w:t>
      </w:r>
      <w:r w:rsidRPr="005D7567">
        <w:t>Pub. L. 111-4, 123 Stat. 112 (2009).</w:t>
      </w:r>
    </w:p>
  </w:footnote>
  <w:footnote w:id="82">
    <w:p w:rsidR="008F64CD" w:rsidRPr="005D7567" w:rsidRDefault="008F64CD" w:rsidP="00487096">
      <w:pPr>
        <w:pStyle w:val="FootnoteText"/>
      </w:pPr>
      <w:r w:rsidRPr="005D7567">
        <w:rPr>
          <w:rStyle w:val="FootnoteReference"/>
        </w:rPr>
        <w:footnoteRef/>
      </w:r>
      <w:r w:rsidRPr="005D7567">
        <w:t xml:space="preserve"> </w:t>
      </w:r>
      <w:r w:rsidRPr="005D7567">
        <w:rPr>
          <w:i/>
          <w:iCs/>
        </w:rPr>
        <w:t xml:space="preserve">See </w:t>
      </w:r>
      <w:r>
        <w:t>Service Rules for t</w:t>
      </w:r>
      <w:r w:rsidRPr="00646227">
        <w:t xml:space="preserve">he 698-746, 747-762 </w:t>
      </w:r>
      <w:r>
        <w:t>and 777-792 MHz</w:t>
      </w:r>
      <w:r w:rsidRPr="00646227">
        <w:t xml:space="preserve"> B</w:t>
      </w:r>
      <w:r>
        <w:t xml:space="preserve">ands, </w:t>
      </w:r>
      <w:r w:rsidRPr="00646227">
        <w:t>WT 06-150</w:t>
      </w:r>
      <w:r>
        <w:t xml:space="preserve">, </w:t>
      </w:r>
      <w:r w:rsidRPr="00646227">
        <w:rPr>
          <w:i/>
        </w:rPr>
        <w:t>Second Report and Order</w:t>
      </w:r>
      <w:r>
        <w:t>, 22 FCC Rcd 15289 (2007) (</w:t>
      </w:r>
      <w:r w:rsidRPr="00C55755">
        <w:rPr>
          <w:i/>
          <w:iCs/>
        </w:rPr>
        <w:t>700 MHz</w:t>
      </w:r>
      <w:r>
        <w:rPr>
          <w:iCs/>
        </w:rPr>
        <w:t xml:space="preserve"> </w:t>
      </w:r>
      <w:r w:rsidRPr="005D7567">
        <w:rPr>
          <w:i/>
        </w:rPr>
        <w:t>Second Report and Order</w:t>
      </w:r>
      <w:r>
        <w:t>)</w:t>
      </w:r>
      <w:r w:rsidRPr="005D7567">
        <w:t xml:space="preserve">. </w:t>
      </w:r>
    </w:p>
  </w:footnote>
  <w:footnote w:id="83">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47 C.F.R. 27.50(c)(7).</w:t>
      </w:r>
    </w:p>
  </w:footnote>
  <w:footnote w:id="84">
    <w:p w:rsidR="008F64CD" w:rsidRPr="005D7567" w:rsidRDefault="008F64CD" w:rsidP="00487096">
      <w:pPr>
        <w:pStyle w:val="FootnoteText"/>
        <w:rPr>
          <w:b/>
        </w:rPr>
      </w:pPr>
      <w:r w:rsidRPr="005D7567">
        <w:rPr>
          <w:rStyle w:val="FootnoteReference"/>
        </w:rPr>
        <w:footnoteRef/>
      </w:r>
      <w:r w:rsidRPr="005D7567">
        <w:t xml:space="preserve"> For instance, AT&amp;T has stated that it is using its Lower 700 MHz B and C Block spectrum for its LTE deployment.  </w:t>
      </w:r>
      <w:r w:rsidRPr="005D7567">
        <w:rPr>
          <w:i/>
        </w:rPr>
        <w:t>See AT&amp;T-Qualcomm Order</w:t>
      </w:r>
      <w:r w:rsidRPr="005D7567">
        <w:t xml:space="preserve"> 26 FCC Rcd at 17626-27, ¶¶ 91-92.</w:t>
      </w:r>
    </w:p>
  </w:footnote>
  <w:footnote w:id="85">
    <w:p w:rsidR="008F64CD" w:rsidRPr="005D7567" w:rsidRDefault="008F64CD" w:rsidP="00487096">
      <w:pPr>
        <w:pStyle w:val="FootnoteText"/>
      </w:pPr>
      <w:r w:rsidRPr="005D7567">
        <w:rPr>
          <w:rStyle w:val="FootnoteReference"/>
        </w:rPr>
        <w:footnoteRef/>
      </w:r>
      <w:r w:rsidRPr="005D7567">
        <w:t xml:space="preserve"> </w:t>
      </w:r>
      <w:r w:rsidRPr="00646227">
        <w:t>DISH Network Comments</w:t>
      </w:r>
      <w:r w:rsidRPr="00727122">
        <w:rPr>
          <w:i/>
        </w:rPr>
        <w:t xml:space="preserve"> </w:t>
      </w:r>
      <w:r w:rsidRPr="004A7C70">
        <w:t>at 2 and</w:t>
      </w:r>
      <w:r w:rsidRPr="00727122">
        <w:rPr>
          <w:i/>
        </w:rPr>
        <w:t xml:space="preserve"> </w:t>
      </w:r>
      <w:r w:rsidRPr="00646227">
        <w:t>DISH Network Ex Parte</w:t>
      </w:r>
      <w:r w:rsidRPr="00727122">
        <w:rPr>
          <w:i/>
        </w:rPr>
        <w:t xml:space="preserve">, </w:t>
      </w:r>
      <w:r>
        <w:t>March</w:t>
      </w:r>
      <w:r w:rsidRPr="004A7C70">
        <w:t xml:space="preserve"> 21, 2013</w:t>
      </w:r>
      <w:r>
        <w:t>;</w:t>
      </w:r>
      <w:r w:rsidRPr="00727122">
        <w:rPr>
          <w:i/>
          <w:snapToGrid w:val="0"/>
          <w:kern w:val="28"/>
          <w:sz w:val="22"/>
        </w:rPr>
        <w:t xml:space="preserve"> </w:t>
      </w:r>
      <w:r w:rsidRPr="00727122">
        <w:rPr>
          <w:i/>
        </w:rPr>
        <w:t>AT&amp;T-Qualcomm Order</w:t>
      </w:r>
      <w:r w:rsidRPr="00727122">
        <w:t xml:space="preserve"> 26 FCC Rcd at 17626-27, ¶¶ 91-92</w:t>
      </w:r>
      <w:r>
        <w:t>.</w:t>
      </w:r>
    </w:p>
  </w:footnote>
  <w:footnote w:id="86">
    <w:p w:rsidR="008F64CD" w:rsidRPr="00097C16" w:rsidRDefault="008F64CD" w:rsidP="00487096">
      <w:pPr>
        <w:pStyle w:val="FootnoteText"/>
        <w:rPr>
          <w:i/>
        </w:rPr>
      </w:pPr>
      <w:r>
        <w:rPr>
          <w:rStyle w:val="FootnoteReference"/>
        </w:rPr>
        <w:footnoteRef/>
      </w:r>
      <w:r>
        <w:t xml:space="preserve"> </w:t>
      </w:r>
      <w:r w:rsidRPr="00646227">
        <w:t>DISH Network Comments</w:t>
      </w:r>
      <w:r w:rsidRPr="00BC3693">
        <w:rPr>
          <w:i/>
        </w:rPr>
        <w:t xml:space="preserve"> </w:t>
      </w:r>
      <w:r w:rsidRPr="004A7C70">
        <w:t>at 2 and</w:t>
      </w:r>
      <w:r w:rsidRPr="00BC3693">
        <w:rPr>
          <w:i/>
        </w:rPr>
        <w:t xml:space="preserve"> </w:t>
      </w:r>
      <w:r w:rsidRPr="00646227">
        <w:t>DISH Network Ex Parte</w:t>
      </w:r>
      <w:r w:rsidRPr="00BC3693">
        <w:rPr>
          <w:i/>
        </w:rPr>
        <w:t xml:space="preserve">, </w:t>
      </w:r>
      <w:r>
        <w:t>March</w:t>
      </w:r>
      <w:r w:rsidRPr="004A7C70">
        <w:t xml:space="preserve"> 21, 2013.</w:t>
      </w:r>
    </w:p>
  </w:footnote>
  <w:footnote w:id="87">
    <w:p w:rsidR="008F64CD" w:rsidRDefault="008F64CD" w:rsidP="00487096">
      <w:pPr>
        <w:pStyle w:val="FootnoteText"/>
      </w:pPr>
      <w:r>
        <w:rPr>
          <w:rStyle w:val="FootnoteReference"/>
        </w:rPr>
        <w:footnoteRef/>
      </w:r>
      <w:r>
        <w:t xml:space="preserve"> </w:t>
      </w:r>
      <w:r w:rsidRPr="004465AA">
        <w:rPr>
          <w:i/>
        </w:rPr>
        <w:t>See</w:t>
      </w:r>
      <w:r>
        <w:t xml:space="preserve"> “AT&amp;T’s Randall Stephenson at Goldman Sachs 2013 Communacopia Conference” Sept. 24, 2013, available at </w:t>
      </w:r>
      <w:r w:rsidRPr="00F9256F">
        <w:t>http://www.att.com/gen/landing-pages?pid=5718</w:t>
      </w:r>
      <w:r>
        <w:t xml:space="preserve">; as an audio file at </w:t>
      </w:r>
      <w:r w:rsidRPr="00F9256F">
        <w:t>http://mp3.talkpoint.com/gold006/092413a_gm/20_M40XKUD_audio.mp3</w:t>
      </w:r>
      <w:r>
        <w:t xml:space="preserve">.  </w:t>
      </w:r>
      <w:r w:rsidRPr="00727122">
        <w:rPr>
          <w:i/>
        </w:rPr>
        <w:t xml:space="preserve">See </w:t>
      </w:r>
      <w:r>
        <w:rPr>
          <w:i/>
        </w:rPr>
        <w:t xml:space="preserve">also </w:t>
      </w:r>
      <w:r w:rsidRPr="00727122">
        <w:rPr>
          <w:i/>
        </w:rPr>
        <w:t>AT&amp;T-Qualcomm Order</w:t>
      </w:r>
      <w:r w:rsidRPr="00727122">
        <w:t xml:space="preserve"> 26 FCC Rcd at 17626-27</w:t>
      </w:r>
      <w:r w:rsidRPr="005D7567">
        <w:t xml:space="preserve">, ¶¶ </w:t>
      </w:r>
      <w:r>
        <w:t>86-93</w:t>
      </w:r>
      <w:r w:rsidRPr="00727122">
        <w:t>.</w:t>
      </w:r>
    </w:p>
  </w:footnote>
  <w:footnote w:id="88">
    <w:p w:rsidR="008F64CD" w:rsidRDefault="008F64CD" w:rsidP="00487096">
      <w:pPr>
        <w:pStyle w:val="FootnoteText"/>
      </w:pPr>
      <w:r>
        <w:rPr>
          <w:rStyle w:val="FootnoteReference"/>
        </w:rPr>
        <w:footnoteRef/>
      </w:r>
      <w:r>
        <w:t xml:space="preserve"> DISH Network Sept. 10, 2013 Ex Parte at 3.</w:t>
      </w:r>
    </w:p>
  </w:footnote>
  <w:footnote w:id="89">
    <w:p w:rsidR="008F64CD" w:rsidRDefault="008F64CD" w:rsidP="00487096">
      <w:pPr>
        <w:pStyle w:val="FootnoteText"/>
      </w:pPr>
      <w:r>
        <w:rPr>
          <w:rStyle w:val="FootnoteReference"/>
        </w:rPr>
        <w:footnoteRef/>
      </w:r>
      <w:r>
        <w:t>DISH Network Sept. 10, 2013 Ex Parte at 3.</w:t>
      </w:r>
    </w:p>
  </w:footnote>
  <w:footnote w:id="90">
    <w:p w:rsidR="008F64CD" w:rsidRDefault="008F64CD" w:rsidP="00487096">
      <w:pPr>
        <w:pStyle w:val="FootnoteText"/>
      </w:pPr>
      <w:r>
        <w:rPr>
          <w:rStyle w:val="FootnoteReference"/>
        </w:rPr>
        <w:footnoteRef/>
      </w:r>
      <w:r>
        <w:t xml:space="preserve"> 47 C.F.R. §</w:t>
      </w:r>
      <w:r w:rsidRPr="00BF51A5">
        <w:t>§</w:t>
      </w:r>
      <w:r>
        <w:t xml:space="preserve"> 27.50(c)(7) and 27.55(b).</w:t>
      </w:r>
    </w:p>
  </w:footnote>
  <w:footnote w:id="91">
    <w:p w:rsidR="008F64CD" w:rsidRDefault="008F64CD" w:rsidP="00487096">
      <w:pPr>
        <w:pStyle w:val="FootnoteText"/>
      </w:pPr>
      <w:r>
        <w:rPr>
          <w:rStyle w:val="FootnoteReference"/>
        </w:rPr>
        <w:footnoteRef/>
      </w:r>
      <w:r>
        <w:t xml:space="preserve"> This provision is consistent with our rule requiring coordination when licensees operate at higher power levels in rural areas.  47 C.F.R. </w:t>
      </w:r>
      <w:r w:rsidRPr="00BF51A5">
        <w:t>§</w:t>
      </w:r>
      <w:r>
        <w:t xml:space="preserve"> 27.50(c)(5).</w:t>
      </w:r>
    </w:p>
  </w:footnote>
  <w:footnote w:id="92">
    <w:p w:rsidR="008F64CD" w:rsidRDefault="008F64CD" w:rsidP="00487096">
      <w:pPr>
        <w:pStyle w:val="FootnoteText"/>
      </w:pPr>
      <w:r>
        <w:rPr>
          <w:rStyle w:val="FootnoteReference"/>
        </w:rPr>
        <w:footnoteRef/>
      </w:r>
      <w:r>
        <w:t xml:space="preserve"> We note that there are fewer than 10 licensees that will file a copy of the agreement via FCC Form 601, and thus our action here does not trigger the Paperwork Reduction Act, 5 C.F.R. § 1320.3(c)(4).</w:t>
      </w:r>
    </w:p>
  </w:footnote>
  <w:footnote w:id="93">
    <w:p w:rsidR="008F64CD" w:rsidRDefault="008F64CD" w:rsidP="00487096">
      <w:pPr>
        <w:pStyle w:val="FootnoteText"/>
      </w:pPr>
      <w:r>
        <w:rPr>
          <w:rStyle w:val="FootnoteReference"/>
        </w:rPr>
        <w:footnoteRef/>
      </w:r>
      <w:r>
        <w:t xml:space="preserve"> 47 C.F.R. § 1.925.</w:t>
      </w:r>
    </w:p>
  </w:footnote>
  <w:footnote w:id="94">
    <w:p w:rsidR="008F64CD" w:rsidRDefault="008F64CD" w:rsidP="00487096">
      <w:pPr>
        <w:pStyle w:val="FootnoteText"/>
      </w:pPr>
      <w:r>
        <w:rPr>
          <w:rStyle w:val="FootnoteReference"/>
        </w:rPr>
        <w:footnoteRef/>
      </w:r>
      <w:r>
        <w:t xml:space="preserve"> </w:t>
      </w:r>
      <w:r w:rsidRPr="00E27AC5">
        <w:t xml:space="preserve">While we did not address such a limited exception to reduced power in the </w:t>
      </w:r>
      <w:r w:rsidRPr="0051128C">
        <w:rPr>
          <w:i/>
        </w:rPr>
        <w:t>AT&amp;T-Qualcomm Order</w:t>
      </w:r>
      <w:r w:rsidRPr="00E27AC5">
        <w:t>, that order was premise</w:t>
      </w:r>
      <w:r>
        <w:t>d on questions raised by other Lower 700 MHz b</w:t>
      </w:r>
      <w:r w:rsidRPr="00E27AC5">
        <w:t xml:space="preserve">and licensees about “the potential for harmful interference” to them.  </w:t>
      </w:r>
      <w:r w:rsidRPr="0051128C">
        <w:rPr>
          <w:i/>
        </w:rPr>
        <w:t>AT&amp;T-Qualcomm Order</w:t>
      </w:r>
      <w:r w:rsidRPr="00E27AC5">
        <w:t>, 26 FCC Rcd at 17615-16 ¶¶ 60-65.  The requirements set forth above for this limited exception to the reduced power limits for D and E Block licensees are consistent with protecting against such harmful interference.</w:t>
      </w:r>
      <w:r>
        <w:t xml:space="preserve">  As noted above, our revised rules supersede the operational conditions adopted in the </w:t>
      </w:r>
      <w:r w:rsidRPr="0051128C">
        <w:rPr>
          <w:i/>
        </w:rPr>
        <w:t>AT&amp;T</w:t>
      </w:r>
      <w:r>
        <w:rPr>
          <w:i/>
        </w:rPr>
        <w:t>-</w:t>
      </w:r>
      <w:r w:rsidRPr="0051128C">
        <w:rPr>
          <w:i/>
        </w:rPr>
        <w:t>Qualcomm Order</w:t>
      </w:r>
      <w:r>
        <w:t xml:space="preserve"> that are applicable to AT&amp;T’s D and E Block licenses.  </w:t>
      </w:r>
    </w:p>
  </w:footnote>
  <w:footnote w:id="95">
    <w:p w:rsidR="008F64CD" w:rsidRDefault="008F64CD" w:rsidP="00487096">
      <w:pPr>
        <w:pStyle w:val="FootnoteText"/>
      </w:pPr>
      <w:r>
        <w:rPr>
          <w:rStyle w:val="FootnoteReference"/>
        </w:rPr>
        <w:footnoteRef/>
      </w:r>
      <w:r>
        <w:t xml:space="preserve"> </w:t>
      </w:r>
      <w:r w:rsidRPr="00697856">
        <w:rPr>
          <w:i/>
        </w:rPr>
        <w:t>See AT&amp;T-Qualcomm Order</w:t>
      </w:r>
      <w:r>
        <w:t xml:space="preserve">, 26 FCC Rcd at 17617, ¶ </w:t>
      </w:r>
      <w:r w:rsidRPr="00697856">
        <w:t>67.</w:t>
      </w:r>
    </w:p>
  </w:footnote>
  <w:footnote w:id="96">
    <w:p w:rsidR="008F64CD" w:rsidRPr="00697856" w:rsidRDefault="008F64CD" w:rsidP="00487096">
      <w:pPr>
        <w:pStyle w:val="FootnoteText"/>
        <w:rPr>
          <w:i/>
        </w:rPr>
      </w:pPr>
      <w:r>
        <w:rPr>
          <w:rStyle w:val="FootnoteReference"/>
        </w:rPr>
        <w:footnoteRef/>
      </w:r>
      <w:r>
        <w:t xml:space="preserve"> </w:t>
      </w:r>
      <w:r>
        <w:rPr>
          <w:i/>
        </w:rPr>
        <w:t>Id.</w:t>
      </w:r>
    </w:p>
  </w:footnote>
  <w:footnote w:id="97">
    <w:p w:rsidR="008F64CD" w:rsidRPr="00697856" w:rsidRDefault="008F64CD" w:rsidP="00487096">
      <w:pPr>
        <w:pStyle w:val="FootnoteText"/>
        <w:rPr>
          <w:i/>
        </w:rPr>
      </w:pPr>
      <w:r>
        <w:rPr>
          <w:rStyle w:val="FootnoteReference"/>
        </w:rPr>
        <w:footnoteRef/>
      </w:r>
      <w:r>
        <w:t xml:space="preserve"> </w:t>
      </w:r>
      <w:r>
        <w:rPr>
          <w:i/>
        </w:rPr>
        <w:t>Id.</w:t>
      </w:r>
    </w:p>
  </w:footnote>
  <w:footnote w:id="98">
    <w:p w:rsidR="008F64CD" w:rsidRPr="00697856" w:rsidRDefault="008F64CD" w:rsidP="00487096">
      <w:pPr>
        <w:pStyle w:val="FootnoteText"/>
        <w:rPr>
          <w:i/>
        </w:rPr>
      </w:pPr>
      <w:r>
        <w:rPr>
          <w:rStyle w:val="FootnoteReference"/>
        </w:rPr>
        <w:footnoteRef/>
      </w:r>
      <w:r>
        <w:t xml:space="preserve"> </w:t>
      </w:r>
      <w:r>
        <w:rPr>
          <w:i/>
        </w:rPr>
        <w:t>Id.</w:t>
      </w:r>
    </w:p>
  </w:footnote>
  <w:footnote w:id="99">
    <w:p w:rsidR="008F64CD" w:rsidRDefault="008F64CD" w:rsidP="00487096">
      <w:pPr>
        <w:pStyle w:val="FootnoteText"/>
      </w:pPr>
      <w:r>
        <w:rPr>
          <w:rStyle w:val="FootnoteReference"/>
        </w:rPr>
        <w:footnoteRef/>
      </w:r>
      <w:r>
        <w:t xml:space="preserve"> </w:t>
      </w:r>
      <w:r>
        <w:rPr>
          <w:i/>
        </w:rPr>
        <w:t>Id</w:t>
      </w:r>
      <w:r w:rsidRPr="00697856">
        <w:t>.</w:t>
      </w:r>
    </w:p>
  </w:footnote>
  <w:footnote w:id="100">
    <w:p w:rsidR="008F64CD" w:rsidRPr="005D7567" w:rsidRDefault="008F64CD" w:rsidP="00487096">
      <w:pPr>
        <w:pStyle w:val="FootnoteText"/>
      </w:pPr>
      <w:r w:rsidRPr="005D7567">
        <w:rPr>
          <w:rStyle w:val="FootnoteReference"/>
        </w:rPr>
        <w:footnoteRef/>
      </w:r>
      <w:r w:rsidRPr="005D7567">
        <w:t xml:space="preserve"> 47 U.S.C. § 301. </w:t>
      </w:r>
    </w:p>
  </w:footnote>
  <w:footnote w:id="101">
    <w:p w:rsidR="008F64CD" w:rsidRPr="005D7567" w:rsidRDefault="008F64CD" w:rsidP="00487096">
      <w:pPr>
        <w:pStyle w:val="FootnoteText"/>
      </w:pPr>
      <w:r w:rsidRPr="005D7567">
        <w:rPr>
          <w:rStyle w:val="FootnoteReference"/>
        </w:rPr>
        <w:footnoteRef/>
      </w:r>
      <w:r w:rsidRPr="005D7567">
        <w:t xml:space="preserve"> </w:t>
      </w:r>
      <w:r w:rsidRPr="005D7567">
        <w:rPr>
          <w:i/>
        </w:rPr>
        <w:t>Id.</w:t>
      </w:r>
      <w:r w:rsidRPr="005D7567">
        <w:t xml:space="preserve"> </w:t>
      </w:r>
    </w:p>
  </w:footnote>
  <w:footnote w:id="102">
    <w:p w:rsidR="008F64CD" w:rsidRPr="005D7567" w:rsidRDefault="008F64CD" w:rsidP="00487096">
      <w:pPr>
        <w:pStyle w:val="FootnoteText"/>
      </w:pPr>
      <w:r w:rsidRPr="005D7567">
        <w:rPr>
          <w:rStyle w:val="FootnoteReference"/>
        </w:rPr>
        <w:footnoteRef/>
      </w:r>
      <w:r w:rsidRPr="005D7567">
        <w:t xml:space="preserve"> 47 U.S.C. §§ 301, 304, 309.  Section 301 st</w:t>
      </w:r>
      <w:r>
        <w:t xml:space="preserve">ates that the Act provides for </w:t>
      </w:r>
      <w:r w:rsidRPr="005D7567">
        <w:t xml:space="preserve">use, under federally-issued licenses of limited duration, of </w:t>
      </w:r>
      <w:r>
        <w:t>channels of radio transmission,</w:t>
      </w:r>
      <w:r w:rsidRPr="005D7567">
        <w:t xml:space="preserve"> “but not the ownership thereof,” and that “no such license shall be construed to create any right, beyond the terms, conditions, and periods of the license.”  Section 304 states that “[n]o station license shall be granted by the Commission until the applicant therefore shall have waived any claim to the use of any particular frequency or of the electromagnetic spectrum as against the regulatory power of the United States because of the previous use of the same, whether by license or otherwise.”</w:t>
      </w:r>
      <w:r>
        <w:t xml:space="preserve"> </w:t>
      </w:r>
      <w:r w:rsidRPr="005D7567">
        <w:t xml:space="preserve"> Section 309(h) requires that each FCC license contain, </w:t>
      </w:r>
      <w:r w:rsidRPr="005D7567">
        <w:rPr>
          <w:i/>
          <w:iCs/>
        </w:rPr>
        <w:t>inter alia</w:t>
      </w:r>
      <w:r w:rsidRPr="005D7567">
        <w:t xml:space="preserve">, a condition that the “station license shall not vest in the licensee any right to operate the station nor any right in the use of the frequencies designated in the license beyond the term thereof nor in any other manner than authorized therein.” </w:t>
      </w:r>
    </w:p>
  </w:footnote>
  <w:footnote w:id="103">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Celtronix Telemetry, Inc. v. FCC, </w:t>
      </w:r>
      <w:r>
        <w:t>272 F.3d 585, 589-</w:t>
      </w:r>
      <w:r w:rsidRPr="005D7567">
        <w:t>90 (D.C. Cir. 2001) (citing 47 U.S.C. §§ 309(j)(6)(C)-(D).</w:t>
      </w:r>
    </w:p>
  </w:footnote>
  <w:footnote w:id="104">
    <w:p w:rsidR="008F64CD" w:rsidRPr="005D7567" w:rsidRDefault="008F64CD" w:rsidP="00487096">
      <w:pPr>
        <w:pStyle w:val="FootnoteText"/>
      </w:pPr>
      <w:r w:rsidRPr="005D7567">
        <w:rPr>
          <w:rStyle w:val="FootnoteReference"/>
        </w:rPr>
        <w:footnoteRef/>
      </w:r>
      <w:r w:rsidRPr="005D7567">
        <w:t xml:space="preserve"> 47 U.S.C. §</w:t>
      </w:r>
      <w:r w:rsidRPr="008816A0">
        <w:t>§ 303(b), 303(f).</w:t>
      </w:r>
    </w:p>
  </w:footnote>
  <w:footnote w:id="105">
    <w:p w:rsidR="008F64CD" w:rsidRPr="005D7567" w:rsidRDefault="008F64CD" w:rsidP="00487096">
      <w:pPr>
        <w:pStyle w:val="FootnoteText"/>
      </w:pPr>
      <w:r w:rsidRPr="005D7567">
        <w:rPr>
          <w:rStyle w:val="FootnoteReference"/>
        </w:rPr>
        <w:footnoteRef/>
      </w:r>
      <w:r w:rsidRPr="005D7567">
        <w:t xml:space="preserve"> 47 U.S.C. § 316. </w:t>
      </w:r>
      <w:r>
        <w:t xml:space="preserve"> </w:t>
      </w:r>
    </w:p>
  </w:footnote>
  <w:footnote w:id="106">
    <w:p w:rsidR="008F64CD" w:rsidRDefault="008F64CD" w:rsidP="00487096">
      <w:pPr>
        <w:pStyle w:val="FootnoteText"/>
      </w:pPr>
      <w:r>
        <w:rPr>
          <w:rStyle w:val="FootnoteReference"/>
        </w:rPr>
        <w:footnoteRef/>
      </w:r>
      <w:r>
        <w:t xml:space="preserve"> </w:t>
      </w:r>
      <w:r>
        <w:rPr>
          <w:i/>
        </w:rPr>
        <w:t>See</w:t>
      </w:r>
      <w:r>
        <w:t xml:space="preserve"> 47 C.F.R. § 73.622(f)(8).  Maximum ERP of 1000 kW is allowed if antenna HAAT is at or below 365 meters.  For higher HAAT levels, lower maximum ERP is allowed according to the “Maximum Allowable ERP and Antenna Height for DTV Stations on Channels 14-59, All Zones” table.  </w:t>
      </w:r>
      <w:r>
        <w:rPr>
          <w:i/>
        </w:rPr>
        <w:t>Id.</w:t>
      </w:r>
      <w:r>
        <w:t xml:space="preserve"> § 73.622(f)(8)(i).  </w:t>
      </w:r>
    </w:p>
  </w:footnote>
  <w:footnote w:id="107">
    <w:p w:rsidR="008F64CD" w:rsidRPr="005D7567" w:rsidRDefault="008F64CD" w:rsidP="00487096">
      <w:pPr>
        <w:pStyle w:val="FootnoteText"/>
      </w:pPr>
      <w:r w:rsidRPr="005D7567">
        <w:rPr>
          <w:rStyle w:val="FootnoteReference"/>
        </w:rPr>
        <w:footnoteRef/>
      </w:r>
      <w:r w:rsidRPr="005D7567">
        <w:t xml:space="preserve"> </w:t>
      </w:r>
      <w:r w:rsidRPr="005D7567">
        <w:rPr>
          <w:i/>
        </w:rPr>
        <w:t>Interoperability NPRM</w:t>
      </w:r>
      <w:r w:rsidRPr="005D7567">
        <w:t>, 27 FCC Rcd at 3536 ¶ 32.</w:t>
      </w:r>
      <w:r>
        <w:t xml:space="preserve">  </w:t>
      </w:r>
    </w:p>
  </w:footnote>
  <w:footnote w:id="108">
    <w:p w:rsidR="008F64CD" w:rsidRDefault="008F64CD" w:rsidP="00487096">
      <w:pPr>
        <w:pStyle w:val="FootnoteText"/>
      </w:pPr>
      <w:r>
        <w:rPr>
          <w:rStyle w:val="FootnoteReference"/>
        </w:rPr>
        <w:footnoteRef/>
      </w:r>
      <w:r>
        <w:t xml:space="preserve"> </w:t>
      </w:r>
      <w:r w:rsidRPr="005D7567">
        <w:rPr>
          <w:i/>
        </w:rPr>
        <w:t>See, e.g.,</w:t>
      </w:r>
      <w:r w:rsidRPr="005D7567">
        <w:t xml:space="preserve"> AT&amp;T Comments at 29; Qualcomm Comments at 34-35; V-COMM </w:t>
      </w:r>
      <w:r>
        <w:t xml:space="preserve">Study </w:t>
      </w:r>
      <w:r w:rsidRPr="005D7567">
        <w:t>at 4-5.</w:t>
      </w:r>
    </w:p>
  </w:footnote>
  <w:footnote w:id="109">
    <w:p w:rsidR="008F64CD" w:rsidRPr="005D7567" w:rsidRDefault="008F64CD" w:rsidP="00487096">
      <w:pPr>
        <w:pStyle w:val="FootnoteText"/>
        <w:rPr>
          <w:i/>
        </w:rPr>
      </w:pPr>
      <w:r w:rsidRPr="005D7567">
        <w:rPr>
          <w:rStyle w:val="FootnoteReference"/>
        </w:rPr>
        <w:footnoteRef/>
      </w:r>
      <w:r w:rsidRPr="005D7567">
        <w:t xml:space="preserve"> </w:t>
      </w:r>
      <w:r>
        <w:rPr>
          <w:i/>
        </w:rPr>
        <w:t xml:space="preserve">See </w:t>
      </w:r>
      <w:r w:rsidRPr="005D7567">
        <w:rPr>
          <w:i/>
        </w:rPr>
        <w:t>Interoperability NPRM</w:t>
      </w:r>
      <w:r w:rsidRPr="005D7567">
        <w:t xml:space="preserve">, 27 FCC Rcd at </w:t>
      </w:r>
      <w:r>
        <w:t>3539-44</w:t>
      </w:r>
      <w:r w:rsidRPr="005D7567">
        <w:t xml:space="preserve"> ¶¶</w:t>
      </w:r>
      <w:r>
        <w:t xml:space="preserve"> 40-52</w:t>
      </w:r>
      <w:r w:rsidRPr="005D7567">
        <w:t>.</w:t>
      </w:r>
    </w:p>
  </w:footnote>
  <w:footnote w:id="110">
    <w:p w:rsidR="008F64CD" w:rsidRPr="005D7567" w:rsidRDefault="008F64CD" w:rsidP="00487096">
      <w:pPr>
        <w:pStyle w:val="FootnoteText"/>
      </w:pPr>
      <w:r w:rsidRPr="005D7567">
        <w:rPr>
          <w:rStyle w:val="FootnoteReference"/>
        </w:rPr>
        <w:footnoteRef/>
      </w:r>
      <w:r w:rsidRPr="005D7567">
        <w:t xml:space="preserve"> </w:t>
      </w:r>
      <w:r>
        <w:t xml:space="preserve">V-COMM Study; </w:t>
      </w:r>
      <w:r w:rsidRPr="005D7567">
        <w:t>V-COMM, L</w:t>
      </w:r>
      <w:r>
        <w:t>.L.C’s Ex Parte Reply Comments,</w:t>
      </w:r>
      <w:r w:rsidRPr="005D7567">
        <w:t xml:space="preserve"> WT Docket No. 12-69 (Oct. 26, 2012) (V-COMM Oct. 26, 2012 </w:t>
      </w:r>
      <w:r w:rsidRPr="009A1C8D">
        <w:t>Ex Parte</w:t>
      </w:r>
      <w:r>
        <w:t xml:space="preserve"> Reply Comments); </w:t>
      </w:r>
      <w:r w:rsidRPr="005D7567">
        <w:t xml:space="preserve">Hyslop-Kolodzy Report.  </w:t>
      </w:r>
    </w:p>
  </w:footnote>
  <w:footnote w:id="111">
    <w:p w:rsidR="008F64CD" w:rsidRPr="005D7567" w:rsidRDefault="008F64CD" w:rsidP="00487096">
      <w:pPr>
        <w:pStyle w:val="FootnoteText"/>
      </w:pPr>
      <w:r w:rsidRPr="005D7567">
        <w:rPr>
          <w:rStyle w:val="FootnoteReference"/>
        </w:rPr>
        <w:footnoteRef/>
      </w:r>
      <w:r w:rsidRPr="005D7567">
        <w:t xml:space="preserve"> AT&amp;T Comments, Exhibit A, Jeffrey H. Reed and Nishith D. Tripathi, “Impact of Channel 51 and E Block Interference on Band 12 and Band 17 User Equipment Receivers” (Reed and Tripathi Report); AT&amp;T Reply Comments, Attachment A, Jeffrey H. Reed and Nishith D. Tripathi, “Supplemental Analysis:  Impact of Channel 51 and E Block Interference on Band 12 and Band 17 User Equipment Receivers,” (Reed and Tripathi Reply Report)</w:t>
      </w:r>
      <w:r>
        <w:t xml:space="preserve"> and Exhibit A Test Methodology</w:t>
      </w:r>
      <w:r w:rsidRPr="005D7567">
        <w:t xml:space="preserve">.  AT&amp;T submitted additional material from Reed and Tripathi.  </w:t>
      </w:r>
      <w:r w:rsidRPr="005D7567">
        <w:rPr>
          <w:i/>
        </w:rPr>
        <w:t xml:space="preserve">See </w:t>
      </w:r>
      <w:r w:rsidRPr="005D7567">
        <w:t xml:space="preserve">Letter from David L. Lawson, Sidley Austin LLP, for AT&amp;T, to Marlene H. Dortch, Secretary, FCC, </w:t>
      </w:r>
      <w:r>
        <w:t>Letter</w:t>
      </w:r>
      <w:r w:rsidRPr="005D7567">
        <w:t xml:space="preserve"> &amp; Attachment (AT&amp;T Oct. 3, 2012 </w:t>
      </w:r>
      <w:r>
        <w:t>Letter</w:t>
      </w:r>
      <w:r w:rsidRPr="005D7567">
        <w:t xml:space="preserve">), Attachment, Reed and Tripathi, “Analysis of the V-COMM Report Estimating the Impact of Channel 51 and E Block Interference on Band 12 and Band 17 User Equipment Receivers” (Reed and Tripathi Supplement).  </w:t>
      </w:r>
    </w:p>
  </w:footnote>
  <w:footnote w:id="112">
    <w:p w:rsidR="008F64CD" w:rsidRPr="005D7567" w:rsidRDefault="008F64CD" w:rsidP="00487096">
      <w:pPr>
        <w:pStyle w:val="FootnoteText"/>
      </w:pPr>
      <w:r w:rsidRPr="005D7567">
        <w:rPr>
          <w:rStyle w:val="FootnoteReference"/>
        </w:rPr>
        <w:footnoteRef/>
      </w:r>
      <w:r w:rsidRPr="005D7567">
        <w:rPr>
          <w:i/>
        </w:rPr>
        <w:t xml:space="preserve"> </w:t>
      </w:r>
      <w:r w:rsidRPr="005D7567">
        <w:t xml:space="preserve">Reed and Tripathi Reply Report, </w:t>
      </w:r>
      <w:r>
        <w:t xml:space="preserve">Attachment A, </w:t>
      </w:r>
      <w:r w:rsidRPr="005D7567">
        <w:t>Exhibit B, “Evaluation Report; Assess Potential Interference to Band Class 12 and Band Class 17 LTE Devices from Channel 51 Broadcasting” (prepared by PCTEST Engineering Laboratory, Inc., (PCTEST)</w:t>
      </w:r>
      <w:r>
        <w:t xml:space="preserve"> </w:t>
      </w:r>
      <w:r w:rsidRPr="005D7567">
        <w:t xml:space="preserve">for AT&amp;T Services Inc.) (PCTEST Study).    </w:t>
      </w:r>
    </w:p>
  </w:footnote>
  <w:footnote w:id="113">
    <w:p w:rsidR="008F64CD" w:rsidRPr="005D7567" w:rsidRDefault="008F64CD" w:rsidP="00487096">
      <w:pPr>
        <w:pStyle w:val="FootnoteText"/>
      </w:pPr>
      <w:r w:rsidRPr="005D7567">
        <w:rPr>
          <w:rStyle w:val="FootnoteReference"/>
        </w:rPr>
        <w:footnoteRef/>
      </w:r>
      <w:r>
        <w:t xml:space="preserve"> </w:t>
      </w:r>
      <w:r w:rsidRPr="005D7567">
        <w:t xml:space="preserve">Reed and Tripathi Reply Report, </w:t>
      </w:r>
      <w:r>
        <w:t xml:space="preserve">Attachment A, </w:t>
      </w:r>
      <w:r w:rsidRPr="005D7567">
        <w:t xml:space="preserve">Exhibit C, “Test Report: Assess Interference to Band Class 12 LTE Devices from Channel 51 Broadcasting” (prepared by 7Layers for AT&amp;T Services Inc.) (7Layers Study); AT&amp;T Oct. 3, 2012 </w:t>
      </w:r>
      <w:r>
        <w:t>Letter</w:t>
      </w:r>
      <w:r w:rsidRPr="005D7567">
        <w:t xml:space="preserve">, Reed and Tripathi Supplement, Exhibit A, 7Layers, </w:t>
      </w:r>
      <w:r>
        <w:t>“</w:t>
      </w:r>
      <w:r w:rsidRPr="005D7567">
        <w:t>Test Report: Test Configuration for Evaluation of the Impact of Varying LTE Signal Levels on the Band 12 Device Performance in the Presence of Channel 51 Interference</w:t>
      </w:r>
      <w:r>
        <w:t>”</w:t>
      </w:r>
      <w:r w:rsidRPr="005D7567">
        <w:t xml:space="preserve"> (7Layers Supplement).   </w:t>
      </w:r>
    </w:p>
  </w:footnote>
  <w:footnote w:id="114">
    <w:p w:rsidR="008F64CD" w:rsidRPr="00572842" w:rsidRDefault="008F64CD" w:rsidP="00487096">
      <w:pPr>
        <w:pStyle w:val="FootnoteText"/>
      </w:pPr>
      <w:r w:rsidRPr="005D7567">
        <w:rPr>
          <w:rStyle w:val="FootnoteReference"/>
        </w:rPr>
        <w:footnoteRef/>
      </w:r>
      <w:r w:rsidRPr="005D7567">
        <w:t xml:space="preserve"> </w:t>
      </w:r>
      <w:r w:rsidRPr="005D7567">
        <w:rPr>
          <w:i/>
        </w:rPr>
        <w:t xml:space="preserve">See </w:t>
      </w:r>
      <w:r w:rsidRPr="005D7567">
        <w:t>Qual</w:t>
      </w:r>
      <w:r>
        <w:t>comm Comments (</w:t>
      </w:r>
      <w:r w:rsidRPr="005D7567">
        <w:t>also referred to as “Qualcomm Study”)</w:t>
      </w:r>
      <w:r>
        <w:t xml:space="preserve">; </w:t>
      </w:r>
      <w:r>
        <w:rPr>
          <w:i/>
        </w:rPr>
        <w:t xml:space="preserve">see also </w:t>
      </w:r>
      <w:r>
        <w:t>Qualcomm Reply Comments</w:t>
      </w:r>
      <w:r w:rsidRPr="005D7567">
        <w:t>.</w:t>
      </w:r>
      <w:r>
        <w:t xml:space="preserve">  In addition, Motorola comments that Band Class 12 devices will have reduced sensitivity due to Channel 51 operations.  </w:t>
      </w:r>
      <w:r>
        <w:rPr>
          <w:i/>
        </w:rPr>
        <w:t xml:space="preserve">See </w:t>
      </w:r>
      <w:r>
        <w:t>Motorola Comments at 2-3.</w:t>
      </w:r>
    </w:p>
  </w:footnote>
  <w:footnote w:id="115">
    <w:p w:rsidR="008F64CD" w:rsidRDefault="008F64CD" w:rsidP="00487096">
      <w:pPr>
        <w:pStyle w:val="FootnoteText"/>
      </w:pPr>
      <w:r>
        <w:rPr>
          <w:rStyle w:val="FootnoteReference"/>
        </w:rPr>
        <w:footnoteRef/>
      </w:r>
      <w:r>
        <w:t xml:space="preserve"> AT&amp;T Sept. 10, 2013 </w:t>
      </w:r>
      <w:r w:rsidRPr="009A1C8D">
        <w:t>Ex Parte</w:t>
      </w:r>
      <w:r>
        <w:t xml:space="preserve"> at 1.</w:t>
      </w:r>
    </w:p>
  </w:footnote>
  <w:footnote w:id="116">
    <w:p w:rsidR="008F64CD" w:rsidRDefault="008F64CD" w:rsidP="00487096">
      <w:pPr>
        <w:pStyle w:val="FootnoteText"/>
      </w:pPr>
      <w:r>
        <w:rPr>
          <w:rStyle w:val="FootnoteReference"/>
        </w:rPr>
        <w:footnoteRef/>
      </w:r>
      <w:r>
        <w:t xml:space="preserve"> </w:t>
      </w:r>
      <w:r w:rsidRPr="00B73AE1">
        <w:rPr>
          <w:i/>
        </w:rPr>
        <w:t>See</w:t>
      </w:r>
      <w:r>
        <w:t xml:space="preserve"> </w:t>
      </w:r>
      <w:r w:rsidRPr="005D7567">
        <w:t>47 C.F.R. §2.1(c)</w:t>
      </w:r>
      <w:r>
        <w:t>(</w:t>
      </w:r>
      <w:r w:rsidRPr="005D7567">
        <w:t>defin</w:t>
      </w:r>
      <w:r>
        <w:t>ing “I</w:t>
      </w:r>
      <w:r w:rsidRPr="005D7567">
        <w:t>nterference”</w:t>
      </w:r>
      <w:r>
        <w:t xml:space="preserve"> and “Harmful Interference”); </w:t>
      </w:r>
      <w:r w:rsidRPr="005D7567">
        <w:rPr>
          <w:i/>
          <w:color w:val="000000"/>
          <w:spacing w:val="-2"/>
        </w:rPr>
        <w:t>H Block Report and Order</w:t>
      </w:r>
      <w:r w:rsidRPr="005D7567">
        <w:rPr>
          <w:color w:val="000000"/>
          <w:spacing w:val="-2"/>
        </w:rPr>
        <w:t>,</w:t>
      </w:r>
      <w:r>
        <w:rPr>
          <w:color w:val="000000"/>
          <w:spacing w:val="-2"/>
        </w:rPr>
        <w:t xml:space="preserve"> 28</w:t>
      </w:r>
      <w:r w:rsidRPr="005D7567">
        <w:rPr>
          <w:color w:val="000000"/>
          <w:spacing w:val="-2"/>
        </w:rPr>
        <w:t xml:space="preserve"> FCC Rcd at 9494-95</w:t>
      </w:r>
      <w:r w:rsidRPr="005D7567">
        <w:t xml:space="preserve"> ¶ 23.</w:t>
      </w:r>
      <w:r>
        <w:t xml:space="preserve">  </w:t>
      </w:r>
      <w:r w:rsidRPr="00FE4D9D">
        <w:rPr>
          <w:i/>
        </w:rPr>
        <w:t>See</w:t>
      </w:r>
      <w:r>
        <w:t xml:space="preserve"> </w:t>
      </w:r>
      <w:r>
        <w:rPr>
          <w:i/>
        </w:rPr>
        <w:t xml:space="preserve">also </w:t>
      </w:r>
      <w:r w:rsidRPr="005D7567">
        <w:t>Hyslop-Kolodzy Report</w:t>
      </w:r>
      <w:r>
        <w:t xml:space="preserve"> at 67-68</w:t>
      </w:r>
      <w:r w:rsidRPr="005D7567">
        <w:t xml:space="preserve">; Vulcan </w:t>
      </w:r>
      <w:r>
        <w:t>Comments at 14-15; U.S. Cellular Comments at 6-8;</w:t>
      </w:r>
      <w:r>
        <w:rPr>
          <w:i/>
        </w:rPr>
        <w:t xml:space="preserve"> </w:t>
      </w:r>
      <w:r>
        <w:t>V-COMM Study</w:t>
      </w:r>
      <w:r w:rsidRPr="005D7567">
        <w:t xml:space="preserve"> at </w:t>
      </w:r>
      <w:r>
        <w:t>2, 9, 11-29</w:t>
      </w:r>
      <w:r w:rsidRPr="005D7567">
        <w:t>.</w:t>
      </w:r>
    </w:p>
  </w:footnote>
  <w:footnote w:id="117">
    <w:p w:rsidR="008F64CD" w:rsidRDefault="008F64CD" w:rsidP="00487096">
      <w:pPr>
        <w:pStyle w:val="FootnoteText"/>
      </w:pPr>
      <w:r>
        <w:rPr>
          <w:rStyle w:val="FootnoteReference"/>
        </w:rPr>
        <w:footnoteRef/>
      </w:r>
      <w:r>
        <w:t xml:space="preserve"> </w:t>
      </w:r>
      <w:r w:rsidRPr="003D7BE1">
        <w:rPr>
          <w:i/>
        </w:rPr>
        <w:t>See</w:t>
      </w:r>
      <w:r w:rsidRPr="003D7BE1">
        <w:t xml:space="preserve"> V-COMM Study at 2, 9; </w:t>
      </w:r>
      <w:r w:rsidRPr="003D7BE1">
        <w:rPr>
          <w:i/>
        </w:rPr>
        <w:t xml:space="preserve">see also </w:t>
      </w:r>
      <w:r>
        <w:t>RCA Reply Comments at 8</w:t>
      </w:r>
      <w:r w:rsidRPr="003D7BE1">
        <w:t>, n. 19.</w:t>
      </w:r>
    </w:p>
  </w:footnote>
  <w:footnote w:id="118">
    <w:p w:rsidR="008F64CD" w:rsidRPr="002A0C53" w:rsidRDefault="008F64CD" w:rsidP="00487096">
      <w:pPr>
        <w:pStyle w:val="FootnoteText"/>
        <w:rPr>
          <w:i/>
        </w:rPr>
      </w:pPr>
      <w:r>
        <w:rPr>
          <w:rStyle w:val="FootnoteReference"/>
        </w:rPr>
        <w:footnoteRef/>
      </w:r>
      <w:r>
        <w:t xml:space="preserve"> </w:t>
      </w:r>
      <w:r>
        <w:rPr>
          <w:i/>
        </w:rPr>
        <w:t xml:space="preserve">See </w:t>
      </w:r>
      <w:r w:rsidRPr="00B723ED">
        <w:t>AT&amp;T Sept. 10, 2013 Ex Parte</w:t>
      </w:r>
      <w:r>
        <w:rPr>
          <w:i/>
        </w:rPr>
        <w:t>, generally.</w:t>
      </w:r>
    </w:p>
  </w:footnote>
  <w:footnote w:id="119">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Hyslop-Kolodzy Report</w:t>
      </w:r>
      <w:r>
        <w:t xml:space="preserve"> at 67-68</w:t>
      </w:r>
      <w:r w:rsidRPr="005D7567">
        <w:t>; Vulcan Comments at 14-15; U.S. Cellular Comments at 6-8.</w:t>
      </w:r>
    </w:p>
  </w:footnote>
  <w:footnote w:id="120">
    <w:p w:rsidR="008F64CD" w:rsidRPr="005D7567" w:rsidRDefault="008F64CD" w:rsidP="00487096">
      <w:pPr>
        <w:pStyle w:val="FootnoteText"/>
      </w:pPr>
      <w:r w:rsidRPr="005D7567">
        <w:rPr>
          <w:rStyle w:val="FootnoteReference"/>
        </w:rPr>
        <w:footnoteRef/>
      </w:r>
      <w:r w:rsidRPr="005D7567">
        <w:t xml:space="preserve"> </w:t>
      </w:r>
      <w:r w:rsidRPr="005D7567">
        <w:rPr>
          <w:i/>
        </w:rPr>
        <w:t>See</w:t>
      </w:r>
      <w:r>
        <w:rPr>
          <w:i/>
        </w:rPr>
        <w:t xml:space="preserve">, e.g., </w:t>
      </w:r>
      <w:r>
        <w:t>Letter from Christopher J. Termini, Counsel to Vulcan Wireless LLC, to Marlene H. Dortch, Secretary, FCC, WT Docket No. 12-69, at 2 (filed Aug. 9, 2012) (</w:t>
      </w:r>
      <w:r w:rsidRPr="005D7567">
        <w:t xml:space="preserve">Vulcan </w:t>
      </w:r>
      <w:r>
        <w:t>Aug. 9, 2012 Ex Parte)</w:t>
      </w:r>
      <w:r w:rsidRPr="005D7567">
        <w:t xml:space="preserve"> at 2</w:t>
      </w:r>
      <w:r>
        <w:t xml:space="preserve">; </w:t>
      </w:r>
      <w:r w:rsidRPr="005D7567">
        <w:t xml:space="preserve">V-COMM Oct. 26, 2012 </w:t>
      </w:r>
      <w:r w:rsidRPr="009A1C8D">
        <w:t>Ex Parte</w:t>
      </w:r>
      <w:r>
        <w:t xml:space="preserve"> Reply Comments at 14</w:t>
      </w:r>
      <w:r w:rsidRPr="005D7567">
        <w:t>.</w:t>
      </w:r>
      <w:r w:rsidRPr="006616F1">
        <w:rPr>
          <w:i/>
        </w:rPr>
        <w:t xml:space="preserve"> </w:t>
      </w:r>
      <w:r>
        <w:rPr>
          <w:i/>
        </w:rPr>
        <w:t xml:space="preserve">See also </w:t>
      </w:r>
      <w:r>
        <w:t>PCTEST Study at 14; 7Layers Supplement at 6-7.</w:t>
      </w:r>
    </w:p>
  </w:footnote>
  <w:footnote w:id="121">
    <w:p w:rsidR="008F64CD" w:rsidRPr="00584C11" w:rsidRDefault="008F64CD" w:rsidP="00487096">
      <w:pPr>
        <w:pStyle w:val="FootnoteText"/>
      </w:pPr>
      <w:r>
        <w:rPr>
          <w:rStyle w:val="FootnoteReference"/>
        </w:rPr>
        <w:footnoteRef/>
      </w:r>
      <w:r>
        <w:t xml:space="preserve"> </w:t>
      </w:r>
      <w:r>
        <w:rPr>
          <w:i/>
        </w:rPr>
        <w:t xml:space="preserve">Compare </w:t>
      </w:r>
      <w:r w:rsidRPr="005D7567">
        <w:t xml:space="preserve">V-COMM Study at 5-6; V-COMM Oct. 26, 2012 </w:t>
      </w:r>
      <w:r w:rsidRPr="005D7567">
        <w:rPr>
          <w:i/>
        </w:rPr>
        <w:t>Ex Parte</w:t>
      </w:r>
      <w:r w:rsidRPr="005D7567">
        <w:t xml:space="preserve"> Reply Comments at 10, 14-15</w:t>
      </w:r>
      <w:r>
        <w:t xml:space="preserve">; </w:t>
      </w:r>
      <w:r w:rsidRPr="005D7567">
        <w:t xml:space="preserve">Hyslop-Kolodzy Report at 15; Letter from Michele C. Farquhar, Counsel to Vulcan Wireless LLC, to Marlene H. Dortch, Secretary, FCC, </w:t>
      </w:r>
      <w:r>
        <w:t xml:space="preserve">WT Docket No. 12-69, at attachment slide 3 </w:t>
      </w:r>
      <w:r w:rsidRPr="005D7567">
        <w:t>(</w:t>
      </w:r>
      <w:r>
        <w:t xml:space="preserve">filed </w:t>
      </w:r>
      <w:r w:rsidRPr="005D7567">
        <w:t>Nov. 2</w:t>
      </w:r>
      <w:r>
        <w:t>0, 2012)(</w:t>
      </w:r>
      <w:r w:rsidRPr="005D7567">
        <w:t xml:space="preserve">Vulcan Nov. 20, 2012 </w:t>
      </w:r>
      <w:r w:rsidRPr="009A1C8D">
        <w:t>Ex Parte</w:t>
      </w:r>
      <w:r w:rsidRPr="005D7567">
        <w:t>)</w:t>
      </w:r>
      <w:r>
        <w:t xml:space="preserve"> </w:t>
      </w:r>
      <w:r>
        <w:rPr>
          <w:i/>
        </w:rPr>
        <w:t>with</w:t>
      </w:r>
      <w:r>
        <w:t xml:space="preserve"> </w:t>
      </w:r>
      <w:r w:rsidRPr="005D7567">
        <w:t>PCT</w:t>
      </w:r>
      <w:r>
        <w:t>EST S</w:t>
      </w:r>
      <w:r w:rsidRPr="005D7567">
        <w:t>tudy</w:t>
      </w:r>
      <w:r>
        <w:t>,</w:t>
      </w:r>
      <w:r w:rsidRPr="005D7567">
        <w:t xml:space="preserve">7Layers </w:t>
      </w:r>
      <w:r>
        <w:t xml:space="preserve">Study, </w:t>
      </w:r>
      <w:r w:rsidRPr="005D7567">
        <w:t>7Layers Supplement, Exhibit A at 3.</w:t>
      </w:r>
      <w:r>
        <w:t xml:space="preserve">  </w:t>
      </w:r>
    </w:p>
  </w:footnote>
  <w:footnote w:id="122">
    <w:p w:rsidR="008F64CD" w:rsidRPr="005D7567" w:rsidRDefault="008F64CD" w:rsidP="00487096">
      <w:pPr>
        <w:pStyle w:val="FootnoteText"/>
      </w:pPr>
      <w:r w:rsidRPr="005D7567">
        <w:rPr>
          <w:rStyle w:val="FootnoteReference"/>
        </w:rPr>
        <w:footnoteRef/>
      </w:r>
      <w:r w:rsidRPr="005D7567">
        <w:t xml:space="preserve"> </w:t>
      </w:r>
      <w:r w:rsidRPr="005D7567">
        <w:rPr>
          <w:i/>
        </w:rPr>
        <w:t>See</w:t>
      </w:r>
      <w:r>
        <w:t xml:space="preserve"> Qualcomm Comments at 37 &amp; n.40; </w:t>
      </w:r>
      <w:r w:rsidRPr="005D7567">
        <w:t>Letter fro</w:t>
      </w:r>
      <w:r>
        <w:t>m Benjamin M. Moncrief, Dir. Govt.</w:t>
      </w:r>
      <w:r w:rsidRPr="005D7567">
        <w:t xml:space="preserve"> Relations, C Spire Wireless to Marlene H. Dortch, Secretary, FCC, WT Docket No. 12-69, at 2 (filed </w:t>
      </w:r>
      <w:r>
        <w:t>Aug. 3</w:t>
      </w:r>
      <w:r w:rsidRPr="005D7567">
        <w:t>, 201</w:t>
      </w:r>
      <w:r>
        <w:t>2</w:t>
      </w:r>
      <w:r w:rsidRPr="005D7567">
        <w:t xml:space="preserve">) (C Spire </w:t>
      </w:r>
      <w:r>
        <w:t>Aug</w:t>
      </w:r>
      <w:r w:rsidRPr="005D7567">
        <w:t xml:space="preserve">. </w:t>
      </w:r>
      <w:r>
        <w:t>3</w:t>
      </w:r>
      <w:r w:rsidRPr="005D7567">
        <w:t>, 20</w:t>
      </w:r>
      <w:r>
        <w:t>12</w:t>
      </w:r>
      <w:r w:rsidRPr="005D7567">
        <w:t xml:space="preserve"> </w:t>
      </w:r>
      <w:r w:rsidRPr="00633DD9">
        <w:t>Ex Parte)</w:t>
      </w:r>
      <w:r>
        <w:t xml:space="preserve"> at 1</w:t>
      </w:r>
      <w:r w:rsidRPr="005D7567">
        <w:t>.</w:t>
      </w:r>
    </w:p>
  </w:footnote>
  <w:footnote w:id="123">
    <w:p w:rsidR="008F64CD" w:rsidRPr="005D7567" w:rsidRDefault="008F64CD" w:rsidP="00487096">
      <w:pPr>
        <w:pStyle w:val="FootnoteText"/>
      </w:pPr>
      <w:r w:rsidRPr="005D7567">
        <w:rPr>
          <w:rStyle w:val="FootnoteReference"/>
        </w:rPr>
        <w:footnoteRef/>
      </w:r>
      <w:r w:rsidRPr="005D7567">
        <w:t xml:space="preserve"> </w:t>
      </w:r>
      <w:r>
        <w:t xml:space="preserve">V-COMM Study at 9.  </w:t>
      </w:r>
    </w:p>
  </w:footnote>
  <w:footnote w:id="124">
    <w:p w:rsidR="008F64CD" w:rsidRPr="005D7567" w:rsidRDefault="008F64CD" w:rsidP="00487096">
      <w:pPr>
        <w:pStyle w:val="FootnoteText"/>
      </w:pPr>
      <w:r w:rsidRPr="005D7567">
        <w:rPr>
          <w:rStyle w:val="FootnoteReference"/>
        </w:rPr>
        <w:footnoteRef/>
      </w:r>
      <w:r>
        <w:t xml:space="preserve"> </w:t>
      </w:r>
      <w:r w:rsidRPr="009A1C8D">
        <w:rPr>
          <w:i/>
        </w:rPr>
        <w:t>Id.</w:t>
      </w:r>
      <w:r>
        <w:t xml:space="preserve"> </w:t>
      </w:r>
      <w:r w:rsidRPr="005D7567">
        <w:t xml:space="preserve">at </w:t>
      </w:r>
      <w:r>
        <w:t>2</w:t>
      </w:r>
      <w:r w:rsidRPr="005D7567">
        <w:t>, 9, 11</w:t>
      </w:r>
      <w:r>
        <w:t>-14</w:t>
      </w:r>
      <w:r w:rsidRPr="005D7567">
        <w:t xml:space="preserve"> and Figures 5, 6; </w:t>
      </w:r>
      <w:r w:rsidRPr="005D7567">
        <w:rPr>
          <w:i/>
        </w:rPr>
        <w:t>see</w:t>
      </w:r>
      <w:r w:rsidRPr="005D7567">
        <w:t xml:space="preserve"> </w:t>
      </w:r>
      <w:r w:rsidRPr="00A76A5E">
        <w:rPr>
          <w:i/>
        </w:rPr>
        <w:t>also</w:t>
      </w:r>
      <w:r>
        <w:t xml:space="preserve"> </w:t>
      </w:r>
      <w:r w:rsidRPr="005D7567">
        <w:t xml:space="preserve">Hyslop-Kolodzy Report at 48-51. </w:t>
      </w:r>
    </w:p>
  </w:footnote>
  <w:footnote w:id="125">
    <w:p w:rsidR="008F64CD" w:rsidRPr="005D7567" w:rsidRDefault="008F64CD" w:rsidP="00487096">
      <w:pPr>
        <w:pStyle w:val="FootnoteText"/>
      </w:pPr>
      <w:r w:rsidRPr="005D7567">
        <w:rPr>
          <w:rStyle w:val="FootnoteReference"/>
        </w:rPr>
        <w:footnoteRef/>
      </w:r>
      <w:r w:rsidRPr="005D7567">
        <w:t xml:space="preserve"> </w:t>
      </w:r>
      <w:r w:rsidRPr="005D7567">
        <w:rPr>
          <w:i/>
        </w:rPr>
        <w:t>See</w:t>
      </w:r>
      <w:r>
        <w:t xml:space="preserve"> V-COMM Study at 11-29</w:t>
      </w:r>
      <w:r w:rsidRPr="005D7567">
        <w:t>.</w:t>
      </w:r>
    </w:p>
  </w:footnote>
  <w:footnote w:id="126">
    <w:p w:rsidR="008F64CD" w:rsidRDefault="008F64CD" w:rsidP="00487096">
      <w:pPr>
        <w:pStyle w:val="FootnoteText"/>
      </w:pPr>
      <w:r>
        <w:rPr>
          <w:rStyle w:val="FootnoteReference"/>
        </w:rPr>
        <w:footnoteRef/>
      </w:r>
      <w:r>
        <w:t xml:space="preserve"> </w:t>
      </w:r>
      <w:r w:rsidRPr="0077410F">
        <w:rPr>
          <w:i/>
        </w:rPr>
        <w:t xml:space="preserve">See </w:t>
      </w:r>
      <w:r w:rsidRPr="00D87EAF">
        <w:rPr>
          <w:i/>
        </w:rPr>
        <w:t>H Block Report</w:t>
      </w:r>
      <w:r w:rsidRPr="0077410F">
        <w:rPr>
          <w:i/>
        </w:rPr>
        <w:t xml:space="preserve"> and Order, </w:t>
      </w:r>
      <w:r w:rsidRPr="0077410F">
        <w:t>28 FCC Rcd at 9527 ¶¶ 114, 9537-38 ¶¶143-45.</w:t>
      </w:r>
    </w:p>
  </w:footnote>
  <w:footnote w:id="127">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infra </w:t>
      </w:r>
      <w:r w:rsidRPr="005D7567">
        <w:t>Sec. III.</w:t>
      </w:r>
      <w:r>
        <w:t>D.2</w:t>
      </w:r>
      <w:r w:rsidRPr="005D7567">
        <w:t>.</w:t>
      </w:r>
    </w:p>
  </w:footnote>
  <w:footnote w:id="128">
    <w:p w:rsidR="008F64CD" w:rsidRDefault="008F64CD" w:rsidP="00487096">
      <w:pPr>
        <w:pStyle w:val="FootnoteText"/>
      </w:pPr>
      <w:r>
        <w:rPr>
          <w:rStyle w:val="FootnoteReference"/>
        </w:rPr>
        <w:footnoteRef/>
      </w:r>
      <w:r>
        <w:t xml:space="preserve"> Parties have raised issues concerning broadcast operations in Channel 51, including the clearing of the channel.  </w:t>
      </w:r>
      <w:r>
        <w:rPr>
          <w:i/>
        </w:rPr>
        <w:t>See,</w:t>
      </w:r>
      <w:r w:rsidRPr="00E90445">
        <w:rPr>
          <w:i/>
        </w:rPr>
        <w:t xml:space="preserve"> e.g.</w:t>
      </w:r>
      <w:r>
        <w:t xml:space="preserve">, </w:t>
      </w:r>
      <w:r w:rsidRPr="005D7567">
        <w:t>Letter from Michele C. Farquhar, Counsel to Vulcan Wireless LLC, to Marlene H. D</w:t>
      </w:r>
      <w:r>
        <w:t>ortch, Secretary, FCC, Ex Parte</w:t>
      </w:r>
      <w:r w:rsidRPr="005D7567">
        <w:t xml:space="preserve"> (</w:t>
      </w:r>
      <w:r>
        <w:t>filed Sept</w:t>
      </w:r>
      <w:r w:rsidRPr="005D7567">
        <w:t>. 20, 201</w:t>
      </w:r>
      <w:r>
        <w:t>3</w:t>
      </w:r>
      <w:r w:rsidRPr="005D7567">
        <w:t xml:space="preserve">) (Vulcan </w:t>
      </w:r>
      <w:r>
        <w:t>Sept.</w:t>
      </w:r>
      <w:r w:rsidRPr="005D7567">
        <w:t xml:space="preserve"> 20, 201</w:t>
      </w:r>
      <w:r>
        <w:t>3</w:t>
      </w:r>
      <w:r w:rsidRPr="005D7567">
        <w:t xml:space="preserve"> </w:t>
      </w:r>
      <w:r w:rsidRPr="009A1C8D">
        <w:t>Ex Parte</w:t>
      </w:r>
      <w:r w:rsidRPr="005D7567">
        <w:t>)</w:t>
      </w:r>
      <w:r>
        <w:t>.</w:t>
      </w:r>
    </w:p>
  </w:footnote>
  <w:footnote w:id="129">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rsidRPr="005D7567">
        <w:rPr>
          <w:color w:val="010101"/>
        </w:rPr>
        <w:t xml:space="preserve">General Freeze on the Filing and Processing of Applications for Channel 51 Effective Immediately and Sixty (60) Day Amendment Window for Pending Channel 51 Low Power Television TV Translator and Class A Applications, </w:t>
      </w:r>
      <w:r w:rsidRPr="005D7567">
        <w:rPr>
          <w:rFonts w:eastAsia="TimesNewRoman,Italic"/>
          <w:i/>
          <w:iCs/>
          <w:color w:val="010101"/>
        </w:rPr>
        <w:t>Public Notice</w:t>
      </w:r>
      <w:r w:rsidRPr="005D7567">
        <w:rPr>
          <w:color w:val="010101"/>
        </w:rPr>
        <w:t>, 26 FCC Rcd 11409 (MB 2011) (</w:t>
      </w:r>
      <w:r w:rsidRPr="005D7567">
        <w:rPr>
          <w:i/>
          <w:color w:val="010101"/>
        </w:rPr>
        <w:t>Channel 51 PN</w:t>
      </w:r>
      <w:r w:rsidRPr="005D7567">
        <w:rPr>
          <w:color w:val="010101"/>
        </w:rPr>
        <w:t xml:space="preserve">); </w:t>
      </w:r>
      <w:r w:rsidRPr="005D7567">
        <w:rPr>
          <w:i/>
          <w:color w:val="010101"/>
        </w:rPr>
        <w:t xml:space="preserve">see also </w:t>
      </w:r>
      <w:r w:rsidRPr="005D7567">
        <w:rPr>
          <w:rFonts w:eastAsia="TimesNewRoman,Italic"/>
          <w:color w:val="010101"/>
        </w:rPr>
        <w:t>Petition for Rulemaking and Request for Licensing Freezes by CTIA - the Wireless Association and Rural Cellular Association, RM-11626, filed March 15, 2011</w:t>
      </w:r>
      <w:r w:rsidRPr="005D7567">
        <w:rPr>
          <w:color w:val="010101"/>
        </w:rPr>
        <w:t xml:space="preserve">.  </w:t>
      </w:r>
    </w:p>
  </w:footnote>
  <w:footnote w:id="130">
    <w:p w:rsidR="008F64CD" w:rsidRPr="005D7567" w:rsidRDefault="008F64CD" w:rsidP="00487096">
      <w:pPr>
        <w:pStyle w:val="FootnoteText"/>
      </w:pPr>
      <w:r w:rsidRPr="005D7567">
        <w:rPr>
          <w:rStyle w:val="FootnoteReference"/>
        </w:rPr>
        <w:footnoteRef/>
      </w:r>
      <w:r w:rsidRPr="005D7567">
        <w:t xml:space="preserve"> </w:t>
      </w:r>
      <w:r w:rsidRPr="005D7567">
        <w:rPr>
          <w:i/>
        </w:rPr>
        <w:t>Channel 51 PN</w:t>
      </w:r>
      <w:r w:rsidRPr="005D7567">
        <w:rPr>
          <w:color w:val="010101"/>
        </w:rPr>
        <w:t xml:space="preserve">, 26 FCC Rcd at 11411; </w:t>
      </w:r>
      <w:r w:rsidRPr="005D7567">
        <w:rPr>
          <w:rFonts w:eastAsia="TimesNewRoman,Italic"/>
          <w:i/>
          <w:iCs/>
          <w:color w:val="010101"/>
        </w:rPr>
        <w:t xml:space="preserve">see also </w:t>
      </w:r>
      <w:r w:rsidRPr="005D7567">
        <w:rPr>
          <w:color w:val="010101"/>
        </w:rPr>
        <w:t xml:space="preserve">Freeze on the Filing of Petitions for Digital Channel Substitutions, Effective Immediately, </w:t>
      </w:r>
      <w:r w:rsidRPr="005D7567">
        <w:rPr>
          <w:rFonts w:eastAsia="TimesNewRoman,Italic"/>
          <w:i/>
          <w:iCs/>
          <w:color w:val="010101"/>
        </w:rPr>
        <w:t>Public Notice</w:t>
      </w:r>
      <w:r w:rsidRPr="005D7567">
        <w:rPr>
          <w:color w:val="010101"/>
        </w:rPr>
        <w:t>, 26 FCC Rcd 7721 (MB 2011).</w:t>
      </w:r>
    </w:p>
  </w:footnote>
  <w:footnote w:id="131">
    <w:p w:rsidR="008F64CD" w:rsidRPr="005D7567" w:rsidRDefault="008F64CD" w:rsidP="00487096">
      <w:pPr>
        <w:pStyle w:val="FootnoteText"/>
        <w:rPr>
          <w:rFonts w:eastAsia="TimesNewRoman,Italic"/>
          <w:iCs/>
          <w:color w:val="010101"/>
        </w:rPr>
      </w:pPr>
      <w:r w:rsidRPr="005D7567">
        <w:rPr>
          <w:rStyle w:val="FootnoteReference"/>
        </w:rPr>
        <w:footnoteRef/>
      </w:r>
      <w:r w:rsidRPr="005D7567">
        <w:rPr>
          <w:rStyle w:val="FootnoteReference"/>
        </w:rPr>
        <w:t xml:space="preserve"> </w:t>
      </w:r>
      <w:r w:rsidRPr="005D7567">
        <w:rPr>
          <w:rFonts w:eastAsia="TimesNewRoman,Italic"/>
          <w:i/>
          <w:iCs/>
          <w:color w:val="010101"/>
        </w:rPr>
        <w:t xml:space="preserve">See, e.g., </w:t>
      </w:r>
      <w:r w:rsidRPr="005D7567">
        <w:rPr>
          <w:rFonts w:eastAsia="TimesNewRoman,Italic"/>
          <w:iCs/>
          <w:color w:val="010101"/>
        </w:rPr>
        <w:t>Amendment of Section 73.622(i), Post</w:t>
      </w:r>
      <w:r>
        <w:rPr>
          <w:rFonts w:eastAsia="TimesNewRoman,Italic"/>
          <w:iCs/>
          <w:color w:val="010101"/>
        </w:rPr>
        <w:t>-Transition</w:t>
      </w:r>
      <w:r w:rsidRPr="005D7567">
        <w:rPr>
          <w:rFonts w:eastAsia="TimesNewRoman,Italic"/>
          <w:iCs/>
          <w:color w:val="010101"/>
        </w:rPr>
        <w:t xml:space="preserve"> Table of </w:t>
      </w:r>
      <w:r>
        <w:rPr>
          <w:rFonts w:eastAsia="TimesNewRoman,Italic"/>
          <w:iCs/>
          <w:color w:val="010101"/>
        </w:rPr>
        <w:t xml:space="preserve">DTV </w:t>
      </w:r>
      <w:r w:rsidRPr="005D7567">
        <w:rPr>
          <w:rFonts w:eastAsia="TimesNewRoman,Italic"/>
          <w:iCs/>
          <w:color w:val="010101"/>
        </w:rPr>
        <w:t>Allotments,</w:t>
      </w:r>
      <w:r>
        <w:rPr>
          <w:rFonts w:eastAsia="TimesNewRoman,Italic"/>
          <w:iCs/>
          <w:color w:val="010101"/>
        </w:rPr>
        <w:t xml:space="preserve"> Television Broadcast Stations (</w:t>
      </w:r>
      <w:r w:rsidRPr="005D7567">
        <w:rPr>
          <w:rFonts w:eastAsia="TimesNewRoman,Italic"/>
          <w:iCs/>
          <w:color w:val="010101"/>
        </w:rPr>
        <w:t>Greenville, North Carolina</w:t>
      </w:r>
      <w:r>
        <w:rPr>
          <w:rFonts w:eastAsia="TimesNewRoman,Italic"/>
          <w:iCs/>
          <w:color w:val="010101"/>
        </w:rPr>
        <w:t>)</w:t>
      </w:r>
      <w:r w:rsidRPr="005D7567">
        <w:rPr>
          <w:rFonts w:eastAsia="TimesNewRoman,Italic"/>
          <w:iCs/>
          <w:color w:val="010101"/>
        </w:rPr>
        <w:t xml:space="preserve">, MB Docket No. 12-130, RM-11662, </w:t>
      </w:r>
      <w:r w:rsidRPr="005D7567">
        <w:rPr>
          <w:rFonts w:eastAsia="TimesNewRoman,Italic"/>
          <w:i/>
          <w:iCs/>
          <w:color w:val="010101"/>
        </w:rPr>
        <w:t>Report and Order</w:t>
      </w:r>
      <w:r w:rsidRPr="005D7567">
        <w:rPr>
          <w:rFonts w:eastAsia="TimesNewRoman,Italic"/>
          <w:iCs/>
          <w:color w:val="010101"/>
        </w:rPr>
        <w:t>, 27 FCC Rcd 8865 (MB 2012); Amend</w:t>
      </w:r>
      <w:r>
        <w:rPr>
          <w:rFonts w:eastAsia="TimesNewRoman,Italic"/>
          <w:iCs/>
          <w:color w:val="010101"/>
        </w:rPr>
        <w:t>ment of Section 73.622(i), Post-</w:t>
      </w:r>
      <w:r w:rsidRPr="005D7567">
        <w:rPr>
          <w:rFonts w:eastAsia="TimesNewRoman,Italic"/>
          <w:iCs/>
          <w:color w:val="010101"/>
        </w:rPr>
        <w:t xml:space="preserve">Transition Table of </w:t>
      </w:r>
      <w:r>
        <w:rPr>
          <w:rFonts w:eastAsia="TimesNewRoman,Italic"/>
          <w:iCs/>
          <w:color w:val="010101"/>
        </w:rPr>
        <w:t xml:space="preserve">DTV </w:t>
      </w:r>
      <w:r w:rsidRPr="005D7567">
        <w:rPr>
          <w:rFonts w:eastAsia="TimesNewRoman,Italic"/>
          <w:iCs/>
          <w:color w:val="010101"/>
        </w:rPr>
        <w:t>Allotments,</w:t>
      </w:r>
      <w:r>
        <w:rPr>
          <w:rFonts w:eastAsia="TimesNewRoman,Italic"/>
          <w:iCs/>
          <w:color w:val="010101"/>
        </w:rPr>
        <w:t xml:space="preserve"> Television Broadcast Stations (</w:t>
      </w:r>
      <w:r w:rsidRPr="005D7567">
        <w:rPr>
          <w:rFonts w:eastAsia="TimesNewRoman,Italic"/>
          <w:iCs/>
          <w:color w:val="010101"/>
        </w:rPr>
        <w:t>Lincoln, Nebraska</w:t>
      </w:r>
      <w:r>
        <w:rPr>
          <w:rFonts w:eastAsia="TimesNewRoman,Italic"/>
          <w:iCs/>
          <w:color w:val="010101"/>
        </w:rPr>
        <w:t>)</w:t>
      </w:r>
      <w:r w:rsidRPr="005D7567">
        <w:rPr>
          <w:rFonts w:eastAsia="TimesNewRoman,Italic"/>
          <w:iCs/>
          <w:color w:val="010101"/>
        </w:rPr>
        <w:t xml:space="preserve">, MB Docket No. 110192, RM-11646, </w:t>
      </w:r>
      <w:r w:rsidRPr="005D7567">
        <w:rPr>
          <w:rFonts w:eastAsia="TimesNewRoman,Italic"/>
          <w:i/>
          <w:iCs/>
          <w:color w:val="010101"/>
        </w:rPr>
        <w:t>Report and Order</w:t>
      </w:r>
      <w:r w:rsidRPr="005D7567">
        <w:rPr>
          <w:rFonts w:eastAsia="TimesNewRoman,Italic"/>
          <w:iCs/>
          <w:color w:val="010101"/>
        </w:rPr>
        <w:t>, 27 FCC Rcd 433 (MB 2012).</w:t>
      </w:r>
    </w:p>
  </w:footnote>
  <w:footnote w:id="132">
    <w:p w:rsidR="008F64CD" w:rsidRPr="005D7567" w:rsidRDefault="008F64CD" w:rsidP="00487096">
      <w:pPr>
        <w:pStyle w:val="FootnoteText"/>
      </w:pPr>
      <w:r w:rsidRPr="005D7567">
        <w:rPr>
          <w:rStyle w:val="FootnoteReference"/>
        </w:rPr>
        <w:footnoteRef/>
      </w:r>
      <w:r w:rsidRPr="005D7567">
        <w:t xml:space="preserve"> </w:t>
      </w:r>
      <w:r w:rsidRPr="005D7567">
        <w:rPr>
          <w:i/>
        </w:rPr>
        <w:t>See Incentive Auctions NPRM</w:t>
      </w:r>
      <w:r w:rsidRPr="005D7567">
        <w:t xml:space="preserve">; </w:t>
      </w:r>
      <w:r w:rsidRPr="005D7567">
        <w:rPr>
          <w:i/>
        </w:rPr>
        <w:t xml:space="preserve">see also </w:t>
      </w:r>
      <w:r w:rsidRPr="005D7567">
        <w:t xml:space="preserve">Wireless Telecommunications Bureau Seeks to Supplement the Record on the 600 MHz Band Plan, GN Docket No. 12-268, </w:t>
      </w:r>
      <w:r w:rsidRPr="005D7567">
        <w:rPr>
          <w:i/>
        </w:rPr>
        <w:t>Public Notice</w:t>
      </w:r>
      <w:r w:rsidRPr="005D7567">
        <w:t xml:space="preserve">, </w:t>
      </w:r>
      <w:r>
        <w:t xml:space="preserve">28 FCC Rcd 7414 (WTB </w:t>
      </w:r>
      <w:r w:rsidRPr="005D7567">
        <w:t>2013) (</w:t>
      </w:r>
      <w:r w:rsidRPr="005D7567">
        <w:rPr>
          <w:i/>
        </w:rPr>
        <w:t>Band Plan PN</w:t>
      </w:r>
      <w:r w:rsidRPr="005D7567">
        <w:t>).</w:t>
      </w:r>
    </w:p>
  </w:footnote>
  <w:footnote w:id="133">
    <w:p w:rsidR="008F64CD" w:rsidRPr="005D7567" w:rsidRDefault="008F64CD" w:rsidP="00487096">
      <w:pPr>
        <w:pStyle w:val="FootnoteText"/>
      </w:pPr>
      <w:r w:rsidRPr="005D7567">
        <w:rPr>
          <w:rStyle w:val="FootnoteReference"/>
        </w:rPr>
        <w:footnoteRef/>
      </w:r>
      <w:r w:rsidRPr="005D7567">
        <w:t xml:space="preserve"> </w:t>
      </w:r>
      <w:r w:rsidRPr="005D7567">
        <w:rPr>
          <w:i/>
        </w:rPr>
        <w:t>Incentive Auctions NPRM</w:t>
      </w:r>
      <w:r>
        <w:t>, 27 FCC Rcd</w:t>
      </w:r>
      <w:r w:rsidRPr="005D7567">
        <w:t xml:space="preserve"> at 12416 ¶ 165 </w:t>
      </w:r>
      <w:r>
        <w:t>&amp; n.246</w:t>
      </w:r>
      <w:r w:rsidRPr="005D7567">
        <w:t xml:space="preserve"> </w:t>
      </w:r>
      <w:r>
        <w:t xml:space="preserve">(noting </w:t>
      </w:r>
      <w:r w:rsidRPr="005D7567">
        <w:t xml:space="preserve">the Commission has been facilitating such relocation requests since August 2011).  Apart from relocation, in the </w:t>
      </w:r>
      <w:r w:rsidRPr="005D7567">
        <w:rPr>
          <w:i/>
        </w:rPr>
        <w:t>Channel Sharing Report and Order</w:t>
      </w:r>
      <w:r w:rsidRPr="005D7567">
        <w:t xml:space="preserve"> the Commission adopted a general framework for channel sharing in connection with the incentive auction process, and stated that it would establish in a future proceeding additional rules governing channel sharing arrangements.  </w:t>
      </w:r>
      <w:r w:rsidRPr="005D7567">
        <w:rPr>
          <w:rFonts w:eastAsia="TimesNewRoman,Italic"/>
          <w:iCs/>
          <w:color w:val="010101"/>
        </w:rPr>
        <w:t>Innovation in the Broadcast Television Bands: Allocations, Channel Sharing and Improvements to the VHF,</w:t>
      </w:r>
      <w:r w:rsidRPr="005D7567">
        <w:rPr>
          <w:rFonts w:eastAsia="TimesNewRoman,Italic"/>
          <w:i/>
          <w:iCs/>
          <w:color w:val="010101"/>
        </w:rPr>
        <w:t xml:space="preserve"> </w:t>
      </w:r>
      <w:r w:rsidRPr="005D7567">
        <w:rPr>
          <w:rFonts w:eastAsia="TimesNewRoman,Italic"/>
          <w:color w:val="010101"/>
        </w:rPr>
        <w:t xml:space="preserve">ET Docket No. 10-235, </w:t>
      </w:r>
      <w:r w:rsidRPr="005D7567">
        <w:rPr>
          <w:rFonts w:eastAsia="TimesNewRoman,Italic"/>
          <w:i/>
          <w:color w:val="010101"/>
        </w:rPr>
        <w:t>Report and Order</w:t>
      </w:r>
      <w:r w:rsidRPr="005D7567">
        <w:rPr>
          <w:rFonts w:eastAsia="TimesNewRoman,Italic"/>
          <w:color w:val="010101"/>
        </w:rPr>
        <w:t>, 27 FCC Rcd 4616, 4621-2</w:t>
      </w:r>
      <w:r>
        <w:rPr>
          <w:rFonts w:eastAsia="TimesNewRoman,Italic"/>
          <w:color w:val="010101"/>
        </w:rPr>
        <w:t>5</w:t>
      </w:r>
      <w:r w:rsidRPr="005D7567">
        <w:rPr>
          <w:rFonts w:eastAsia="TimesNewRoman,Italic"/>
          <w:color w:val="010101"/>
        </w:rPr>
        <w:t xml:space="preserve"> ¶¶ 11-18 (2012) (</w:t>
      </w:r>
      <w:r w:rsidRPr="005D7567">
        <w:rPr>
          <w:rFonts w:eastAsia="TimesNewRoman,Italic"/>
          <w:i/>
          <w:iCs/>
          <w:color w:val="010101"/>
        </w:rPr>
        <w:t>Channel Sharing Report and Order</w:t>
      </w:r>
      <w:r w:rsidRPr="005D7567">
        <w:rPr>
          <w:rFonts w:eastAsia="TimesNewRoman,Italic"/>
          <w:color w:val="010101"/>
        </w:rPr>
        <w:t xml:space="preserve">).  The Commission sought comment on channel sharing issues in the </w:t>
      </w:r>
      <w:r w:rsidRPr="005D7567">
        <w:rPr>
          <w:rFonts w:eastAsia="TimesNewRoman,Italic"/>
          <w:i/>
          <w:color w:val="010101"/>
        </w:rPr>
        <w:t>Incentive Auctions NPRM</w:t>
      </w:r>
      <w:r w:rsidRPr="005D7567">
        <w:rPr>
          <w:rFonts w:eastAsia="TimesNewRoman,Italic"/>
          <w:color w:val="010101"/>
        </w:rPr>
        <w:t xml:space="preserve">.  </w:t>
      </w:r>
      <w:r w:rsidRPr="005D7567">
        <w:rPr>
          <w:rFonts w:eastAsia="TimesNewRoman,Italic"/>
          <w:i/>
          <w:color w:val="010101"/>
        </w:rPr>
        <w:t xml:space="preserve">See </w:t>
      </w:r>
      <w:r w:rsidRPr="005D7567">
        <w:rPr>
          <w:i/>
        </w:rPr>
        <w:t>Incentive Auctions NPRM</w:t>
      </w:r>
      <w:r w:rsidRPr="005D7567">
        <w:t>, 27 FCC Rcd at 12477-80 ¶¶ 362-72</w:t>
      </w:r>
      <w:r w:rsidRPr="005D7567">
        <w:rPr>
          <w:rFonts w:eastAsia="TimesNewRoman,Italic"/>
          <w:color w:val="010101"/>
        </w:rPr>
        <w:t>.</w:t>
      </w:r>
    </w:p>
  </w:footnote>
  <w:footnote w:id="134">
    <w:p w:rsidR="008F64CD" w:rsidRPr="005D7567" w:rsidRDefault="008F64CD" w:rsidP="00487096">
      <w:pPr>
        <w:pStyle w:val="FootnoteText"/>
      </w:pPr>
      <w:r w:rsidRPr="005D7567">
        <w:rPr>
          <w:rStyle w:val="FootnoteReference"/>
        </w:rPr>
        <w:footnoteRef/>
      </w:r>
      <w:r w:rsidRPr="005D7567">
        <w:t xml:space="preserve"> </w:t>
      </w:r>
      <w:r w:rsidRPr="005D7567">
        <w:rPr>
          <w:i/>
        </w:rPr>
        <w:t>Incentive Auctions NPRM</w:t>
      </w:r>
      <w:r w:rsidRPr="005D7567">
        <w:t xml:space="preserve"> </w:t>
      </w:r>
      <w:r>
        <w:t xml:space="preserve">27 FCC Rcd </w:t>
      </w:r>
      <w:r w:rsidRPr="005D7567">
        <w:t>at 12472 ¶ 349.</w:t>
      </w:r>
    </w:p>
  </w:footnote>
  <w:footnote w:id="135">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rsidRPr="005D7567">
        <w:rPr>
          <w:rFonts w:eastAsia="TimesNewRoman,Italic"/>
          <w:i/>
          <w:iCs/>
          <w:color w:val="010101"/>
        </w:rPr>
        <w:t>Channel Sharing Report and Order</w:t>
      </w:r>
      <w:r w:rsidRPr="005D7567">
        <w:rPr>
          <w:rFonts w:eastAsia="TimesNewRoman,Italic"/>
          <w:iCs/>
          <w:color w:val="010101"/>
        </w:rPr>
        <w:t xml:space="preserve">, </w:t>
      </w:r>
      <w:r w:rsidRPr="005D7567">
        <w:rPr>
          <w:rFonts w:eastAsia="TimesNewRoman,Italic"/>
          <w:color w:val="010101"/>
        </w:rPr>
        <w:t>27 FCC Rcd 4616</w:t>
      </w:r>
      <w:r w:rsidRPr="005D7567">
        <w:t xml:space="preserve">; </w:t>
      </w:r>
      <w:r w:rsidRPr="005D7567">
        <w:rPr>
          <w:i/>
        </w:rPr>
        <w:t>see also Incentive Auctions NPRM</w:t>
      </w:r>
      <w:r w:rsidRPr="005D7567">
        <w:t xml:space="preserve">, 27 FCC Rcd at 12477-80 ¶¶ 362-72.  The Commission specified that the rules adopted in the </w:t>
      </w:r>
      <w:r w:rsidRPr="005D7567">
        <w:rPr>
          <w:i/>
        </w:rPr>
        <w:t xml:space="preserve">Channel Sharing Report and Order </w:t>
      </w:r>
      <w:r w:rsidRPr="005D7567">
        <w:t xml:space="preserve">“will be limited to broadcasters participating in an incentive auction process,” and that channel sharing outside of the incentive auction context would be considered in a future proceeding.  </w:t>
      </w:r>
      <w:r w:rsidRPr="005D7567">
        <w:rPr>
          <w:i/>
        </w:rPr>
        <w:t>Channel Sharing Report and Order</w:t>
      </w:r>
      <w:r w:rsidRPr="005D7567">
        <w:t>, 27 FCC Rcd at</w:t>
      </w:r>
      <w:r w:rsidRPr="005D7567">
        <w:rPr>
          <w:i/>
        </w:rPr>
        <w:t xml:space="preserve"> </w:t>
      </w:r>
      <w:r w:rsidRPr="005D7567">
        <w:t>4622 ¶</w:t>
      </w:r>
      <w:r>
        <w:t xml:space="preserve"> 11.</w:t>
      </w:r>
    </w:p>
  </w:footnote>
  <w:footnote w:id="136">
    <w:p w:rsidR="008F64CD" w:rsidRPr="005D7567" w:rsidRDefault="008F64CD" w:rsidP="00487096">
      <w:pPr>
        <w:pStyle w:val="FootnoteText"/>
      </w:pPr>
      <w:r w:rsidRPr="005D7567">
        <w:rPr>
          <w:rStyle w:val="FootnoteReference"/>
        </w:rPr>
        <w:footnoteRef/>
      </w:r>
      <w:r w:rsidRPr="005D7567">
        <w:t xml:space="preserve"> </w:t>
      </w:r>
      <w:r w:rsidRPr="005D7567">
        <w:rPr>
          <w:i/>
        </w:rPr>
        <w:t>Incentive Auctions NPRM</w:t>
      </w:r>
      <w:r w:rsidRPr="005D7567">
        <w:t>, 27 FCC Rcd at 12464-66 ¶¶ 321-329.</w:t>
      </w:r>
    </w:p>
  </w:footnote>
  <w:footnote w:id="137">
    <w:p w:rsidR="008F64CD" w:rsidRDefault="008F64CD" w:rsidP="00487096">
      <w:pPr>
        <w:pStyle w:val="FootnoteText"/>
      </w:pPr>
      <w:r>
        <w:rPr>
          <w:rStyle w:val="FootnoteReference"/>
        </w:rPr>
        <w:footnoteRef/>
      </w:r>
      <w:r>
        <w:t xml:space="preserve"> </w:t>
      </w:r>
      <w:r w:rsidRPr="00C0157B">
        <w:rPr>
          <w:i/>
        </w:rPr>
        <w:t>See Interoperability NPRM</w:t>
      </w:r>
      <w:r>
        <w:t>, 27 FCC Rcd at 3543, ¶ 49.</w:t>
      </w:r>
    </w:p>
  </w:footnote>
  <w:footnote w:id="138">
    <w:p w:rsidR="008F64CD" w:rsidRDefault="008F64CD" w:rsidP="00487096">
      <w:pPr>
        <w:pStyle w:val="FootnoteText"/>
      </w:pPr>
      <w:r>
        <w:rPr>
          <w:rStyle w:val="FootnoteReference"/>
        </w:rPr>
        <w:footnoteRef/>
      </w:r>
      <w:r w:rsidRPr="00C0157B">
        <w:rPr>
          <w:i/>
        </w:rPr>
        <w:t>See Interoperability NPRM</w:t>
      </w:r>
      <w:r>
        <w:t>, 27 FCC Rcd at 3543, ¶ 49.</w:t>
      </w:r>
    </w:p>
  </w:footnote>
  <w:footnote w:id="139">
    <w:p w:rsidR="008F64CD" w:rsidRDefault="008F64CD" w:rsidP="00487096">
      <w:pPr>
        <w:pStyle w:val="FootnoteText"/>
      </w:pPr>
      <w:r>
        <w:rPr>
          <w:rStyle w:val="FootnoteReference"/>
        </w:rPr>
        <w:footnoteRef/>
      </w:r>
      <w:r w:rsidRPr="00C0157B">
        <w:rPr>
          <w:i/>
        </w:rPr>
        <w:t xml:space="preserve">See Interoperability NPRM, </w:t>
      </w:r>
      <w:r>
        <w:t>27 FCC Rcd at 3543, ¶ 49.</w:t>
      </w:r>
    </w:p>
  </w:footnote>
  <w:footnote w:id="140">
    <w:p w:rsidR="008F64CD" w:rsidRDefault="008F64CD" w:rsidP="00487096">
      <w:pPr>
        <w:pStyle w:val="FootnoteText"/>
      </w:pPr>
      <w:r>
        <w:rPr>
          <w:rStyle w:val="FootnoteReference"/>
        </w:rPr>
        <w:footnoteRef/>
      </w:r>
      <w:r>
        <w:t xml:space="preserve"> </w:t>
      </w:r>
      <w:r w:rsidRPr="00D578A6">
        <w:rPr>
          <w:i/>
        </w:rPr>
        <w:t>See</w:t>
      </w:r>
      <w:r>
        <w:t xml:space="preserve"> AT&amp;T Sept. 10, 2013 Ex Parte at 1-3.</w:t>
      </w:r>
    </w:p>
  </w:footnote>
  <w:footnote w:id="141">
    <w:p w:rsidR="008F64CD" w:rsidRDefault="008F64CD" w:rsidP="00487096">
      <w:pPr>
        <w:pStyle w:val="FootnoteText"/>
      </w:pPr>
      <w:r>
        <w:rPr>
          <w:rStyle w:val="FootnoteReference"/>
        </w:rPr>
        <w:footnoteRef/>
      </w:r>
      <w:r>
        <w:t xml:space="preserve"> </w:t>
      </w:r>
      <w:r w:rsidRPr="000A44C2">
        <w:rPr>
          <w:i/>
        </w:rPr>
        <w:t>See</w:t>
      </w:r>
      <w:r>
        <w:t xml:space="preserve"> Coalition Sept. 10, 2013 Ex Parte.</w:t>
      </w:r>
    </w:p>
  </w:footnote>
  <w:footnote w:id="142">
    <w:p w:rsidR="008F64CD" w:rsidRDefault="008F64CD" w:rsidP="00487096">
      <w:pPr>
        <w:pStyle w:val="FootnoteText"/>
      </w:pPr>
      <w:r>
        <w:rPr>
          <w:rStyle w:val="FootnoteReference"/>
        </w:rPr>
        <w:footnoteRef/>
      </w:r>
      <w:r>
        <w:t xml:space="preserve"> AT&amp;T’s commitments are premised on final resolution of the E Block interference issues, in accordance with the power and height limitations adopted above.  AT&amp;T Sept. 10, 2013 Ex Parte at 6.</w:t>
      </w:r>
    </w:p>
  </w:footnote>
  <w:footnote w:id="143">
    <w:p w:rsidR="008F64CD" w:rsidRDefault="008F64CD" w:rsidP="00487096">
      <w:pPr>
        <w:pStyle w:val="FootnoteText"/>
      </w:pPr>
      <w:r>
        <w:rPr>
          <w:rStyle w:val="FootnoteReference"/>
        </w:rPr>
        <w:footnoteRef/>
      </w:r>
      <w:r>
        <w:t xml:space="preserve"> 47 C.F.R. §§ 1.16, 1.17.1.65.</w:t>
      </w:r>
    </w:p>
  </w:footnote>
  <w:footnote w:id="144">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e.g., </w:t>
      </w:r>
      <w:r w:rsidRPr="005D7567">
        <w:t>Comments of Rural</w:t>
      </w:r>
      <w:r>
        <w:t xml:space="preserve"> Telecommunications Group </w:t>
      </w:r>
      <w:r w:rsidRPr="005D7567">
        <w:t>at 6.</w:t>
      </w:r>
    </w:p>
  </w:footnote>
  <w:footnote w:id="145">
    <w:p w:rsidR="008F64CD" w:rsidRPr="005D7567" w:rsidRDefault="008F64CD" w:rsidP="00487096">
      <w:pPr>
        <w:pStyle w:val="FootnoteText"/>
      </w:pPr>
      <w:r w:rsidRPr="005D7567">
        <w:rPr>
          <w:rStyle w:val="FootnoteReference"/>
        </w:rPr>
        <w:footnoteRef/>
      </w:r>
      <w:r w:rsidRPr="005D7567">
        <w:t xml:space="preserve"> Amendment of the Commission’s Rules to Establish New Personal Communications Services, </w:t>
      </w:r>
      <w:r w:rsidRPr="005D7567">
        <w:rPr>
          <w:i/>
        </w:rPr>
        <w:t>Memorandum Opinion and Order</w:t>
      </w:r>
      <w:r w:rsidRPr="005D7567">
        <w:t>, 9 FCC Rcd 4957, 5021-22 ¶¶ 163-64 (1994).</w:t>
      </w:r>
      <w:r w:rsidRPr="00383A6F">
        <w:t xml:space="preserve"> </w:t>
      </w:r>
      <w:r>
        <w:t xml:space="preserve"> </w:t>
      </w:r>
      <w:r>
        <w:rPr>
          <w:i/>
        </w:rPr>
        <w:t xml:space="preserve">See also </w:t>
      </w:r>
      <w:r w:rsidRPr="005D7567">
        <w:t>T-Mobile Reply Comments at 5-6</w:t>
      </w:r>
      <w:r>
        <w:t>;</w:t>
      </w:r>
      <w:r w:rsidRPr="005D7567">
        <w:rPr>
          <w:i/>
        </w:rPr>
        <w:t xml:space="preserve"> </w:t>
      </w:r>
      <w:r>
        <w:t>Letter from Michele C. Farquhar, Counsel to Vulcan Wireless LLC to Marlene H. Dortch, Secretary, FCC WT Docket No. 12-69, filed July 15, 2013 at 3;</w:t>
      </w:r>
      <w:r w:rsidRPr="00383A6F">
        <w:t xml:space="preserve"> </w:t>
      </w:r>
      <w:r w:rsidRPr="005D7567">
        <w:t xml:space="preserve">Consumers Union et al. </w:t>
      </w:r>
      <w:r>
        <w:t xml:space="preserve">Comments </w:t>
      </w:r>
      <w:r w:rsidRPr="005D7567">
        <w:t xml:space="preserve">at 5.  </w:t>
      </w:r>
      <w:r w:rsidRPr="005D7567">
        <w:rPr>
          <w:i/>
        </w:rPr>
        <w:t xml:space="preserve">See also </w:t>
      </w:r>
      <w:r w:rsidRPr="00B068DD">
        <w:rPr>
          <w:iCs/>
        </w:rPr>
        <w:t>Implementation of Section 6002(b) of the Omnibus Budget Reconciliation</w:t>
      </w:r>
      <w:r>
        <w:rPr>
          <w:iCs/>
        </w:rPr>
        <w:t xml:space="preserve"> Act of 1993, Annual Report and </w:t>
      </w:r>
      <w:r w:rsidRPr="00B068DD">
        <w:rPr>
          <w:iCs/>
        </w:rPr>
        <w:t>Analysis of Competitive Market Conditions with Respect to Mobile Wireless, Including Commercial Mobile Services</w:t>
      </w:r>
      <w:r w:rsidRPr="00B068DD">
        <w:t>,</w:t>
      </w:r>
      <w:r>
        <w:t xml:space="preserve"> WT Docket No. 10-133</w:t>
      </w:r>
      <w:r w:rsidRPr="005D7567">
        <w:t xml:space="preserve">, </w:t>
      </w:r>
      <w:r>
        <w:rPr>
          <w:i/>
        </w:rPr>
        <w:t>Fif</w:t>
      </w:r>
      <w:r w:rsidRPr="00B068DD">
        <w:rPr>
          <w:i/>
        </w:rPr>
        <w:t>teenth Report</w:t>
      </w:r>
      <w:r>
        <w:t xml:space="preserve">, 26 FCC Rcd 9664, 9816 </w:t>
      </w:r>
      <w:r w:rsidRPr="005D7567">
        <w:t xml:space="preserve">at ¶ 256; </w:t>
      </w:r>
      <w:r w:rsidRPr="005D7567">
        <w:rPr>
          <w:i/>
          <w:iCs/>
        </w:rPr>
        <w:t>16</w:t>
      </w:r>
      <w:r w:rsidRPr="005D7567">
        <w:rPr>
          <w:i/>
          <w:iCs/>
          <w:vertAlign w:val="superscript"/>
        </w:rPr>
        <w:t>th</w:t>
      </w:r>
      <w:r w:rsidRPr="005D7567">
        <w:rPr>
          <w:i/>
          <w:iCs/>
        </w:rPr>
        <w:t xml:space="preserve"> Annual Mobile Wireless Competition Report</w:t>
      </w:r>
      <w:r w:rsidRPr="005D7567">
        <w:t xml:space="preserve"> </w:t>
      </w:r>
      <w:r>
        <w:t xml:space="preserve">28 FCC Rcd </w:t>
      </w:r>
      <w:r w:rsidRPr="005D7567">
        <w:t xml:space="preserve">at </w:t>
      </w:r>
      <w:r>
        <w:t xml:space="preserve">3900-01 </w:t>
      </w:r>
      <w:r w:rsidRPr="005D7567">
        <w:t>¶ 306.</w:t>
      </w:r>
    </w:p>
  </w:footnote>
  <w:footnote w:id="146">
    <w:p w:rsidR="008F64CD" w:rsidRPr="005D7567" w:rsidRDefault="008F64CD" w:rsidP="00487096">
      <w:pPr>
        <w:pStyle w:val="FootnoteText"/>
      </w:pPr>
      <w:r w:rsidRPr="005D7567">
        <w:rPr>
          <w:rStyle w:val="FootnoteReference"/>
        </w:rPr>
        <w:footnoteRef/>
      </w:r>
      <w:r w:rsidRPr="005D7567">
        <w:t xml:space="preserve"> U.S. Cellular Comments at 3. </w:t>
      </w:r>
    </w:p>
  </w:footnote>
  <w:footnote w:id="147">
    <w:p w:rsidR="008F64CD" w:rsidRPr="005D7567" w:rsidRDefault="008F64CD" w:rsidP="00487096">
      <w:pPr>
        <w:pStyle w:val="FootnoteText"/>
      </w:pPr>
      <w:r w:rsidRPr="005D7567">
        <w:rPr>
          <w:rStyle w:val="FootnoteReference"/>
        </w:rPr>
        <w:footnoteRef/>
      </w:r>
      <w:r w:rsidRPr="005D7567">
        <w:t xml:space="preserve"> Cellular South Comments at 3-5, 20.  Similarly, Pittsburgh Mobile asserts that “lack of interoperability is an absolute barrier to entry for small businesses.”  See Letter from Vincent D. McBride, Pittsburgh</w:t>
      </w:r>
      <w:r>
        <w:t xml:space="preserve"> </w:t>
      </w:r>
      <w:r w:rsidRPr="005D7567">
        <w:t>Mobile to Marlene H. Dortch, Secretary, FCC</w:t>
      </w:r>
      <w:r>
        <w:t>,</w:t>
      </w:r>
      <w:r w:rsidRPr="005D7567">
        <w:t xml:space="preserve"> WT Docket No. 12-69 at 2 (filed Jun. 13, 2013).</w:t>
      </w:r>
    </w:p>
  </w:footnote>
  <w:footnote w:id="148">
    <w:p w:rsidR="008F64CD" w:rsidRPr="005D7567" w:rsidRDefault="008F64CD" w:rsidP="00487096">
      <w:pPr>
        <w:pStyle w:val="FootnoteText"/>
      </w:pPr>
      <w:r w:rsidRPr="005D7567">
        <w:rPr>
          <w:rStyle w:val="FootnoteReference"/>
        </w:rPr>
        <w:footnoteRef/>
      </w:r>
      <w:r w:rsidRPr="005D7567">
        <w:t xml:space="preserve"> Letter from Susan Butler on behalf of Cavalier Wireless, LLC to Marlene H. Dortc</w:t>
      </w:r>
      <w:r>
        <w:t>h, Secretary, FCC, WT Docket No. 12-69, at 2 (filed Ju</w:t>
      </w:r>
      <w:r w:rsidRPr="005D7567">
        <w:t xml:space="preserve">n. 24, 2013).  By contrast, Cavalier asserts, when interoperability existed during the first three generations of wireless networks, “rural, regional and new entrant carriers” in Mississippi and Arkansas “effectively competed against national carriers and were first to build out rural markets and economically depressed areas.” </w:t>
      </w:r>
      <w:r w:rsidRPr="005D7567">
        <w:rPr>
          <w:i/>
        </w:rPr>
        <w:t>Id</w:t>
      </w:r>
      <w:r w:rsidRPr="005D7567">
        <w:t>. at 1.</w:t>
      </w:r>
    </w:p>
  </w:footnote>
  <w:footnote w:id="149">
    <w:p w:rsidR="008F64CD" w:rsidRPr="005D7567" w:rsidRDefault="008F64CD" w:rsidP="00487096">
      <w:pPr>
        <w:pStyle w:val="FootnoteText"/>
      </w:pPr>
      <w:r w:rsidRPr="005D7567">
        <w:rPr>
          <w:rStyle w:val="FootnoteReference"/>
        </w:rPr>
        <w:footnoteRef/>
      </w:r>
      <w:r w:rsidRPr="005D7567">
        <w:t xml:space="preserve"> Letter fro</w:t>
      </w:r>
      <w:r>
        <w:t>m Benjamin M. Moncrief, Dir. Govt.</w:t>
      </w:r>
      <w:r w:rsidRPr="005D7567">
        <w:t xml:space="preserve"> Relations, C Spire Wireless to Marlene H. Dortch, Secretary, FCC, WT Docket No. 12-69, at 2 (filed Jan. </w:t>
      </w:r>
      <w:r>
        <w:t>14, 2013) (C Spire Jan. 14, 2013</w:t>
      </w:r>
      <w:r w:rsidRPr="005D7567">
        <w:t xml:space="preserve"> </w:t>
      </w:r>
      <w:r w:rsidRPr="00633DD9">
        <w:t>Ex Parte)</w:t>
      </w:r>
      <w:r>
        <w:t>.</w:t>
      </w:r>
    </w:p>
  </w:footnote>
  <w:footnote w:id="150">
    <w:p w:rsidR="008F64CD" w:rsidRPr="005D7567" w:rsidRDefault="008F64CD" w:rsidP="00487096">
      <w:pPr>
        <w:pStyle w:val="FootnoteText"/>
      </w:pPr>
      <w:r w:rsidRPr="005D7567">
        <w:rPr>
          <w:rStyle w:val="FootnoteReference"/>
        </w:rPr>
        <w:footnoteRef/>
      </w:r>
      <w:r w:rsidRPr="005D7567">
        <w:t xml:space="preserve"> </w:t>
      </w:r>
      <w:r w:rsidRPr="00A926DC">
        <w:rPr>
          <w:i/>
        </w:rPr>
        <w:t>See, e.g</w:t>
      </w:r>
      <w:r w:rsidRPr="005D7567">
        <w:t>., Letter from Michele C. Farquhar, Counsel to Vulcan Wireless LLC to Marlene H. Dortch, Secretary, FCC, WT Docket No. 12-69, filed Jan. 31, 2013; Letter from Michael Hagg, CEO, Horry Telephone Cooperative to Marlene H. Dortch, Secretary, FCC, WT Docket No. 12-69, filed July 26, 2013.</w:t>
      </w:r>
    </w:p>
  </w:footnote>
  <w:footnote w:id="151">
    <w:p w:rsidR="008F64CD" w:rsidRPr="005D7567" w:rsidRDefault="008F64CD" w:rsidP="00487096">
      <w:pPr>
        <w:pStyle w:val="FootnoteText"/>
      </w:pPr>
      <w:r w:rsidRPr="005D7567">
        <w:rPr>
          <w:rStyle w:val="FootnoteReference"/>
        </w:rPr>
        <w:footnoteRef/>
      </w:r>
      <w:r w:rsidRPr="005D7567">
        <w:t xml:space="preserve"> 47 U.S.C. § 151.</w:t>
      </w:r>
    </w:p>
  </w:footnote>
  <w:footnote w:id="152">
    <w:p w:rsidR="008F64CD" w:rsidRDefault="008F64CD" w:rsidP="00487096">
      <w:pPr>
        <w:pStyle w:val="FootnoteText"/>
      </w:pPr>
      <w:r>
        <w:rPr>
          <w:rStyle w:val="FootnoteReference"/>
        </w:rPr>
        <w:footnoteRef/>
      </w:r>
      <w:r>
        <w:t xml:space="preserve"> </w:t>
      </w:r>
      <w:r w:rsidRPr="00E50CFA">
        <w:rPr>
          <w:i/>
        </w:rPr>
        <w:t xml:space="preserve">See infra </w:t>
      </w:r>
      <w:r w:rsidRPr="00E50CFA">
        <w:t>Appendix B (Final Regulatory Flexibility Analysis), at ¶¶ 9-10.</w:t>
      </w:r>
    </w:p>
  </w:footnote>
  <w:footnote w:id="153">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t>n.1</w:t>
      </w:r>
      <w:r w:rsidRPr="005D7567">
        <w:t xml:space="preserve">, </w:t>
      </w:r>
      <w:r w:rsidRPr="005D7567">
        <w:rPr>
          <w:i/>
        </w:rPr>
        <w:t>supra</w:t>
      </w:r>
      <w:r w:rsidRPr="005D7567">
        <w:t>.</w:t>
      </w:r>
    </w:p>
  </w:footnote>
  <w:footnote w:id="154">
    <w:p w:rsidR="008F64CD" w:rsidRDefault="008F64CD" w:rsidP="00487096">
      <w:pPr>
        <w:pStyle w:val="FootnoteText"/>
      </w:pPr>
      <w:r>
        <w:rPr>
          <w:rStyle w:val="FootnoteReference"/>
        </w:rPr>
        <w:footnoteRef/>
      </w:r>
      <w:r>
        <w:t xml:space="preserve"> </w:t>
      </w:r>
      <w:r w:rsidRPr="00B32807">
        <w:rPr>
          <w:i/>
        </w:rPr>
        <w:t>See e.g.,</w:t>
      </w:r>
      <w:r>
        <w:t xml:space="preserve"> Cellular South Reply Comments at 2; Vulcan Comments at 19; Cavalier Wireless and Continuum Comments at 6-7</w:t>
      </w:r>
    </w:p>
  </w:footnote>
  <w:footnote w:id="155">
    <w:p w:rsidR="008F64CD" w:rsidRPr="005D7567" w:rsidRDefault="008F64CD" w:rsidP="00487096">
      <w:pPr>
        <w:pStyle w:val="FootnoteText"/>
      </w:pPr>
      <w:r w:rsidRPr="005D7567">
        <w:rPr>
          <w:rStyle w:val="FootnoteReference"/>
        </w:rPr>
        <w:footnoteRef/>
      </w:r>
      <w:r w:rsidRPr="005D7567">
        <w:t xml:space="preserve"> 47 U.S.C. § 151.</w:t>
      </w:r>
    </w:p>
  </w:footnote>
  <w:footnote w:id="156">
    <w:p w:rsidR="008F64CD" w:rsidRDefault="008F64CD" w:rsidP="00487096">
      <w:pPr>
        <w:pStyle w:val="FootnoteText"/>
      </w:pPr>
      <w:r>
        <w:rPr>
          <w:rStyle w:val="FootnoteReference"/>
        </w:rPr>
        <w:footnoteRef/>
      </w:r>
      <w:r>
        <w:t xml:space="preserve"> </w:t>
      </w:r>
      <w:r w:rsidRPr="00E53148">
        <w:rPr>
          <w:i/>
        </w:rPr>
        <w:t>See</w:t>
      </w:r>
      <w:r>
        <w:t xml:space="preserve"> AT&amp;T Sept. 10, 2013 Ex Parte at 4.</w:t>
      </w:r>
    </w:p>
  </w:footnote>
  <w:footnote w:id="157">
    <w:p w:rsidR="008F64CD" w:rsidRDefault="008F64CD" w:rsidP="00487096">
      <w:pPr>
        <w:pStyle w:val="FootnoteText"/>
      </w:pPr>
      <w:r>
        <w:rPr>
          <w:rStyle w:val="FootnoteReference"/>
        </w:rPr>
        <w:footnoteRef/>
      </w:r>
      <w:r>
        <w:t xml:space="preserve"> 47 C.F.R. § 27.14(g).</w:t>
      </w:r>
    </w:p>
  </w:footnote>
  <w:footnote w:id="158">
    <w:p w:rsidR="008F64CD" w:rsidRDefault="008F64CD" w:rsidP="00487096">
      <w:pPr>
        <w:pStyle w:val="FootnoteText"/>
      </w:pPr>
      <w:r>
        <w:rPr>
          <w:rStyle w:val="FootnoteReference"/>
        </w:rPr>
        <w:footnoteRef/>
      </w:r>
      <w:r>
        <w:t xml:space="preserve"> </w:t>
      </w:r>
      <w:r>
        <w:rPr>
          <w:i/>
        </w:rPr>
        <w:t xml:space="preserve">See </w:t>
      </w:r>
      <w:r>
        <w:t>ULS File No. 0005773320, Attachment, Waiver Request for Extension of Time and Construction – WQJZ677 by Thomas K. Kurian (filed May 07, 2013) (Kurian Extension Request); ULS File Nos. 0005817992-0005818159, Attachment, Request for Extension and/or Waiver by Manifest Wireless L.L.C. (filed June 12, 2013) (DISH Extension Request).  We note that Manifest Wireless L.L.C. is a subsidiary of DISH Network Corporation.</w:t>
      </w:r>
    </w:p>
  </w:footnote>
  <w:footnote w:id="159">
    <w:p w:rsidR="008F64CD" w:rsidRDefault="008F64CD" w:rsidP="00487096">
      <w:pPr>
        <w:pStyle w:val="FootnoteText"/>
      </w:pPr>
      <w:r>
        <w:rPr>
          <w:rStyle w:val="FootnoteReference"/>
        </w:rPr>
        <w:footnoteRef/>
      </w:r>
      <w:r>
        <w:t xml:space="preserve"> </w:t>
      </w:r>
      <w:r>
        <w:rPr>
          <w:i/>
        </w:rPr>
        <w:t xml:space="preserve">See </w:t>
      </w:r>
      <w:r>
        <w:t>Kurian Extension Request at 1-3; DISH Extension Request at 8.</w:t>
      </w:r>
    </w:p>
  </w:footnote>
  <w:footnote w:id="160">
    <w:p w:rsidR="008F64CD" w:rsidRDefault="008F64CD" w:rsidP="00487096">
      <w:pPr>
        <w:pStyle w:val="FootnoteText"/>
      </w:pPr>
      <w:r>
        <w:rPr>
          <w:rStyle w:val="FootnoteReference"/>
        </w:rPr>
        <w:footnoteRef/>
      </w:r>
      <w:r>
        <w:t xml:space="preserve"> DISH Extension Request at 5.</w:t>
      </w:r>
    </w:p>
  </w:footnote>
  <w:footnote w:id="161">
    <w:p w:rsidR="008F64CD" w:rsidRPr="00DB69F8" w:rsidRDefault="008F64CD" w:rsidP="00487096">
      <w:pPr>
        <w:pStyle w:val="FootnoteText"/>
      </w:pPr>
      <w:r w:rsidRPr="00DB69F8">
        <w:rPr>
          <w:rStyle w:val="FootnoteReference"/>
        </w:rPr>
        <w:footnoteRef/>
      </w:r>
      <w:r w:rsidRPr="00DB69F8">
        <w:t xml:space="preserve"> DISH Network Sept. 10, 2013 </w:t>
      </w:r>
      <w:r w:rsidRPr="00DB69F8">
        <w:rPr>
          <w:i/>
        </w:rPr>
        <w:t>Ex Parte</w:t>
      </w:r>
      <w:r w:rsidRPr="00DB69F8">
        <w:t xml:space="preserve">. </w:t>
      </w:r>
    </w:p>
  </w:footnote>
  <w:footnote w:id="162">
    <w:p w:rsidR="008F64CD" w:rsidRDefault="008F64CD" w:rsidP="00487096">
      <w:pPr>
        <w:pStyle w:val="FootnoteText"/>
      </w:pPr>
      <w:r w:rsidRPr="00DB69F8">
        <w:rPr>
          <w:rStyle w:val="FootnoteReference"/>
        </w:rPr>
        <w:footnoteRef/>
      </w:r>
      <w:r w:rsidRPr="00DB69F8">
        <w:t xml:space="preserve"> </w:t>
      </w:r>
      <w:r w:rsidRPr="00DB69F8">
        <w:rPr>
          <w:snapToGrid w:val="0"/>
          <w:kern w:val="28"/>
        </w:rPr>
        <w:t>We clarify that th</w:t>
      </w:r>
      <w:r>
        <w:rPr>
          <w:snapToGrid w:val="0"/>
          <w:kern w:val="28"/>
        </w:rPr>
        <w:t>e</w:t>
      </w:r>
      <w:r w:rsidRPr="00DB69F8">
        <w:rPr>
          <w:snapToGrid w:val="0"/>
          <w:kern w:val="28"/>
        </w:rPr>
        <w:t xml:space="preserve"> relief described herein for active Lower 700 MHz E b</w:t>
      </w:r>
      <w:r>
        <w:rPr>
          <w:snapToGrid w:val="0"/>
          <w:kern w:val="28"/>
        </w:rPr>
        <w:t xml:space="preserve">lock licensees is transferrable, so that </w:t>
      </w:r>
      <w:r w:rsidRPr="00DB69F8">
        <w:rPr>
          <w:snapToGrid w:val="0"/>
          <w:kern w:val="28"/>
        </w:rPr>
        <w:t>proposed assignees or transferees are not required to file individual justifications seeking application of such relief.</w:t>
      </w:r>
    </w:p>
  </w:footnote>
  <w:footnote w:id="163">
    <w:p w:rsidR="008F64CD" w:rsidRDefault="008F64CD" w:rsidP="00487096">
      <w:pPr>
        <w:pStyle w:val="FootnoteText"/>
      </w:pPr>
      <w:r>
        <w:rPr>
          <w:rStyle w:val="FootnoteReference"/>
        </w:rPr>
        <w:footnoteRef/>
      </w:r>
      <w:r>
        <w:t xml:space="preserve"> An active license is a license granted by the Commission that has not expired or been cancelled or terminated.  A license becomes active immediately upon grant.  </w:t>
      </w:r>
      <w:r>
        <w:rPr>
          <w:i/>
        </w:rPr>
        <w:t xml:space="preserve">See </w:t>
      </w:r>
      <w:r>
        <w:t xml:space="preserve">Universal Licensing System Glossary, </w:t>
      </w:r>
      <w:r>
        <w:rPr>
          <w:i/>
        </w:rPr>
        <w:t xml:space="preserve">at </w:t>
      </w:r>
      <w:r w:rsidRPr="003E5436">
        <w:t xml:space="preserve">http://wireless.fcc.gov/uls/index.htm?job=glossary </w:t>
      </w:r>
      <w:r w:rsidRPr="00643763">
        <w:t>(</w:t>
      </w:r>
      <w:r>
        <w:t>last visited Sept. 18, 2013).  The status of a license is reflected in the Commission’s Universal Licensing System.</w:t>
      </w:r>
    </w:p>
  </w:footnote>
  <w:footnote w:id="164">
    <w:p w:rsidR="008F64CD" w:rsidRPr="000D4898" w:rsidRDefault="008F64CD" w:rsidP="00487096">
      <w:pPr>
        <w:pStyle w:val="FootnoteText"/>
      </w:pPr>
      <w:r>
        <w:rPr>
          <w:rStyle w:val="FootnoteReference"/>
        </w:rPr>
        <w:footnoteRef/>
      </w:r>
      <w:r>
        <w:t xml:space="preserve"> </w:t>
      </w:r>
      <w:r>
        <w:rPr>
          <w:i/>
        </w:rPr>
        <w:t xml:space="preserve">See </w:t>
      </w:r>
      <w:r>
        <w:t xml:space="preserve">47 C.F.R. § 27.13(b).  The waiver extending the license term until March 7, 2021 does not apply to E Block licensees that provide broadcast services, whether exclusively or in combination with other services, which terms are limited by statute to a period not to exceed eight years.  </w:t>
      </w:r>
      <w:r w:rsidRPr="00E42AE4">
        <w:rPr>
          <w:i/>
        </w:rPr>
        <w:t xml:space="preserve">See </w:t>
      </w:r>
      <w:r>
        <w:t>47 U.S.C. § 307(c); 47 C.F.R. § 27.13(b).</w:t>
      </w:r>
    </w:p>
  </w:footnote>
  <w:footnote w:id="165">
    <w:p w:rsidR="008F64CD" w:rsidRPr="00D64498" w:rsidRDefault="008F64CD" w:rsidP="00487096">
      <w:pPr>
        <w:pStyle w:val="FootnoteText"/>
      </w:pPr>
      <w:r>
        <w:rPr>
          <w:rStyle w:val="FootnoteReference"/>
        </w:rPr>
        <w:footnoteRef/>
      </w:r>
      <w:r>
        <w:t xml:space="preserve"> </w:t>
      </w:r>
      <w:r>
        <w:rPr>
          <w:i/>
        </w:rPr>
        <w:t xml:space="preserve">See </w:t>
      </w:r>
      <w:r>
        <w:t xml:space="preserve">47 C.F.R. § 27.14(g).  </w:t>
      </w:r>
    </w:p>
  </w:footnote>
  <w:footnote w:id="166">
    <w:p w:rsidR="008F64CD" w:rsidRPr="000C0507" w:rsidRDefault="008F64CD" w:rsidP="00487096">
      <w:pPr>
        <w:pStyle w:val="FootnoteText"/>
      </w:pPr>
      <w:r>
        <w:rPr>
          <w:rStyle w:val="FootnoteReference"/>
        </w:rPr>
        <w:footnoteRef/>
      </w:r>
      <w:r>
        <w:t xml:space="preserve"> </w:t>
      </w:r>
      <w:r>
        <w:rPr>
          <w:i/>
        </w:rPr>
        <w:t xml:space="preserve">See </w:t>
      </w:r>
      <w:r>
        <w:t>47 C.F.R. § 27.14(g).</w:t>
      </w:r>
    </w:p>
  </w:footnote>
  <w:footnote w:id="167">
    <w:p w:rsidR="008F64CD" w:rsidRPr="00F31A9C" w:rsidRDefault="008F64CD" w:rsidP="00487096">
      <w:pPr>
        <w:pStyle w:val="FootnoteText"/>
      </w:pPr>
      <w:r>
        <w:rPr>
          <w:rStyle w:val="FootnoteReference"/>
        </w:rPr>
        <w:footnoteRef/>
      </w:r>
      <w:r>
        <w:t xml:space="preserve"> We clarify that, through this waiver, E Block licensees have the option of complying with the current Section 27.14(g) geographic-area based interim and/or end-of-term construction benchmarks or complying with the respective population-based benchmarks described herein.  We note, however, that the option provided in Section 27.14(g) to exclude land owned or administered by the government as part of the relevant service area is not applicable to a population-based coverage requirement.  </w:t>
      </w:r>
      <w:r>
        <w:rPr>
          <w:i/>
        </w:rPr>
        <w:t xml:space="preserve">See </w:t>
      </w:r>
      <w:r>
        <w:t>47 C.F.R. § 27.14(g).</w:t>
      </w:r>
    </w:p>
  </w:footnote>
  <w:footnote w:id="168">
    <w:p w:rsidR="008F64CD" w:rsidRDefault="008F64CD" w:rsidP="00487096">
      <w:pPr>
        <w:pStyle w:val="FootnoteText"/>
      </w:pPr>
      <w:r>
        <w:rPr>
          <w:rStyle w:val="FootnoteReference"/>
        </w:rPr>
        <w:footnoteRef/>
      </w:r>
      <w:r>
        <w:t xml:space="preserve"> 47 C.F.R. § 1.946(d).</w:t>
      </w:r>
    </w:p>
  </w:footnote>
  <w:footnote w:id="169">
    <w:p w:rsidR="008F64CD" w:rsidRDefault="008F64CD" w:rsidP="00487096">
      <w:pPr>
        <w:pStyle w:val="FootnoteText"/>
      </w:pPr>
      <w:r>
        <w:rPr>
          <w:rStyle w:val="FootnoteReference"/>
        </w:rPr>
        <w:footnoteRef/>
      </w:r>
      <w:r>
        <w:t xml:space="preserve"> </w:t>
      </w:r>
      <w:r w:rsidRPr="007402A7">
        <w:t>Consistent with current rule section 27.14, Lower 700 MHz band E Block licensees that fail to meet the interim construction benchmark deadline remain subject to potential proportional license reduction and enforcement actions, including forfeitures.  Licensees that fail to meet the end-of-term construction benchmark deadline remain subject to automatic license termination without Commission action for those geographic portion</w:t>
      </w:r>
      <w:r>
        <w:t>s</w:t>
      </w:r>
      <w:r w:rsidRPr="007402A7">
        <w:t xml:space="preserve"> of its license in which the licensee is not providing service and potential license termination and enforcement actions, including forfeitures.  </w:t>
      </w:r>
      <w:r w:rsidRPr="007402A7">
        <w:rPr>
          <w:i/>
        </w:rPr>
        <w:t xml:space="preserve">See </w:t>
      </w:r>
      <w:r w:rsidRPr="007402A7">
        <w:t xml:space="preserve">47 C.F.R. § 27.14(g)(1) and (2).  In the event that a licensee's authority to operate in a license area terminates automatically without Commission action, such areas will become available for reassignment pursuant to Section 27.14(j).  </w:t>
      </w:r>
      <w:r w:rsidRPr="007402A7">
        <w:rPr>
          <w:i/>
        </w:rPr>
        <w:t xml:space="preserve">See </w:t>
      </w:r>
      <w:r w:rsidRPr="007402A7">
        <w:t>47 C.F.R. § 27.14(j).</w:t>
      </w:r>
    </w:p>
  </w:footnote>
  <w:footnote w:id="170">
    <w:p w:rsidR="008F64CD" w:rsidRPr="00564176" w:rsidRDefault="008F64CD" w:rsidP="00487096">
      <w:pPr>
        <w:pStyle w:val="FootnoteText"/>
      </w:pPr>
      <w:r>
        <w:rPr>
          <w:rStyle w:val="FootnoteReference"/>
        </w:rPr>
        <w:footnoteRef/>
      </w:r>
      <w:r>
        <w:t xml:space="preserve"> </w:t>
      </w:r>
      <w:r w:rsidRPr="005B1A30">
        <w:rPr>
          <w:i/>
        </w:rPr>
        <w:t xml:space="preserve">See </w:t>
      </w:r>
      <w:r w:rsidRPr="005B1A30">
        <w:t>47 C.F.R. § 27.14(l) (requiring that each licensee that meets its interim benchmark shall file a second report with the Commission no later than June 13, 2016, and no sooner than 30 days prior to this date</w:t>
      </w:r>
      <w:r>
        <w:t>, and that e</w:t>
      </w:r>
      <w:r w:rsidRPr="005B1A30">
        <w:t xml:space="preserve">ach licensee that does not meet its interim benchmark shall file this second report no later than on June 13, 2015, and no sooner than 30 days prior to this date).  </w:t>
      </w:r>
      <w:r w:rsidRPr="005B1A30">
        <w:rPr>
          <w:i/>
        </w:rPr>
        <w:t>See id.</w:t>
      </w:r>
      <w:r w:rsidRPr="005B1A30">
        <w:t xml:space="preserve">  We note that licensees were required to file their first status report by January 13, 2012.  </w:t>
      </w:r>
      <w:r w:rsidRPr="005B1A30">
        <w:rPr>
          <w:i/>
        </w:rPr>
        <w:t>See</w:t>
      </w:r>
      <w:r w:rsidRPr="005B1A30">
        <w:t xml:space="preserve"> 700 MHz Reporting Requirements Public Notice.</w:t>
      </w:r>
      <w:r>
        <w:t xml:space="preserve">  </w:t>
      </w:r>
    </w:p>
  </w:footnote>
  <w:footnote w:id="171">
    <w:p w:rsidR="008F64CD" w:rsidRDefault="008F64CD" w:rsidP="00487096">
      <w:pPr>
        <w:pStyle w:val="FootnoteText"/>
      </w:pPr>
      <w:r>
        <w:rPr>
          <w:rStyle w:val="FootnoteReference"/>
        </w:rPr>
        <w:footnoteRef/>
      </w:r>
      <w:r>
        <w:t xml:space="preserve"> </w:t>
      </w:r>
      <w:r>
        <w:rPr>
          <w:i/>
        </w:rPr>
        <w:t xml:space="preserve">See </w:t>
      </w:r>
      <w:r>
        <w:t xml:space="preserve">47 C.F.R. § 27.14(a); </w:t>
      </w:r>
      <w:r>
        <w:rPr>
          <w:i/>
        </w:rPr>
        <w:t>Lower 700 MHz Report and Order</w:t>
      </w:r>
      <w:r>
        <w:t xml:space="preserve">, 17 FCC Rcd at 1079 ¶¶ 149-51; 47 C.F.R. § 27.13(b); </w:t>
      </w:r>
      <w:r>
        <w:rPr>
          <w:i/>
        </w:rPr>
        <w:t>700 MHz Second Report and Order</w:t>
      </w:r>
      <w:r>
        <w:t>, 22 FCC Rcd at 15348 ¶ 153.</w:t>
      </w:r>
    </w:p>
  </w:footnote>
  <w:footnote w:id="172">
    <w:p w:rsidR="008F64CD" w:rsidRDefault="008F64CD" w:rsidP="00487096">
      <w:pPr>
        <w:pStyle w:val="FootnoteText"/>
      </w:pPr>
      <w:r>
        <w:rPr>
          <w:rStyle w:val="FootnoteReference"/>
        </w:rPr>
        <w:footnoteRef/>
      </w:r>
      <w:r>
        <w:t xml:space="preserve"> </w:t>
      </w:r>
      <w:r>
        <w:rPr>
          <w:i/>
        </w:rPr>
        <w:t>See</w:t>
      </w:r>
      <w:r>
        <w:t xml:space="preserve"> 47 C.F.R. §§ 27.14(g)(1), (h)(1).  The Wireless Telecommunications Bureau reminded licensees of enforcement actions for failure to meet interim construction benchmarks.  </w:t>
      </w:r>
      <w:r>
        <w:rPr>
          <w:i/>
        </w:rPr>
        <w:t>See</w:t>
      </w:r>
      <w:r>
        <w:t xml:space="preserve"> 700 MHz Reporting Requirements Public Notice.</w:t>
      </w:r>
    </w:p>
  </w:footnote>
  <w:footnote w:id="173">
    <w:p w:rsidR="008F64CD" w:rsidRDefault="008F64CD" w:rsidP="00487096">
      <w:pPr>
        <w:pStyle w:val="FootnoteText"/>
      </w:pPr>
      <w:r>
        <w:rPr>
          <w:rStyle w:val="FootnoteReference"/>
        </w:rPr>
        <w:footnoteRef/>
      </w:r>
      <w:r>
        <w:t xml:space="preserve"> </w:t>
      </w:r>
      <w:r>
        <w:rPr>
          <w:i/>
        </w:rPr>
        <w:t>See 700 MHz Second Report and Order</w:t>
      </w:r>
      <w:r>
        <w:t xml:space="preserve">, 22 FCC Rcd at 15293-94 ¶ 6.  </w:t>
      </w:r>
      <w:r>
        <w:rPr>
          <w:i/>
        </w:rPr>
        <w:t>See also</w:t>
      </w:r>
      <w:r>
        <w:t xml:space="preserve"> Service Rules for the 698-746, 747-762 and 777-792 MHz Bands, Implementing a Nationwide, Broadband, Interoperable Public Safety Network in the 700 MHz Band, WT Docket No. 06-150; PS Docket No. 06-229, </w:t>
      </w:r>
      <w:r>
        <w:rPr>
          <w:i/>
        </w:rPr>
        <w:t>Memorandum Opinion and Order and Order on Reconsideration</w:t>
      </w:r>
      <w:r>
        <w:t>, 28 FCC Rcd 2671 (2013).</w:t>
      </w:r>
    </w:p>
  </w:footnote>
  <w:footnote w:id="174">
    <w:p w:rsidR="008F64CD" w:rsidRDefault="008F64CD" w:rsidP="00487096">
      <w:pPr>
        <w:pStyle w:val="FootnoteText"/>
      </w:pPr>
      <w:r>
        <w:rPr>
          <w:rStyle w:val="FootnoteReference"/>
        </w:rPr>
        <w:footnoteRef/>
      </w:r>
      <w:r>
        <w:t xml:space="preserve"> Wireless Telecommunications Bureau Seeks Comment on Requests for Waiver and Extension of Time to Construct 700 MHz A and B Block Licenses, WT Docket 12-332, </w:t>
      </w:r>
      <w:r>
        <w:rPr>
          <w:i/>
        </w:rPr>
        <w:t>Public Notice</w:t>
      </w:r>
      <w:r>
        <w:t xml:space="preserve">, DA 12-1827 (WTB 2012) (700 MHz PN).  The Commission sought comment on the requests filed as of November 2012, and since the release of the public notice, additional Lower 700 MHz band licensees filed similar requests.  </w:t>
      </w:r>
      <w:r w:rsidRPr="007402A7">
        <w:t xml:space="preserve">Additionally, Cavalier and Continuum filed an </w:t>
      </w:r>
      <w:r w:rsidRPr="007402A7">
        <w:rPr>
          <w:i/>
        </w:rPr>
        <w:t xml:space="preserve">ex parte </w:t>
      </w:r>
      <w:r w:rsidRPr="007402A7">
        <w:t xml:space="preserve">letter regarding the need for extensions of the construction deadlines and made proposals for such extensions.  </w:t>
      </w:r>
      <w:r w:rsidRPr="007402A7">
        <w:rPr>
          <w:i/>
        </w:rPr>
        <w:t xml:space="preserve">See </w:t>
      </w:r>
      <w:r w:rsidRPr="007402A7">
        <w:t>Letter from Thomas Gutierrez, Counsel for Continuum 700 LLC and Cavalier Wireless L.L.C., to the Hon. Mignon Clyburn, Chairwoman, FCC, WT Docket No. 12-69, filed Sept. 18, 2013.</w:t>
      </w:r>
    </w:p>
  </w:footnote>
  <w:footnote w:id="175">
    <w:p w:rsidR="008F64CD" w:rsidRPr="002A1B56" w:rsidRDefault="008F64CD" w:rsidP="00487096">
      <w:pPr>
        <w:pStyle w:val="FootnoteText"/>
      </w:pPr>
      <w:r>
        <w:rPr>
          <w:rStyle w:val="FootnoteReference"/>
        </w:rPr>
        <w:footnoteRef/>
      </w:r>
      <w:r>
        <w:t xml:space="preserve"> </w:t>
      </w:r>
      <w:r>
        <w:rPr>
          <w:i/>
        </w:rPr>
        <w:t xml:space="preserve">See </w:t>
      </w:r>
      <w:r>
        <w:t>AT&amp;T Sept. 10, 2013 Ex Parte; DISH Network Sept. 10, 2013 Ex Parte.</w:t>
      </w:r>
    </w:p>
  </w:footnote>
  <w:footnote w:id="176">
    <w:p w:rsidR="008F64CD" w:rsidRDefault="008F64CD" w:rsidP="00487096">
      <w:pPr>
        <w:pStyle w:val="FootnoteText"/>
      </w:pPr>
      <w:r>
        <w:rPr>
          <w:rStyle w:val="FootnoteReference"/>
        </w:rPr>
        <w:footnoteRef/>
      </w:r>
      <w:r>
        <w:t xml:space="preserve"> </w:t>
      </w:r>
      <w:r w:rsidRPr="007402A7">
        <w:t xml:space="preserve">We clarify that this relief is transferrable, so that proposed assignees or transferees are not required to file individual justifications seeking application of the </w:t>
      </w:r>
      <w:r>
        <w:t>December 13</w:t>
      </w:r>
      <w:r w:rsidRPr="007402A7">
        <w:t>, 2016 interim construction benchmark deadline or waiver of the interim construction benchmark deadline, as applicable</w:t>
      </w:r>
      <w:r>
        <w:t xml:space="preserve">.  </w:t>
      </w:r>
    </w:p>
  </w:footnote>
  <w:footnote w:id="177">
    <w:p w:rsidR="008F64CD" w:rsidRDefault="008F64CD" w:rsidP="00487096">
      <w:pPr>
        <w:pStyle w:val="FootnoteText"/>
      </w:pPr>
      <w:r>
        <w:rPr>
          <w:rStyle w:val="FootnoteReference"/>
        </w:rPr>
        <w:footnoteRef/>
      </w:r>
      <w:r>
        <w:t xml:space="preserve"> 47 C.F.R. §27.14(g).</w:t>
      </w:r>
    </w:p>
  </w:footnote>
  <w:footnote w:id="178">
    <w:p w:rsidR="008F64CD" w:rsidRDefault="008F64CD" w:rsidP="00487096">
      <w:pPr>
        <w:pStyle w:val="FootnoteText"/>
      </w:pPr>
      <w:r>
        <w:rPr>
          <w:rStyle w:val="FootnoteReference"/>
        </w:rPr>
        <w:footnoteRef/>
      </w:r>
      <w:r>
        <w:t xml:space="preserve"> </w:t>
      </w:r>
      <w:r>
        <w:rPr>
          <w:i/>
        </w:rPr>
        <w:t xml:space="preserve">See </w:t>
      </w:r>
      <w:r>
        <w:t xml:space="preserve">700 MHz PN.  In addition, in its </w:t>
      </w:r>
      <w:r>
        <w:rPr>
          <w:i/>
        </w:rPr>
        <w:t>Ex Parte</w:t>
      </w:r>
      <w:r>
        <w:t xml:space="preserve"> letter of March 1, 2013, NTCA also urged the Commission to grant 700 MHz B Block licensees an extension to keep them on the same construction schedule as the A Block licensees.  NTCA </w:t>
      </w:r>
      <w:r>
        <w:rPr>
          <w:i/>
        </w:rPr>
        <w:t xml:space="preserve">Ex Parte </w:t>
      </w:r>
      <w:r>
        <w:t xml:space="preserve">letter, March 1, 2013.  We note that the Competitive Carriers Association (CCA) filed a pleading seeking an extension of the interim construction benchmark deadline for two years from the conclusion of the Commission’s interoperability rulemaking for Lower 700 MHz Band A Block licensees, many of which have filed individual requests for extension of time.  </w:t>
      </w:r>
      <w:r>
        <w:rPr>
          <w:i/>
        </w:rPr>
        <w:t xml:space="preserve">See </w:t>
      </w:r>
      <w:r>
        <w:t xml:space="preserve">CCA Request for Extension of the Build-Out Deadlines for Lower 700 MHz A Block Licensees, </w:t>
      </w:r>
      <w:r>
        <w:rPr>
          <w:i/>
        </w:rPr>
        <w:t xml:space="preserve">Letter, </w:t>
      </w:r>
      <w:r>
        <w:t xml:space="preserve">WT Docket No. 12-69 (filed Oct. 17, 2012).  We also note that the Minority Media and Telecommunications Council (MMTC) filed a pleading on September 24, 2012, requesting that the Commission waive, extend or modify the interim benchmarks for section 27.14(g) for certain Lower 700 MHz A and B Block licensees so that prospective licensees would enter into transactions with 700 MHz license holders granted relief.  MMTC also requested that the Commission apply population coverage percentages in lieu of the current requirement that licensees cover a percentage of specific geographic area.  On May 21, 2013, MMTC filed a Supplemental Showing of Standing in support of its September, 2012 Petition.  Given the relief provided to Lower 700 MHz licensees in today’s action, we dismiss as moot both the CCA Petition and the MMTC Petition, as supplemented.  We also dismiss the MMTC Petition as moot because the Commission recently addressed in a separate proceeding, in which MMTC did not participate, arguments by other licensees that the Commission should reconsider its adoption of a requirement for coverage to certain percentages of geographic area in lieu of population coverage.  </w:t>
      </w:r>
      <w:r>
        <w:rPr>
          <w:i/>
        </w:rPr>
        <w:t>See</w:t>
      </w:r>
      <w:r>
        <w:t xml:space="preserve"> Service Rules for the 698-746, 747-762, and 777-792 MHz Bands, </w:t>
      </w:r>
      <w:r>
        <w:rPr>
          <w:i/>
          <w:color w:val="000000"/>
        </w:rPr>
        <w:t>Memorandum Opinion and Order on Reconsideration</w:t>
      </w:r>
      <w:r>
        <w:rPr>
          <w:color w:val="000000"/>
        </w:rPr>
        <w:t xml:space="preserve">, 28 FCC Rcd 2671, 2674-75 </w:t>
      </w:r>
      <w:r>
        <w:t xml:space="preserve">¶¶ 6-8 (2013).  </w:t>
      </w:r>
    </w:p>
  </w:footnote>
  <w:footnote w:id="179">
    <w:p w:rsidR="008F64CD" w:rsidRDefault="008F64CD" w:rsidP="00487096">
      <w:pPr>
        <w:pStyle w:val="FootnoteText"/>
      </w:pPr>
      <w:r>
        <w:rPr>
          <w:rStyle w:val="FootnoteReference"/>
        </w:rPr>
        <w:footnoteRef/>
      </w:r>
      <w:r>
        <w:t xml:space="preserve"> 700 MHz PN</w:t>
      </w:r>
      <w:r>
        <w:rPr>
          <w:i/>
        </w:rPr>
        <w:t xml:space="preserve"> </w:t>
      </w:r>
      <w:r>
        <w:t>at 2.</w:t>
      </w:r>
    </w:p>
  </w:footnote>
  <w:footnote w:id="180">
    <w:p w:rsidR="008F64CD" w:rsidRDefault="008F64CD" w:rsidP="00487096">
      <w:pPr>
        <w:pStyle w:val="FootnoteText"/>
      </w:pPr>
      <w:r>
        <w:rPr>
          <w:rStyle w:val="FootnoteReference"/>
        </w:rPr>
        <w:footnoteRef/>
      </w:r>
      <w:r>
        <w:t xml:space="preserve"> </w:t>
      </w:r>
      <w:r>
        <w:rPr>
          <w:i/>
        </w:rPr>
        <w:t>Id.</w:t>
      </w:r>
      <w:r>
        <w:t xml:space="preserve">  On February 13, 2013, the Wireless Telecommunications Bureau issued a limited waiver and extended the interim construction deadline in Section 27.14(g) until December 13, 2013, for all active Lower 700 MHz A Block licensees with an interim four-year construction benchmark deadline before December 13, 2013. </w:t>
      </w:r>
      <w:r>
        <w:rPr>
          <w:i/>
          <w:iCs/>
        </w:rPr>
        <w:t xml:space="preserve"> See </w:t>
      </w:r>
      <w:r>
        <w:rPr>
          <w:iCs/>
        </w:rPr>
        <w:t xml:space="preserve">Wireless Telecommunications Bureau Extends 700 MHz A Block Licensee Interim Construction Benchmark Deadline Until December 13, 2013, WT Docket 12-332, </w:t>
      </w:r>
      <w:r>
        <w:rPr>
          <w:i/>
          <w:iCs/>
        </w:rPr>
        <w:t>Public Notice</w:t>
      </w:r>
      <w:r>
        <w:rPr>
          <w:iCs/>
        </w:rPr>
        <w:t xml:space="preserve">, DA 13-210 (WTB rel. Feb. 13, 2013).  </w:t>
      </w:r>
      <w:r>
        <w:t xml:space="preserve">On April 10, 2013, the Bureau issued a similar waiver and extension for the majority of active Lower 700 MHz B Block licensees. </w:t>
      </w:r>
      <w:r>
        <w:rPr>
          <w:i/>
          <w:iCs/>
        </w:rPr>
        <w:t xml:space="preserve">See </w:t>
      </w:r>
      <w:r>
        <w:rPr>
          <w:iCs/>
        </w:rPr>
        <w:t xml:space="preserve">Wireless Telecommunications Bureau Extends 700 MHz B Block Licensee Interim Construction Benchmark Deadline Until December 13, 2013, </w:t>
      </w:r>
      <w:r>
        <w:rPr>
          <w:i/>
          <w:iCs/>
        </w:rPr>
        <w:t>Public Notice,</w:t>
      </w:r>
      <w:r>
        <w:rPr>
          <w:iCs/>
        </w:rPr>
        <w:t xml:space="preserve"> 2013 WL 1497036 (WTB rel. Apr. 10, 2013).</w:t>
      </w:r>
    </w:p>
  </w:footnote>
  <w:footnote w:id="181">
    <w:p w:rsidR="008F64CD" w:rsidRPr="00151304" w:rsidRDefault="008F64CD" w:rsidP="00487096">
      <w:pPr>
        <w:pStyle w:val="FootnoteText"/>
        <w:rPr>
          <w:i/>
        </w:rPr>
      </w:pPr>
      <w:r>
        <w:rPr>
          <w:rStyle w:val="FootnoteReference"/>
        </w:rPr>
        <w:footnoteRef/>
      </w:r>
      <w:r>
        <w:t xml:space="preserve"> DISH Network Sept. 10, 2013 Ex Parte at 2.  As noted above, DISH, which holds 168 E Block licenses, consents to an ERP reduction of its E Block bases stations from 50 kW to 1,000 watts/MHz in urban areas and 2,000 watts/MHz in rural areas.  </w:t>
      </w:r>
      <w:r>
        <w:rPr>
          <w:i/>
        </w:rPr>
        <w:t>Id.</w:t>
      </w:r>
    </w:p>
  </w:footnote>
  <w:footnote w:id="182">
    <w:p w:rsidR="008F64CD" w:rsidRDefault="008F64CD" w:rsidP="00487096">
      <w:pPr>
        <w:pStyle w:val="FootnoteText"/>
      </w:pPr>
      <w:r>
        <w:rPr>
          <w:rStyle w:val="FootnoteReference"/>
        </w:rPr>
        <w:footnoteRef/>
      </w:r>
      <w:r>
        <w:t xml:space="preserve"> AT&amp;T Sept. 10, 2013 Ex Parte at 1-2.</w:t>
      </w:r>
    </w:p>
  </w:footnote>
  <w:footnote w:id="183">
    <w:p w:rsidR="008F64CD" w:rsidRDefault="008F64CD" w:rsidP="00487096">
      <w:pPr>
        <w:pStyle w:val="FootnoteText"/>
      </w:pPr>
      <w:r>
        <w:rPr>
          <w:rStyle w:val="FootnoteReference"/>
        </w:rPr>
        <w:footnoteRef/>
      </w:r>
      <w:r>
        <w:t xml:space="preserve"> AT&amp;T Sept. 10, 2013 Ex Parte at 4-5.</w:t>
      </w:r>
    </w:p>
  </w:footnote>
  <w:footnote w:id="184">
    <w:p w:rsidR="008F64CD" w:rsidRDefault="008F64CD" w:rsidP="00487096">
      <w:pPr>
        <w:pStyle w:val="FootnoteText"/>
      </w:pPr>
      <w:r>
        <w:rPr>
          <w:rStyle w:val="FootnoteReference"/>
        </w:rPr>
        <w:footnoteRef/>
      </w:r>
      <w:r>
        <w:t xml:space="preserve"> </w:t>
      </w:r>
      <w:r>
        <w:rPr>
          <w:i/>
          <w:iCs/>
        </w:rPr>
        <w:t xml:space="preserve">See </w:t>
      </w:r>
      <w:r>
        <w:t xml:space="preserve">700 MHz PN at 2.  </w:t>
      </w:r>
    </w:p>
  </w:footnote>
  <w:footnote w:id="185">
    <w:p w:rsidR="008F64CD" w:rsidRDefault="008F64CD" w:rsidP="00487096">
      <w:pPr>
        <w:pStyle w:val="FootnoteText"/>
      </w:pPr>
      <w:r>
        <w:rPr>
          <w:rStyle w:val="FootnoteReference"/>
        </w:rPr>
        <w:footnoteRef/>
      </w:r>
      <w:r>
        <w:t xml:space="preserve"> </w:t>
      </w:r>
      <w:r>
        <w:rPr>
          <w:i/>
        </w:rPr>
        <w:t xml:space="preserve">See </w:t>
      </w:r>
      <w:r>
        <w:t xml:space="preserve">ULS File No. 0005448442, Request for Extension of Initial Construction Benchmarks filed by Continuum, Attachment at 6 (filed Oct. 15, 2012).  </w:t>
      </w:r>
      <w:r>
        <w:rPr>
          <w:i/>
        </w:rPr>
        <w:t xml:space="preserve">See also </w:t>
      </w:r>
      <w:r>
        <w:t xml:space="preserve">ULS File No. 0005449634, Supplement to Request for Extension of Build Out Requirement for A and B Block Licenses in the Lower 700 MHz Band filed by Cellular South, Attachment at 1 (filed Feb. 25, 2013).  Cellular South states that “a two-year extension of its build-out deadline is warranted due to the unforeseen and unresolved lack of device interoperability in the 700 MHz Band.”  </w:t>
      </w:r>
      <w:r>
        <w:rPr>
          <w:i/>
        </w:rPr>
        <w:t xml:space="preserve">Id. </w:t>
      </w:r>
      <w:r>
        <w:t>at 1.</w:t>
      </w:r>
    </w:p>
  </w:footnote>
  <w:footnote w:id="186">
    <w:p w:rsidR="008F64CD" w:rsidRPr="00C70B69" w:rsidRDefault="008F64CD" w:rsidP="00487096">
      <w:pPr>
        <w:pStyle w:val="FootnoteText"/>
      </w:pPr>
      <w:r>
        <w:rPr>
          <w:rStyle w:val="FootnoteReference"/>
        </w:rPr>
        <w:footnoteRef/>
      </w:r>
      <w:r>
        <w:t xml:space="preserve"> </w:t>
      </w:r>
      <w:r>
        <w:rPr>
          <w:i/>
        </w:rPr>
        <w:t xml:space="preserve">See e.g., </w:t>
      </w:r>
      <w:r>
        <w:t xml:space="preserve">Cavalier Waiver Request at 1; Continuum Extension Request at 1; Cox Extension Request at 1; Nex-Tech Wireless Extension Request at 1. </w:t>
      </w:r>
    </w:p>
  </w:footnote>
  <w:footnote w:id="187">
    <w:p w:rsidR="008F64CD" w:rsidRDefault="008F64CD" w:rsidP="00487096">
      <w:pPr>
        <w:pStyle w:val="FootnoteText"/>
      </w:pPr>
      <w:r>
        <w:rPr>
          <w:rStyle w:val="FootnoteReference"/>
        </w:rPr>
        <w:footnoteRef/>
      </w:r>
      <w:r>
        <w:t xml:space="preserve"> 47 C.F.R. § 27.14(g).</w:t>
      </w:r>
    </w:p>
  </w:footnote>
  <w:footnote w:id="188">
    <w:p w:rsidR="008F64CD" w:rsidRDefault="008F64CD" w:rsidP="00487096">
      <w:pPr>
        <w:pStyle w:val="FootnoteText"/>
      </w:pPr>
      <w:r>
        <w:rPr>
          <w:rStyle w:val="FootnoteReference"/>
        </w:rPr>
        <w:footnoteRef/>
      </w:r>
      <w:r>
        <w:t xml:space="preserve"> </w:t>
      </w:r>
      <w:r>
        <w:rPr>
          <w:i/>
        </w:rPr>
        <w:t xml:space="preserve">See </w:t>
      </w:r>
      <w:r>
        <w:t>47 C.F.R. § 27.14(g) (requiring A Block licensees to provide signal coverage and offer service over at least 35 percent of their license area within four years of the initial license grant, with a failure to do so resulting in a two-year reduction of the license term).</w:t>
      </w:r>
    </w:p>
  </w:footnote>
  <w:footnote w:id="189">
    <w:p w:rsidR="008F64CD" w:rsidRDefault="008F64CD" w:rsidP="00487096">
      <w:pPr>
        <w:pStyle w:val="FootnoteText"/>
      </w:pPr>
      <w:r>
        <w:rPr>
          <w:rStyle w:val="FootnoteReference"/>
        </w:rPr>
        <w:footnoteRef/>
      </w:r>
      <w:r>
        <w:t xml:space="preserve"> Under the Community Broadcasters Protection Act of 1999, Pub. L. No. 106-113 (codified at 47 U.S.C. § 336(f)), certain qualifying LPTV stations (</w:t>
      </w:r>
      <w:r>
        <w:rPr>
          <w:i/>
        </w:rPr>
        <w:t>i.e</w:t>
      </w:r>
      <w:r>
        <w:t xml:space="preserve">., what are now Class A stations) are accorded primary status as television broadcasters as long as they continue to meet the requirements set forth in the statute for a qualifying low-power station.  </w:t>
      </w:r>
      <w:r>
        <w:rPr>
          <w:i/>
        </w:rPr>
        <w:t>See also</w:t>
      </w:r>
      <w:r>
        <w:t xml:space="preserve"> In the Matter of a Class A Television Service, MM Docket No. 00-10, </w:t>
      </w:r>
      <w:r>
        <w:rPr>
          <w:i/>
        </w:rPr>
        <w:t>Report and Order</w:t>
      </w:r>
      <w:r>
        <w:t>, 15 FCC Rcd 6355, 6359 (2000).  Thus, A Block licensees must afford the Class A stations in Channel 51 the same protection as for full power broadcast stations.</w:t>
      </w:r>
    </w:p>
  </w:footnote>
  <w:footnote w:id="190">
    <w:p w:rsidR="008F64CD" w:rsidRDefault="008F64CD" w:rsidP="00487096">
      <w:pPr>
        <w:pStyle w:val="FootnoteText"/>
      </w:pPr>
      <w:r>
        <w:rPr>
          <w:rStyle w:val="FootnoteReference"/>
        </w:rPr>
        <w:footnoteRef/>
      </w:r>
      <w:r>
        <w:t xml:space="preserve"> </w:t>
      </w:r>
      <w:r>
        <w:rPr>
          <w:i/>
        </w:rPr>
        <w:t xml:space="preserve">See </w:t>
      </w:r>
      <w:r>
        <w:t xml:space="preserve">47 C.F.R. § 27.60(b)(1).  Pursuant to this section, 700 MHz band licensees are also permitted to demonstrate compliance with TV/DTV protection requirements through the following alternative means: (i) calculating geographic separations in accordance with the required designed signal-to-undesired signal ratios when station parameters are greater than those indicated in the table; (ii) submit an engineering study justifying the proposed separations based on the parameters of the land mobile station and the TV/DTV station; or (iii) obtain written concurrence from the applicable TV/DTV station.  </w:t>
      </w:r>
      <w:r>
        <w:rPr>
          <w:i/>
        </w:rPr>
        <w:t>Id.</w:t>
      </w:r>
      <w:r>
        <w:t xml:space="preserve">  </w:t>
      </w:r>
      <w:r>
        <w:rPr>
          <w:i/>
        </w:rPr>
        <w:t xml:space="preserve">See also </w:t>
      </w:r>
      <w:r>
        <w:t>47 C.F.R. § 90.309.</w:t>
      </w:r>
    </w:p>
  </w:footnote>
  <w:footnote w:id="191">
    <w:p w:rsidR="008F64CD" w:rsidRDefault="008F64CD" w:rsidP="00487096">
      <w:pPr>
        <w:pStyle w:val="FootnoteText"/>
      </w:pPr>
      <w:r>
        <w:rPr>
          <w:rStyle w:val="FootnoteReference"/>
        </w:rPr>
        <w:footnoteRef/>
      </w:r>
      <w:r>
        <w:t xml:space="preserve"> </w:t>
      </w:r>
      <w:r>
        <w:rPr>
          <w:i/>
        </w:rPr>
        <w:t xml:space="preserve">See </w:t>
      </w:r>
      <w:r>
        <w:t xml:space="preserve">47 C.F.R. § 27.60(b)(2)(ii)(C).  As Verizon and AT&amp;T have noted, licensees deploying LTE (where mobile units transmit within the lower A Block spectrum, 698 – 704 MHz, adjacent to Channel 51) will be required to configure their systems to ensure that mobiles do not operate within 96.5 km of a Channel 51 broadcast station.  </w:t>
      </w:r>
      <w:r>
        <w:rPr>
          <w:i/>
        </w:rPr>
        <w:t xml:space="preserve"> </w:t>
      </w:r>
      <w:r>
        <w:t xml:space="preserve">  </w:t>
      </w:r>
      <w:r>
        <w:rPr>
          <w:i/>
          <w:iCs/>
        </w:rPr>
        <w:t xml:space="preserve">See </w:t>
      </w:r>
      <w:r>
        <w:t xml:space="preserve">Letter from Tamara Preiss, Verizon, to Marlene H. Dortch, FCC, WT Docket No. 06-150, RM-11592, dated Sept. 1, 2011 (and attached Technical Report Analysis of Cavalier Wireless, LLC at 1) (Verizon Sept. 1, 2011 Ex Parte); AT&amp;T Comments at 15 (citing Verizon Sept. 1, 2011 </w:t>
      </w:r>
      <w:r w:rsidRPr="00A06DE4">
        <w:t>Ex Parte</w:t>
      </w:r>
      <w:r>
        <w:t xml:space="preserve">); AT&amp;T Reply Comments at 64 (citing Verizon Sept. 1, 2011 </w:t>
      </w:r>
      <w:r w:rsidRPr="00A06DE4">
        <w:t>Ex Parte</w:t>
      </w:r>
      <w:r>
        <w:t xml:space="preserve"> Letter). </w:t>
      </w:r>
    </w:p>
  </w:footnote>
  <w:footnote w:id="192">
    <w:p w:rsidR="008F64CD" w:rsidRDefault="008F64CD" w:rsidP="00487096">
      <w:pPr>
        <w:pStyle w:val="FootnoteText"/>
      </w:pPr>
      <w:r>
        <w:rPr>
          <w:rStyle w:val="FootnoteReference"/>
        </w:rPr>
        <w:footnoteRef/>
      </w:r>
      <w:r>
        <w:t xml:space="preserve"> </w:t>
      </w:r>
      <w:r>
        <w:rPr>
          <w:i/>
          <w:iCs/>
        </w:rPr>
        <w:t>See e.g.</w:t>
      </w:r>
      <w:r>
        <w:rPr>
          <w:iCs/>
        </w:rPr>
        <w:t xml:space="preserve">, </w:t>
      </w:r>
      <w:r>
        <w:t>CBW Extension Request at 12; Continuum Extension Request at 10; Cox Extension Request at 7; MetroPCS Extension Request at 6-7.</w:t>
      </w:r>
    </w:p>
  </w:footnote>
  <w:footnote w:id="193">
    <w:p w:rsidR="008F64CD" w:rsidRDefault="008F64CD" w:rsidP="00487096">
      <w:pPr>
        <w:pStyle w:val="FootnoteText"/>
      </w:pPr>
      <w:r>
        <w:rPr>
          <w:rStyle w:val="FootnoteReference"/>
        </w:rPr>
        <w:footnoteRef/>
      </w:r>
      <w:r>
        <w:t xml:space="preserve"> Although we expect Lower A Block license holders will deploy LTE networks using a band plan consistent with adjacent deployments, the proposed parameters for obtaining relief from the interim construction benchmark are technologically neutral and would allow for different deployment options.  Specifically, the use of the rule 27.60 required distance separation of up to 108 km (base to Channel 51 station) as the basis for calculations, as opposed to calculations based solely on a mobile exclusion zone of 96.5 km applicable to LTE deployments, is generally a more conservative approach and will afford substantial relief to licensees sufficiently impacted by our Channel 51 interference protection requirements, regardless of technology deployed.   </w:t>
      </w:r>
    </w:p>
  </w:footnote>
  <w:footnote w:id="194">
    <w:p w:rsidR="008F64CD" w:rsidRDefault="008F64CD" w:rsidP="00487096">
      <w:pPr>
        <w:pStyle w:val="FootnoteText"/>
      </w:pPr>
      <w:r>
        <w:rPr>
          <w:rStyle w:val="FootnoteReference"/>
        </w:rPr>
        <w:footnoteRef/>
      </w:r>
      <w:r>
        <w:t xml:space="preserve"> A Block licensees that do not meet this standard remain subject to the extended interim construction benchmark deadline of </w:t>
      </w:r>
      <w:r w:rsidR="006C2D42">
        <w:t>December 13</w:t>
      </w:r>
      <w:r>
        <w:t>, 2016.</w:t>
      </w:r>
    </w:p>
  </w:footnote>
  <w:footnote w:id="195">
    <w:p w:rsidR="008F64CD" w:rsidRDefault="008F64CD" w:rsidP="00487096">
      <w:pPr>
        <w:pStyle w:val="FootnoteText"/>
      </w:pPr>
      <w:r>
        <w:rPr>
          <w:rStyle w:val="FootnoteReference"/>
        </w:rPr>
        <w:footnoteRef/>
      </w:r>
      <w:r>
        <w:t xml:space="preserve"> </w:t>
      </w:r>
      <w:r>
        <w:rPr>
          <w:i/>
        </w:rPr>
        <w:t xml:space="preserve">See </w:t>
      </w:r>
      <w:r>
        <w:t xml:space="preserve">47 C.F.R. § 27.14(l)  (requiring that </w:t>
      </w:r>
      <w:r>
        <w:rPr>
          <w:color w:val="000000"/>
        </w:rPr>
        <w:t xml:space="preserve">each licensee that meets its interim benchmark shall file a second report with the Commission no later than June 13, 2016, and no sooner than 30 days prior to this date.  Each licensee that does not meet its interim benchmark shall file this second report no later than on June 13, 2015, and no sooner than 30 days prior to this date).  </w:t>
      </w:r>
      <w:r>
        <w:rPr>
          <w:i/>
          <w:color w:val="000000"/>
        </w:rPr>
        <w:t>See id.</w:t>
      </w:r>
      <w:r>
        <w:rPr>
          <w:color w:val="000000"/>
        </w:rPr>
        <w:t xml:space="preserve">  We note that licensees were required to file their first status report by January 13, 2012.  </w:t>
      </w:r>
      <w:r>
        <w:rPr>
          <w:i/>
          <w:color w:val="000000"/>
        </w:rPr>
        <w:t xml:space="preserve">See </w:t>
      </w:r>
      <w:r>
        <w:rPr>
          <w:color w:val="000000"/>
        </w:rPr>
        <w:t>700 MHz Reporting Requirements Public Notice.</w:t>
      </w:r>
    </w:p>
  </w:footnote>
  <w:footnote w:id="196">
    <w:p w:rsidR="008F64CD" w:rsidRDefault="008F64CD" w:rsidP="00487096">
      <w:pPr>
        <w:pStyle w:val="FootnoteText"/>
      </w:pPr>
      <w:r>
        <w:rPr>
          <w:rStyle w:val="FootnoteReference"/>
        </w:rPr>
        <w:footnoteRef/>
      </w:r>
      <w:r>
        <w:t xml:space="preserve"> </w:t>
      </w:r>
      <w:r>
        <w:rPr>
          <w:i/>
          <w:iCs/>
        </w:rPr>
        <w:t xml:space="preserve">See </w:t>
      </w:r>
      <w:r w:rsidRPr="00AD14D2">
        <w:rPr>
          <w:i/>
        </w:rPr>
        <w:t>700 MHz Second Report and Order</w:t>
      </w:r>
      <w:r>
        <w:t xml:space="preserve">, 22 FCC Rcd at 15352 ¶ 165.  </w:t>
      </w:r>
    </w:p>
  </w:footnote>
  <w:footnote w:id="197">
    <w:p w:rsidR="008F64CD" w:rsidRDefault="008F64CD" w:rsidP="00487096">
      <w:pPr>
        <w:pStyle w:val="FootnoteText"/>
      </w:pPr>
      <w:r>
        <w:rPr>
          <w:rStyle w:val="FootnoteReference"/>
        </w:rPr>
        <w:footnoteRef/>
      </w:r>
      <w:r>
        <w:t xml:space="preserve"> </w:t>
      </w:r>
      <w:r w:rsidRPr="00780EE3">
        <w:rPr>
          <w:i/>
        </w:rPr>
        <w:t>See</w:t>
      </w:r>
      <w:r>
        <w:t xml:space="preserve"> </w:t>
      </w:r>
      <w:r w:rsidRPr="009A1C8D">
        <w:rPr>
          <w:i/>
        </w:rPr>
        <w:t xml:space="preserve">supra </w:t>
      </w:r>
      <w:r>
        <w:t>Section III.C; AT&amp;T Sept. 10, 2013 Ex Parte.</w:t>
      </w:r>
    </w:p>
  </w:footnote>
  <w:footnote w:id="198">
    <w:p w:rsidR="008F64CD" w:rsidRDefault="008F64CD" w:rsidP="00487096">
      <w:pPr>
        <w:pStyle w:val="FootnoteText"/>
      </w:pPr>
      <w:r>
        <w:rPr>
          <w:rStyle w:val="FootnoteReference"/>
        </w:rPr>
        <w:footnoteRef/>
      </w:r>
      <w:r>
        <w:t xml:space="preserve"> </w:t>
      </w:r>
      <w:r w:rsidRPr="006949CA">
        <w:t>47 C.F.R. §§ 1.16, 1.17.1.65.</w:t>
      </w:r>
    </w:p>
  </w:footnote>
  <w:footnote w:id="199">
    <w:p w:rsidR="008F64CD" w:rsidRDefault="008F64CD" w:rsidP="00487096">
      <w:pPr>
        <w:pStyle w:val="FootnoteText"/>
      </w:pPr>
      <w:r>
        <w:rPr>
          <w:rStyle w:val="FootnoteReference"/>
        </w:rPr>
        <w:footnoteRef/>
      </w:r>
      <w:r>
        <w:t xml:space="preserve"> </w:t>
      </w:r>
      <w:r w:rsidRPr="00015686">
        <w:rPr>
          <w:i/>
        </w:rPr>
        <w:t>See</w:t>
      </w:r>
      <w:r>
        <w:t xml:space="preserve"> AT&amp;T Sept. 10, 2013 Ex Parte.</w:t>
      </w:r>
    </w:p>
  </w:footnote>
  <w:footnote w:id="200">
    <w:p w:rsidR="008F64CD" w:rsidRDefault="008F64CD" w:rsidP="00487096">
      <w:pPr>
        <w:pStyle w:val="FootnoteText"/>
      </w:pPr>
      <w:r>
        <w:rPr>
          <w:rStyle w:val="FootnoteReference"/>
        </w:rPr>
        <w:footnoteRef/>
      </w:r>
      <w:r>
        <w:t xml:space="preserve"> </w:t>
      </w:r>
      <w:r w:rsidRPr="006148CB">
        <w:t>As discussed above, AT&amp;T’s commitments were premised on final resolution of the E Block interference issues.  By this Order, we modify the E Block technical rules to address the E Block interference issues.  AT&amp;T has reserved the right to declare its commitments null and void if those modifications are not adopted by December 31, 2013, or if adopted but subject to appellate review.   Because resolution of the E Block interference issue has always been essential to a resolution of the in</w:t>
      </w:r>
      <w:r>
        <w:t>teroperability issue, any order</w:t>
      </w:r>
      <w:r w:rsidRPr="006148CB">
        <w:t xml:space="preserve"> of modification of AT&amp;T’s licenses pursuant to the terms of the foregoing proposal shall become effective only at such time as the changes adopted today to the technical rules applicable to E Block operations b</w:t>
      </w:r>
      <w:r>
        <w:t xml:space="preserve">ecome final and unappealable. </w:t>
      </w:r>
      <w:r w:rsidRPr="006148CB">
        <w:t xml:space="preserve">In the event that AT&amp;T elects to declare its commitments null and void, the Commission continues to retain all its authority under the Communications Act of 1934, as amended, to adopt any rules or further orders in this proceeding necessary or appropriate to promote interoperability </w:t>
      </w:r>
      <w:r>
        <w:t>in the Lower 700 MHz b</w:t>
      </w:r>
      <w:r w:rsidRPr="006148CB">
        <w:t>and.</w:t>
      </w:r>
    </w:p>
  </w:footnote>
  <w:footnote w:id="201">
    <w:p w:rsidR="008F64CD" w:rsidRPr="005D7567" w:rsidRDefault="008F64CD" w:rsidP="00487096">
      <w:pPr>
        <w:pStyle w:val="FootnoteText"/>
      </w:pPr>
      <w:r w:rsidRPr="005D7567">
        <w:rPr>
          <w:rStyle w:val="FootnoteReference"/>
        </w:rPr>
        <w:footnoteRef/>
      </w:r>
      <w:r w:rsidRPr="005D7567">
        <w:t xml:space="preserve"> 47 U.S.C. §</w:t>
      </w:r>
      <w:r>
        <w:t xml:space="preserve"> </w:t>
      </w:r>
      <w:r w:rsidRPr="005D7567">
        <w:t xml:space="preserve">316. </w:t>
      </w:r>
      <w:r>
        <w:t xml:space="preserve"> </w:t>
      </w:r>
    </w:p>
  </w:footnote>
  <w:footnote w:id="202">
    <w:p w:rsidR="008F64CD" w:rsidRPr="005D7567" w:rsidRDefault="008F64CD" w:rsidP="00487096">
      <w:pPr>
        <w:pStyle w:val="FootnoteText"/>
      </w:pPr>
      <w:r w:rsidRPr="005D7567">
        <w:rPr>
          <w:rStyle w:val="FootnoteReference"/>
        </w:rPr>
        <w:footnoteRef/>
      </w:r>
      <w:r w:rsidRPr="005D7567">
        <w:t xml:space="preserve"> </w:t>
      </w:r>
      <w:r w:rsidRPr="005D7567">
        <w:rPr>
          <w:i/>
          <w:iCs/>
        </w:rPr>
        <w:t xml:space="preserve">NBC v. United States, </w:t>
      </w:r>
      <w:r w:rsidRPr="005D7567">
        <w:t xml:space="preserve">319 U.S. 190 (1943), (quoting 47 U.S.C. </w:t>
      </w:r>
      <w:r>
        <w:t xml:space="preserve">§ 303(g)). </w:t>
      </w:r>
      <w:r w:rsidRPr="005D7567">
        <w:t xml:space="preserve"> </w:t>
      </w:r>
      <w:r w:rsidRPr="008816A0">
        <w:rPr>
          <w:i/>
        </w:rPr>
        <w:t>Accord,</w:t>
      </w:r>
      <w:r>
        <w:rPr>
          <w:i/>
        </w:rPr>
        <w:t xml:space="preserve"> Cellco,</w:t>
      </w:r>
      <w:r w:rsidRPr="005D7567">
        <w:t xml:space="preserve"> </w:t>
      </w:r>
      <w:r>
        <w:t>700 F. 3d at 542</w:t>
      </w:r>
      <w:r w:rsidRPr="005D7567">
        <w:t>.</w:t>
      </w:r>
    </w:p>
  </w:footnote>
  <w:footnote w:id="203">
    <w:p w:rsidR="008F64CD" w:rsidRPr="005D7567" w:rsidRDefault="008F64CD" w:rsidP="00487096">
      <w:pPr>
        <w:pStyle w:val="FootnoteText"/>
      </w:pPr>
      <w:r w:rsidRPr="005D7567">
        <w:rPr>
          <w:rStyle w:val="FootnoteReference"/>
        </w:rPr>
        <w:footnoteRef/>
      </w:r>
      <w:r w:rsidRPr="005D7567">
        <w:t xml:space="preserve"> 47 U.S.C. §</w:t>
      </w:r>
      <w:r>
        <w:t xml:space="preserve"> </w:t>
      </w:r>
      <w:r w:rsidRPr="005D7567">
        <w:t>303(b).</w:t>
      </w:r>
      <w:r w:rsidRPr="008816A0">
        <w:rPr>
          <w:i/>
          <w:snapToGrid w:val="0"/>
          <w:kern w:val="28"/>
          <w:sz w:val="22"/>
        </w:rPr>
        <w:t xml:space="preserve"> </w:t>
      </w:r>
      <w:r>
        <w:rPr>
          <w:i/>
          <w:snapToGrid w:val="0"/>
          <w:kern w:val="28"/>
          <w:sz w:val="22"/>
        </w:rPr>
        <w:t xml:space="preserve"> </w:t>
      </w:r>
      <w:r w:rsidRPr="008816A0">
        <w:rPr>
          <w:i/>
        </w:rPr>
        <w:t xml:space="preserve">See also id. </w:t>
      </w:r>
      <w:r w:rsidRPr="008816A0">
        <w:t>§§ 153 (40), 153(49), 153(57), 303(r).</w:t>
      </w:r>
    </w:p>
  </w:footnote>
  <w:footnote w:id="204">
    <w:p w:rsidR="008F64CD" w:rsidRDefault="008F64CD" w:rsidP="00487096">
      <w:pPr>
        <w:pStyle w:val="FootnoteText"/>
        <w:spacing w:before="120" w:after="0"/>
      </w:pPr>
      <w:r>
        <w:rPr>
          <w:rStyle w:val="FootnoteReference"/>
        </w:rPr>
        <w:footnoteRef/>
      </w:r>
      <w:r>
        <w:t xml:space="preserve"> 47 U.S.C. § 316(a); 47 C.F.R. § 1.87(a).</w:t>
      </w:r>
    </w:p>
  </w:footnote>
  <w:footnote w:id="205">
    <w:p w:rsidR="008F64CD" w:rsidRDefault="008F64CD" w:rsidP="00487096">
      <w:pPr>
        <w:pStyle w:val="FootnoteText"/>
        <w:spacing w:before="120" w:after="0"/>
      </w:pPr>
      <w:r>
        <w:rPr>
          <w:rStyle w:val="FootnoteReference"/>
        </w:rPr>
        <w:footnoteRef/>
      </w:r>
      <w:r>
        <w:t xml:space="preserve"> </w:t>
      </w:r>
      <w:r>
        <w:rPr>
          <w:i/>
        </w:rPr>
        <w:t>Id</w:t>
      </w:r>
      <w:r w:rsidRPr="008A4452">
        <w:t>.</w:t>
      </w:r>
    </w:p>
  </w:footnote>
  <w:footnote w:id="206">
    <w:p w:rsidR="008F64CD" w:rsidRPr="006B019F" w:rsidRDefault="008F64CD" w:rsidP="00487096">
      <w:pPr>
        <w:pStyle w:val="FootnoteText"/>
        <w:spacing w:before="120"/>
      </w:pPr>
      <w:r>
        <w:rPr>
          <w:rStyle w:val="FootnoteReference"/>
        </w:rPr>
        <w:footnoteRef/>
      </w:r>
      <w:r>
        <w:t xml:space="preserve"> </w:t>
      </w:r>
      <w:r w:rsidRPr="006B019F">
        <w:rPr>
          <w:i/>
        </w:rPr>
        <w:t xml:space="preserve">See </w:t>
      </w:r>
      <w:r w:rsidRPr="006B019F">
        <w:t>AT&amp;T Sept. 10, 2013 Ex Parte.</w:t>
      </w:r>
    </w:p>
  </w:footnote>
  <w:footnote w:id="207">
    <w:p w:rsidR="008F64CD" w:rsidRDefault="008F64CD" w:rsidP="00487096">
      <w:pPr>
        <w:pStyle w:val="FootnoteText"/>
        <w:spacing w:before="120" w:after="0"/>
      </w:pPr>
      <w:r>
        <w:rPr>
          <w:rStyle w:val="FootnoteReference"/>
        </w:rPr>
        <w:footnoteRef/>
      </w:r>
      <w:r>
        <w:t xml:space="preserve"> As discussed below, we are using WT Docket No. 12-69 for any filings related to the instant Order of Proposed Modification for administrative convenience only.  </w:t>
      </w:r>
    </w:p>
  </w:footnote>
  <w:footnote w:id="208">
    <w:p w:rsidR="008F64CD" w:rsidRDefault="008F64CD" w:rsidP="00487096">
      <w:pPr>
        <w:pStyle w:val="FootnoteText"/>
        <w:spacing w:before="120" w:after="0"/>
      </w:pPr>
      <w:r>
        <w:rPr>
          <w:rStyle w:val="FootnoteReference"/>
        </w:rPr>
        <w:footnoteRef/>
      </w:r>
      <w:r>
        <w:t xml:space="preserve"> This address is proper only for protests submitted by U.S. mail.  For hand-delivered or messenger-delivered paper filings, the proper address is 236 Massachusetts Ave., N.E., Suite 110, Washington, D.C. 2002.  For documents sent by overnight delivery service other than United States Postal Service Express Mail and Priority Mail, the proper address is 9300 East Hampton Dr., Capitol Heights, MD 20743.  For further information, contact the Office of the Secretary at (202) 418-0300 or mdortch@fcc.gov. </w:t>
      </w:r>
    </w:p>
  </w:footnote>
  <w:footnote w:id="209">
    <w:p w:rsidR="008F64CD" w:rsidRDefault="008F64CD" w:rsidP="00487096">
      <w:pPr>
        <w:pStyle w:val="FootnoteText"/>
        <w:spacing w:before="120" w:after="0"/>
      </w:pPr>
      <w:r>
        <w:rPr>
          <w:rStyle w:val="FootnoteReference"/>
        </w:rPr>
        <w:footnoteRef/>
      </w:r>
      <w:r>
        <w:t xml:space="preserve"> We also note, as set forth in Section 316(a)(2), that “[a]ny other licensee or permittee who believes its license or permit would be modified by the proposed action may also protest the proposed action before its effective date.”  47 U.S.C. § 316(a)(2); </w:t>
      </w:r>
      <w:r>
        <w:rPr>
          <w:i/>
          <w:iCs/>
        </w:rPr>
        <w:t xml:space="preserve">see also </w:t>
      </w:r>
      <w:r>
        <w:t>47 C.F.R. § 1.87(c).</w:t>
      </w:r>
    </w:p>
  </w:footnote>
  <w:footnote w:id="210">
    <w:p w:rsidR="008F64CD" w:rsidRDefault="008F64CD" w:rsidP="00487096">
      <w:pPr>
        <w:pStyle w:val="FootnoteText"/>
        <w:spacing w:before="120" w:after="0"/>
      </w:pPr>
      <w:r>
        <w:rPr>
          <w:rStyle w:val="FootnoteReference"/>
        </w:rPr>
        <w:footnoteRef/>
      </w:r>
      <w:r>
        <w:t xml:space="preserve"> </w:t>
      </w:r>
      <w:r w:rsidRPr="00881821">
        <w:t>47 C</w:t>
      </w:r>
      <w:r>
        <w:t>.</w:t>
      </w:r>
      <w:r w:rsidRPr="00881821">
        <w:t>F</w:t>
      </w:r>
      <w:r>
        <w:t>.</w:t>
      </w:r>
      <w:r w:rsidRPr="00881821">
        <w:t>R</w:t>
      </w:r>
      <w:r>
        <w:t>.</w:t>
      </w:r>
      <w:r w:rsidRPr="00881821">
        <w:t xml:space="preserve"> §§ 1.1200(a)</w:t>
      </w:r>
      <w:r>
        <w:t xml:space="preserve"> (“[w]</w:t>
      </w:r>
      <w:r w:rsidRPr="00881821">
        <w:t>here the public interest so requires in a particular proceeding, the Commission and its staff retain the discretion to modify the applicable ex parte rules by order, letter, or public notice</w:t>
      </w:r>
      <w:r>
        <w:t xml:space="preserve">.”).  </w:t>
      </w:r>
    </w:p>
  </w:footnote>
  <w:footnote w:id="211">
    <w:p w:rsidR="008F64CD" w:rsidRDefault="008F64CD" w:rsidP="00487096">
      <w:pPr>
        <w:pStyle w:val="FootnoteText"/>
        <w:spacing w:before="120" w:after="0"/>
      </w:pPr>
      <w:r>
        <w:rPr>
          <w:rStyle w:val="FootnoteReference"/>
        </w:rPr>
        <w:footnoteRef/>
      </w:r>
      <w:r>
        <w:t xml:space="preserve"> 47 C.F.R. § 1.1208 (restricted proceedings).  </w:t>
      </w:r>
    </w:p>
  </w:footnote>
  <w:footnote w:id="212">
    <w:p w:rsidR="008F64CD" w:rsidRDefault="008F64CD" w:rsidP="00487096">
      <w:pPr>
        <w:pStyle w:val="FootnoteText"/>
        <w:spacing w:before="120" w:after="0"/>
      </w:pPr>
      <w:r>
        <w:rPr>
          <w:rStyle w:val="FootnoteReference"/>
        </w:rPr>
        <w:footnoteRef/>
      </w:r>
      <w:r>
        <w:t xml:space="preserve"> </w:t>
      </w:r>
      <w:r>
        <w:rPr>
          <w:i/>
        </w:rPr>
        <w:t>See Interoperability</w:t>
      </w:r>
      <w:r w:rsidRPr="00881821">
        <w:rPr>
          <w:i/>
        </w:rPr>
        <w:t xml:space="preserve"> NPRM</w:t>
      </w:r>
      <w:r>
        <w:t xml:space="preserve">, 27 FCC Rcd at 3548, ¶ 61.  </w:t>
      </w:r>
    </w:p>
  </w:footnote>
  <w:footnote w:id="213">
    <w:p w:rsidR="008F64CD" w:rsidRDefault="008F64CD" w:rsidP="00487096">
      <w:pPr>
        <w:pStyle w:val="FootnoteText"/>
        <w:spacing w:before="120" w:after="0"/>
      </w:pPr>
      <w:r>
        <w:rPr>
          <w:rStyle w:val="FootnoteReference"/>
        </w:rPr>
        <w:footnoteRef/>
      </w:r>
      <w:r>
        <w:t xml:space="preserve"> </w:t>
      </w:r>
      <w:r w:rsidRPr="00881821">
        <w:t>47 C</w:t>
      </w:r>
      <w:r>
        <w:t>.</w:t>
      </w:r>
      <w:r w:rsidRPr="00881821">
        <w:t>F</w:t>
      </w:r>
      <w:r>
        <w:t>.</w:t>
      </w:r>
      <w:r w:rsidRPr="00881821">
        <w:t>R</w:t>
      </w:r>
      <w:r>
        <w:t xml:space="preserve">. </w:t>
      </w:r>
      <w:r w:rsidRPr="00881821">
        <w:t>§ 1.1206</w:t>
      </w:r>
      <w:r>
        <w:t xml:space="preserve"> (permit-but-disclose proceedings)</w:t>
      </w:r>
      <w:r w:rsidRPr="00881821">
        <w:t>.</w:t>
      </w:r>
      <w:r>
        <w:t xml:space="preserve">  </w:t>
      </w:r>
    </w:p>
  </w:footnote>
  <w:footnote w:id="214">
    <w:p w:rsidR="008F64CD" w:rsidRDefault="008F64CD" w:rsidP="00487096">
      <w:pPr>
        <w:pStyle w:val="FootnoteText"/>
        <w:spacing w:before="120" w:after="0"/>
      </w:pPr>
      <w:r>
        <w:rPr>
          <w:rStyle w:val="FootnoteReference"/>
        </w:rPr>
        <w:footnoteRef/>
      </w:r>
      <w:r>
        <w:t xml:space="preserve"> </w:t>
      </w:r>
      <w:r w:rsidRPr="00157AEE">
        <w:t>47 C</w:t>
      </w:r>
      <w:r>
        <w:t>.</w:t>
      </w:r>
      <w:r w:rsidRPr="00157AEE">
        <w:t>F</w:t>
      </w:r>
      <w:r>
        <w:t>.</w:t>
      </w:r>
      <w:r w:rsidRPr="00157AEE">
        <w:t>R</w:t>
      </w:r>
      <w:r>
        <w:t>.</w:t>
      </w:r>
      <w:r w:rsidRPr="00157AEE">
        <w:t xml:space="preserve"> § 1.1206(b)</w:t>
      </w:r>
      <w:r>
        <w:t xml:space="preserve">.  </w:t>
      </w:r>
    </w:p>
  </w:footnote>
  <w:footnote w:id="215">
    <w:p w:rsidR="008F64CD" w:rsidRPr="005D7567" w:rsidRDefault="008F64CD" w:rsidP="00487096">
      <w:pPr>
        <w:pStyle w:val="FootnoteText"/>
        <w:spacing w:before="120" w:after="0"/>
        <w:rPr>
          <w:color w:val="000000"/>
        </w:rPr>
      </w:pPr>
      <w:r w:rsidRPr="005D7567">
        <w:rPr>
          <w:rStyle w:val="FootnoteReference"/>
          <w:color w:val="000000"/>
        </w:rPr>
        <w:footnoteRef/>
      </w:r>
      <w:r w:rsidRPr="005D7567">
        <w:rPr>
          <w:color w:val="000000"/>
        </w:rPr>
        <w:t xml:space="preserve"> </w:t>
      </w:r>
      <w:r w:rsidRPr="005D7567">
        <w:rPr>
          <w:i/>
          <w:color w:val="000000"/>
        </w:rPr>
        <w:t>See</w:t>
      </w:r>
      <w:r w:rsidRPr="005D7567">
        <w:rPr>
          <w:color w:val="000000"/>
        </w:rPr>
        <w:t xml:space="preserve"> 5 U.S.C. § 601–612.  The RFA has been amended by the Small Business Regulatory Enforcement Fairness Act of 1996 (SBREFA), Pub. L. No. 104-121, Title II, 110 Stat. 857 (1996).</w:t>
      </w:r>
    </w:p>
  </w:footnote>
  <w:footnote w:id="216">
    <w:p w:rsidR="008F64CD" w:rsidRPr="005D7567" w:rsidRDefault="008F64CD" w:rsidP="00487096">
      <w:pPr>
        <w:pStyle w:val="FootnoteText"/>
        <w:spacing w:before="120" w:after="0"/>
        <w:rPr>
          <w:color w:val="000000"/>
        </w:rPr>
      </w:pPr>
      <w:r w:rsidRPr="005D7567">
        <w:rPr>
          <w:rStyle w:val="FootnoteReference"/>
          <w:color w:val="000000"/>
        </w:rPr>
        <w:footnoteRef/>
      </w:r>
      <w:r w:rsidRPr="005D7567">
        <w:rPr>
          <w:color w:val="000000"/>
        </w:rPr>
        <w:t xml:space="preserve"> 5 U.S.C. § 605(b).</w:t>
      </w:r>
    </w:p>
  </w:footnote>
  <w:footnote w:id="217">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5 U.S.C. § 603.  The RFA, </w:t>
      </w:r>
      <w:r w:rsidRPr="005D7567">
        <w:rPr>
          <w:i/>
        </w:rPr>
        <w:t>see</w:t>
      </w:r>
      <w:r w:rsidRPr="005D7567">
        <w:t xml:space="preserve"> 5 U.S.C. § 601 – 612, has been amended by the Small Business Regulatory Enforcement Fairness Act of 1996 (SBREFA), Pub. L. No. 104-121, Title II, 110 Stat. 857 (1996).</w:t>
      </w:r>
    </w:p>
  </w:footnote>
  <w:footnote w:id="218">
    <w:p w:rsidR="008F64CD" w:rsidRPr="005D7567" w:rsidRDefault="008F64CD" w:rsidP="00487096">
      <w:pPr>
        <w:pStyle w:val="FootnoteText"/>
      </w:pPr>
      <w:r w:rsidRPr="005D7567">
        <w:rPr>
          <w:rStyle w:val="FootnoteReference"/>
        </w:rPr>
        <w:footnoteRef/>
      </w:r>
      <w:r w:rsidRPr="005D7567">
        <w:t xml:space="preserve"> </w:t>
      </w:r>
      <w:r w:rsidRPr="005D7567">
        <w:rPr>
          <w:i/>
        </w:rPr>
        <w:t xml:space="preserve">See </w:t>
      </w:r>
      <w:r w:rsidRPr="007D4F8A">
        <w:rPr>
          <w:i/>
        </w:rPr>
        <w:t>Interoperability NPRM</w:t>
      </w:r>
      <w:r>
        <w:t>, 27 FCC Rcd at 3551-56</w:t>
      </w:r>
      <w:r w:rsidRPr="005D7567">
        <w:t>.</w:t>
      </w:r>
    </w:p>
  </w:footnote>
  <w:footnote w:id="219">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5 U.S.C. § 604.</w:t>
      </w:r>
    </w:p>
  </w:footnote>
  <w:footnote w:id="220">
    <w:p w:rsidR="008F64CD" w:rsidRPr="005D7567" w:rsidRDefault="008F64CD" w:rsidP="00487096">
      <w:pPr>
        <w:pStyle w:val="FootnoteText"/>
      </w:pPr>
      <w:r w:rsidRPr="005D7567">
        <w:rPr>
          <w:rStyle w:val="FootnoteReference"/>
        </w:rPr>
        <w:footnoteRef/>
      </w:r>
      <w:r w:rsidRPr="005D7567">
        <w:t xml:space="preserve"> 5 U.S.C. § 604(a)(3).</w:t>
      </w:r>
    </w:p>
  </w:footnote>
  <w:footnote w:id="221">
    <w:p w:rsidR="008F64CD" w:rsidRPr="005D7567" w:rsidRDefault="008F64CD" w:rsidP="00487096">
      <w:pPr>
        <w:pStyle w:val="FootnoteText"/>
      </w:pPr>
      <w:r w:rsidRPr="005D7567">
        <w:rPr>
          <w:rStyle w:val="FootnoteReference"/>
        </w:rPr>
        <w:footnoteRef/>
      </w:r>
      <w:r w:rsidRPr="005D7567">
        <w:t xml:space="preserve"> 5 U.S.C. § 601(6).</w:t>
      </w:r>
    </w:p>
  </w:footnote>
  <w:footnote w:id="222">
    <w:p w:rsidR="008F64CD" w:rsidRPr="005D7567" w:rsidRDefault="008F64CD" w:rsidP="00487096">
      <w:pPr>
        <w:pStyle w:val="FootnoteText"/>
      </w:pPr>
      <w:r w:rsidRPr="005D7567">
        <w:rPr>
          <w:rStyle w:val="FootnoteReference"/>
        </w:rPr>
        <w:footnoteRef/>
      </w:r>
      <w:r w:rsidRPr="005D7567">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3">
    <w:p w:rsidR="008F64CD" w:rsidRPr="005D7567" w:rsidRDefault="008F64CD" w:rsidP="00487096">
      <w:pPr>
        <w:pStyle w:val="FootnoteText"/>
      </w:pPr>
      <w:r w:rsidRPr="005D7567">
        <w:rPr>
          <w:rStyle w:val="FootnoteReference"/>
        </w:rPr>
        <w:footnoteRef/>
      </w:r>
      <w:r w:rsidRPr="005D7567">
        <w:t xml:space="preserve"> 15 U.S.C. § 632.</w:t>
      </w:r>
    </w:p>
  </w:footnote>
  <w:footnote w:id="224">
    <w:p w:rsidR="008F64CD" w:rsidRDefault="008F64CD" w:rsidP="00487096">
      <w:pPr>
        <w:pStyle w:val="FootnoteText"/>
      </w:pPr>
      <w:r>
        <w:rPr>
          <w:rStyle w:val="FootnoteReference"/>
        </w:rPr>
        <w:footnoteRef/>
      </w:r>
      <w:r>
        <w:rPr>
          <w:i/>
        </w:rPr>
        <w:t xml:space="preserve"> See</w:t>
      </w:r>
      <w:r>
        <w:t xml:space="preserve"> 5 U.S.C. § 601(3)–(6).</w:t>
      </w:r>
    </w:p>
  </w:footnote>
  <w:footnote w:id="225">
    <w:p w:rsidR="008F64CD" w:rsidRDefault="008F64CD" w:rsidP="00487096">
      <w:pPr>
        <w:pStyle w:val="FootnoteText"/>
      </w:pPr>
      <w:r>
        <w:rPr>
          <w:rStyle w:val="FootnoteReference"/>
        </w:rPr>
        <w:footnoteRef/>
      </w:r>
      <w:r>
        <w:rPr>
          <w:i/>
        </w:rPr>
        <w:t xml:space="preserve"> See</w:t>
      </w:r>
      <w:r>
        <w:t xml:space="preserve"> SBA, Office of Advocacy, “Frequently Asked Questions,” available at http://web.sba.gov/faqs/faqindex.cfm?areaID=24 (last visited</w:t>
      </w:r>
      <w:r>
        <w:rPr>
          <w:i/>
        </w:rPr>
        <w:t xml:space="preserve"> </w:t>
      </w:r>
      <w:r>
        <w:t>Aug. 31, 2012).</w:t>
      </w:r>
    </w:p>
  </w:footnote>
  <w:footnote w:id="226">
    <w:p w:rsidR="008F64CD" w:rsidRDefault="008F64CD" w:rsidP="00487096">
      <w:pPr>
        <w:pStyle w:val="FootnoteText"/>
      </w:pPr>
      <w:r>
        <w:rPr>
          <w:rStyle w:val="FootnoteReference"/>
        </w:rPr>
        <w:footnoteRef/>
      </w:r>
      <w:r>
        <w:rPr>
          <w:spacing w:val="-2"/>
        </w:rPr>
        <w:t xml:space="preserve"> 5 U.S.C.</w:t>
      </w:r>
      <w:r>
        <w:t xml:space="preserve"> § 601(4).</w:t>
      </w:r>
    </w:p>
  </w:footnote>
  <w:footnote w:id="227">
    <w:p w:rsidR="008F64CD" w:rsidRDefault="008F64CD" w:rsidP="00487096">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228">
    <w:p w:rsidR="008F64CD" w:rsidRDefault="008F64CD" w:rsidP="00487096">
      <w:pPr>
        <w:pStyle w:val="FootnoteText"/>
      </w:pPr>
      <w:r>
        <w:rPr>
          <w:rStyle w:val="FootnoteReference"/>
          <w:spacing w:val="-2"/>
        </w:rPr>
        <w:footnoteRef/>
      </w:r>
      <w:r>
        <w:t xml:space="preserve"> 5 U.S.C. § 601(5).</w:t>
      </w:r>
    </w:p>
  </w:footnote>
  <w:footnote w:id="229">
    <w:p w:rsidR="008F64CD" w:rsidRDefault="008F64CD" w:rsidP="00487096">
      <w:pPr>
        <w:pStyle w:val="FootnoteText"/>
      </w:pPr>
      <w:r>
        <w:rPr>
          <w:rStyle w:val="FootnoteReference"/>
        </w:rPr>
        <w:footnoteRef/>
      </w:r>
      <w:r>
        <w:t xml:space="preserve"> U.S. CENSUS BUREAU, STATISTICAL ABSTRACT OF THE UNITED STATES: 2011, Table 427 (2007)</w:t>
      </w:r>
      <w:r>
        <w:rPr>
          <w:rStyle w:val="Footnote"/>
        </w:rPr>
        <w:t>.</w:t>
      </w:r>
    </w:p>
  </w:footnote>
  <w:footnote w:id="230">
    <w:p w:rsidR="008F64CD" w:rsidRDefault="008F64CD" w:rsidP="00487096">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1" w:history="1">
        <w:r>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231">
    <w:p w:rsidR="008F64CD" w:rsidRDefault="008F64CD" w:rsidP="00487096">
      <w:pPr>
        <w:pStyle w:val="FootnoteText"/>
        <w:spacing w:before="120"/>
      </w:pPr>
      <w:r>
        <w:rPr>
          <w:rStyle w:val="FootnoteReference"/>
        </w:rPr>
        <w:footnoteRef/>
      </w:r>
      <w:r>
        <w:t xml:space="preserve">  </w:t>
      </w:r>
      <w:hyperlink r:id="rId2" w:history="1">
        <w:r>
          <w:rPr>
            <w:rStyle w:val="Hyperlink"/>
          </w:rPr>
          <w:t>http://www.census.gov/cgi-bin/sssd/naics/naicsrch?code=517210&amp;search=2007%20NAICS%20Search</w:t>
        </w:r>
      </w:hyperlink>
    </w:p>
  </w:footnote>
  <w:footnote w:id="232">
    <w:p w:rsidR="008F64CD" w:rsidRDefault="008F64CD" w:rsidP="00487096">
      <w:pPr>
        <w:pStyle w:val="FootnoteText"/>
        <w:spacing w:before="120" w:line="120" w:lineRule="atLeast"/>
      </w:pPr>
      <w:r>
        <w:rPr>
          <w:rStyle w:val="FootnoteReference"/>
        </w:rPr>
        <w:footnoteRef/>
      </w:r>
      <w:r>
        <w:t xml:space="preserve"> 13 C.F.R. § 121.201, NAICS code 517210.</w:t>
      </w:r>
    </w:p>
  </w:footnote>
  <w:footnote w:id="233">
    <w:p w:rsidR="008F64CD" w:rsidRDefault="008F64CD" w:rsidP="00487096">
      <w:pPr>
        <w:pStyle w:val="FootnoteText"/>
        <w:spacing w:before="120"/>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234">
    <w:p w:rsidR="008F64CD" w:rsidRDefault="008F64CD" w:rsidP="00487096">
      <w:pPr>
        <w:pStyle w:val="FootnoteText"/>
        <w:spacing w:before="120"/>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35">
    <w:p w:rsidR="008F64CD" w:rsidRDefault="008F64CD" w:rsidP="00487096">
      <w:pPr>
        <w:pStyle w:val="FootnoteText"/>
        <w:spacing w:before="120"/>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236">
    <w:p w:rsidR="008F64CD" w:rsidRDefault="008F64CD" w:rsidP="00487096">
      <w:pPr>
        <w:pStyle w:val="FootnoteText"/>
        <w:spacing w:before="120"/>
      </w:pPr>
      <w:r>
        <w:rPr>
          <w:rStyle w:val="FootnoteReference"/>
        </w:rPr>
        <w:footnoteRef/>
      </w:r>
      <w:r>
        <w:rPr>
          <w:i/>
        </w:rPr>
        <w:t xml:space="preserve">See </w:t>
      </w:r>
      <w:r w:rsidRPr="00E777AD">
        <w:t>http://factfinder2.census.gov/faces/tableservices/jsf/pages/productview.xhtml?pid=ECN_2007_US_51SSSZ2&amp;prodType=table</w:t>
      </w:r>
    </w:p>
  </w:footnote>
  <w:footnote w:id="237">
    <w:p w:rsidR="008F64CD" w:rsidRPr="005D7567" w:rsidRDefault="008F64CD" w:rsidP="00487096">
      <w:pPr>
        <w:pStyle w:val="FootnoteText"/>
        <w:spacing w:before="120" w:after="0"/>
        <w:rPr>
          <w:color w:val="000000"/>
        </w:rPr>
      </w:pPr>
      <w:r w:rsidRPr="005D7567">
        <w:rPr>
          <w:rStyle w:val="FootnoteReference"/>
          <w:color w:val="000000"/>
        </w:rPr>
        <w:footnoteRef/>
      </w:r>
      <w:r w:rsidRPr="005D7567">
        <w:rPr>
          <w:color w:val="000000"/>
        </w:rPr>
        <w:t xml:space="preserve"> </w:t>
      </w:r>
      <w:r w:rsidRPr="005D7567">
        <w:rPr>
          <w:i/>
          <w:color w:val="000000"/>
        </w:rPr>
        <w:t>See Trends in Telephone Service</w:t>
      </w:r>
      <w:r w:rsidRPr="005D7567">
        <w:rPr>
          <w:color w:val="000000"/>
        </w:rPr>
        <w:t xml:space="preserve"> at Table 5.3.</w:t>
      </w:r>
    </w:p>
  </w:footnote>
  <w:footnote w:id="238">
    <w:p w:rsidR="008F64CD" w:rsidRPr="005D7567" w:rsidRDefault="008F64CD" w:rsidP="00487096">
      <w:pPr>
        <w:pStyle w:val="FootnoteText"/>
        <w:spacing w:before="120"/>
      </w:pPr>
      <w:r w:rsidRPr="005D7567">
        <w:rPr>
          <w:rStyle w:val="FootnoteReference"/>
        </w:rPr>
        <w:footnoteRef/>
      </w:r>
      <w:r w:rsidRPr="005D7567">
        <w:t xml:space="preserve"> </w:t>
      </w:r>
      <w:r w:rsidRPr="005D7567">
        <w:rPr>
          <w:i/>
        </w:rPr>
        <w:t>See id</w:t>
      </w:r>
      <w:r w:rsidRPr="005D7567">
        <w:t>.</w:t>
      </w:r>
    </w:p>
  </w:footnote>
  <w:footnote w:id="239">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Reallocation and Service Rules for the 698</w:t>
      </w:r>
      <w:r w:rsidRPr="005D7567">
        <w:rPr>
          <w:rStyle w:val="Footnote"/>
        </w:rPr>
        <w:t>–</w:t>
      </w:r>
      <w:r w:rsidRPr="005D7567">
        <w:t>746 MHz Spectrum Band (Television Channels 52</w:t>
      </w:r>
      <w:r w:rsidRPr="005D7567">
        <w:rPr>
          <w:rStyle w:val="Footnote"/>
        </w:rPr>
        <w:t>–</w:t>
      </w:r>
      <w:r w:rsidRPr="005D7567">
        <w:t xml:space="preserve">59), </w:t>
      </w:r>
      <w:r w:rsidRPr="005D7567">
        <w:rPr>
          <w:i/>
        </w:rPr>
        <w:t>Report and Order</w:t>
      </w:r>
      <w:r w:rsidRPr="005D7567">
        <w:t>, 17 FCC Rcd 1022 (2002) (“</w:t>
      </w:r>
      <w:r w:rsidRPr="005D7567">
        <w:rPr>
          <w:i/>
        </w:rPr>
        <w:t>Channels 52</w:t>
      </w:r>
      <w:r w:rsidRPr="005D7567">
        <w:rPr>
          <w:rStyle w:val="Footnote"/>
        </w:rPr>
        <w:t>–</w:t>
      </w:r>
      <w:r w:rsidRPr="005D7567">
        <w:rPr>
          <w:i/>
        </w:rPr>
        <w:t>59 Report and Order</w:t>
      </w:r>
      <w:r w:rsidRPr="005D7567">
        <w:t>”).</w:t>
      </w:r>
    </w:p>
  </w:footnote>
  <w:footnote w:id="240">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w:t>
      </w:r>
      <w:r w:rsidRPr="005D7567">
        <w:rPr>
          <w:i/>
        </w:rPr>
        <w:t>id.</w:t>
      </w:r>
      <w:r w:rsidRPr="005D7567">
        <w:t>, 17 FCC Rcd at 1087</w:t>
      </w:r>
      <w:r w:rsidRPr="005D7567">
        <w:rPr>
          <w:rStyle w:val="Footnote"/>
        </w:rPr>
        <w:t>–</w:t>
      </w:r>
      <w:r w:rsidRPr="005D7567">
        <w:t>88 ¶ 172.</w:t>
      </w:r>
    </w:p>
  </w:footnote>
  <w:footnote w:id="241">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w:t>
      </w:r>
      <w:r w:rsidRPr="005D7567">
        <w:rPr>
          <w:i/>
        </w:rPr>
        <w:t>id</w:t>
      </w:r>
      <w:r w:rsidRPr="005D7567">
        <w:t>.</w:t>
      </w:r>
    </w:p>
  </w:footnote>
  <w:footnote w:id="242">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w:t>
      </w:r>
      <w:r w:rsidRPr="005D7567">
        <w:rPr>
          <w:i/>
        </w:rPr>
        <w:t>id.</w:t>
      </w:r>
      <w:r w:rsidRPr="005D7567">
        <w:t>, 17 FCC Rcd at 1088 ¶ 173.</w:t>
      </w:r>
    </w:p>
  </w:footnote>
  <w:footnote w:id="243">
    <w:p w:rsidR="008F64CD" w:rsidRPr="007D4F8A" w:rsidRDefault="008F64CD" w:rsidP="00487096">
      <w:pPr>
        <w:pStyle w:val="FootnoteText"/>
      </w:pPr>
      <w:r w:rsidRPr="005D7567">
        <w:rPr>
          <w:vertAlign w:val="superscript"/>
        </w:rPr>
        <w:footnoteRef/>
      </w:r>
      <w:r w:rsidRPr="005D7567">
        <w:t xml:space="preserve"> </w:t>
      </w:r>
      <w:r w:rsidRPr="005D7567">
        <w:rPr>
          <w:i/>
        </w:rPr>
        <w:t>See</w:t>
      </w:r>
      <w:r w:rsidRPr="005D7567">
        <w:t xml:space="preserve"> </w:t>
      </w:r>
      <w:r>
        <w:rPr>
          <w:rStyle w:val="Footnote"/>
        </w:rPr>
        <w:t>Letter from Aida Alvarez, Administrator, SBA, to Thomas Sugrue, Chief, Wireless Telecommunications Bureau, FCC (Aug. 10, 1999).</w:t>
      </w:r>
    </w:p>
  </w:footnote>
  <w:footnote w:id="244">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Lower 700 MHz Band Auction Closes, </w:t>
      </w:r>
      <w:r w:rsidRPr="005D7567">
        <w:rPr>
          <w:i/>
        </w:rPr>
        <w:t>Public Notice</w:t>
      </w:r>
      <w:r w:rsidRPr="005D7567">
        <w:t>, 17 FCC Rcd 17,272 (2002).</w:t>
      </w:r>
    </w:p>
  </w:footnote>
  <w:footnote w:id="245">
    <w:p w:rsidR="008F64CD" w:rsidRPr="005D7567" w:rsidRDefault="008F64CD" w:rsidP="00487096">
      <w:pPr>
        <w:pStyle w:val="FootnoteText"/>
      </w:pPr>
      <w:r w:rsidRPr="005D7567">
        <w:rPr>
          <w:vertAlign w:val="superscript"/>
        </w:rPr>
        <w:footnoteRef/>
      </w:r>
      <w:r w:rsidRPr="005D7567">
        <w:t xml:space="preserve"> </w:t>
      </w:r>
      <w:r w:rsidRPr="005D7567">
        <w:rPr>
          <w:i/>
        </w:rPr>
        <w:t>See</w:t>
      </w:r>
      <w:r w:rsidRPr="005D7567">
        <w:t xml:space="preserve"> Lower 700 MHz Band Auction Closes, </w:t>
      </w:r>
      <w:r w:rsidRPr="005D7567">
        <w:rPr>
          <w:i/>
        </w:rPr>
        <w:t>Public Notice</w:t>
      </w:r>
      <w:r w:rsidRPr="005D7567">
        <w:t>, 18 FCC Rcd 11,873 (2003).</w:t>
      </w:r>
    </w:p>
  </w:footnote>
  <w:footnote w:id="246">
    <w:p w:rsidR="008F64CD" w:rsidRPr="005D7567" w:rsidRDefault="008F64CD" w:rsidP="00487096">
      <w:pPr>
        <w:pStyle w:val="FootnoteText"/>
      </w:pPr>
      <w:r w:rsidRPr="005D7567">
        <w:rPr>
          <w:vertAlign w:val="superscript"/>
        </w:rPr>
        <w:footnoteRef/>
      </w:r>
      <w:r w:rsidRPr="005D7567">
        <w:t xml:space="preserve"> </w:t>
      </w:r>
      <w:r w:rsidRPr="005D7567">
        <w:rPr>
          <w:i/>
        </w:rPr>
        <w:t>See id.</w:t>
      </w:r>
    </w:p>
  </w:footnote>
  <w:footnote w:id="247">
    <w:p w:rsidR="008F64CD" w:rsidRPr="005D7567" w:rsidRDefault="008F64CD" w:rsidP="00487096">
      <w:pPr>
        <w:pStyle w:val="FootnoteText"/>
      </w:pPr>
      <w:r w:rsidRPr="005D7567">
        <w:rPr>
          <w:rStyle w:val="FootnoteReference"/>
        </w:rPr>
        <w:footnoteRef/>
      </w:r>
      <w:r w:rsidRPr="005D7567">
        <w:t xml:space="preserve"> </w:t>
      </w:r>
      <w:r w:rsidRPr="008A1653">
        <w:rPr>
          <w:i/>
        </w:rPr>
        <w:t>700 MHz Second Report and Order</w:t>
      </w:r>
      <w:r>
        <w:t>, 22 FCC Rcd at15359 n.434 (2007)</w:t>
      </w:r>
      <w:r w:rsidRPr="005D7567">
        <w:t>.</w:t>
      </w:r>
    </w:p>
  </w:footnote>
  <w:footnote w:id="248">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Auction of 700 MHz Band Licenses Closes</w:t>
      </w:r>
      <w:r w:rsidRPr="005D7567">
        <w:rPr>
          <w:rStyle w:val="FootnoteTextCharCharCharChar3CharCharChar1"/>
        </w:rPr>
        <w:t xml:space="preserve">, </w:t>
      </w:r>
      <w:r w:rsidRPr="005D7567">
        <w:rPr>
          <w:rStyle w:val="FootnoteTextCharCharCharChar3CharCharChar1"/>
          <w:i/>
        </w:rPr>
        <w:t>Public Notice</w:t>
      </w:r>
      <w:r w:rsidRPr="005D7567">
        <w:rPr>
          <w:rStyle w:val="FootnoteTextCharCharCharChar3CharCharChar1"/>
        </w:rPr>
        <w:t>, 23 FCC Rcd 4572 (2008).</w:t>
      </w:r>
    </w:p>
  </w:footnote>
  <w:footnote w:id="249">
    <w:p w:rsidR="008F64CD" w:rsidRPr="005D7567" w:rsidRDefault="008F64CD" w:rsidP="00487096">
      <w:pPr>
        <w:pStyle w:val="FootnoteText"/>
        <w:rPr>
          <w:lang w:val="fr-FR"/>
        </w:rPr>
      </w:pPr>
      <w:r w:rsidRPr="005D7567">
        <w:rPr>
          <w:rStyle w:val="FootnoteReference"/>
        </w:rPr>
        <w:footnoteRef/>
      </w:r>
      <w:r w:rsidRPr="005D7567">
        <w:rPr>
          <w:lang w:val="fr-FR"/>
        </w:rPr>
        <w:t xml:space="preserve"> 13 C.F.R. § 121.201</w:t>
      </w:r>
      <w:r w:rsidRPr="005D7567">
        <w:rPr>
          <w:color w:val="000000"/>
          <w:lang w:val="fr-FR"/>
        </w:rPr>
        <w:t>, NAICS code 334220.</w:t>
      </w:r>
    </w:p>
  </w:footnote>
  <w:footnote w:id="250">
    <w:p w:rsidR="008F64CD" w:rsidRPr="005D7567" w:rsidRDefault="008F64CD" w:rsidP="00487096">
      <w:pPr>
        <w:pStyle w:val="FootnoteText"/>
      </w:pPr>
      <w:r w:rsidRPr="005D7567">
        <w:rPr>
          <w:rStyle w:val="FootnoteReference"/>
        </w:rPr>
        <w:footnoteRef/>
      </w:r>
      <w:r w:rsidRPr="005D7567">
        <w:t xml:space="preserve"> The NAICS Code for this service 334220. See 13 C.F.R 121/201.</w:t>
      </w:r>
      <w:r>
        <w:t xml:space="preserve"> </w:t>
      </w:r>
      <w:r w:rsidRPr="005D7567">
        <w:t xml:space="preserve"> </w:t>
      </w:r>
      <w:r w:rsidRPr="005D7567">
        <w:rPr>
          <w:i/>
        </w:rPr>
        <w:t>See also</w:t>
      </w:r>
      <w:r w:rsidRPr="005D7567">
        <w:t xml:space="preserve"> http://factfinder.census.gov/servlet/IBQTable?_bm=y&amp;-fds_name=EC0700A1&amp;-geo_id=&amp;-_skip=300&amp;-ds_name=EC0731SG2&amp;-_lang=en</w:t>
      </w:r>
      <w:r>
        <w:t>.</w:t>
      </w:r>
    </w:p>
  </w:footnote>
  <w:footnote w:id="251">
    <w:p w:rsidR="008F64CD" w:rsidRPr="005D7567" w:rsidRDefault="008F64CD" w:rsidP="00487096">
      <w:pPr>
        <w:pStyle w:val="FootnoteText"/>
      </w:pPr>
      <w:r w:rsidRPr="005D7567">
        <w:rPr>
          <w:rStyle w:val="FootnoteReference"/>
        </w:rPr>
        <w:footnoteRef/>
      </w:r>
      <w:r w:rsidRPr="005D7567">
        <w:t xml:space="preserve"> 5 U.S.C. § 603(c)(1) – (c)(4).</w:t>
      </w:r>
    </w:p>
  </w:footnote>
  <w:footnote w:id="252">
    <w:p w:rsidR="008F64CD" w:rsidRPr="005D7567" w:rsidRDefault="008F64CD" w:rsidP="00487096">
      <w:pPr>
        <w:pStyle w:val="FootnoteText"/>
      </w:pPr>
      <w:r w:rsidRPr="005D7567">
        <w:rPr>
          <w:rStyle w:val="FootnoteReference"/>
        </w:rPr>
        <w:footnoteRef/>
      </w:r>
      <w:r w:rsidRPr="005D7567">
        <w:t xml:space="preserve"> </w:t>
      </w:r>
      <w:r w:rsidRPr="005D7567">
        <w:rPr>
          <w:i/>
        </w:rPr>
        <w:t>See</w:t>
      </w:r>
      <w:r w:rsidRPr="005D7567">
        <w:t xml:space="preserve"> 5 U.S.C. § 801(a)(1)(A).</w:t>
      </w:r>
    </w:p>
  </w:footnote>
  <w:footnote w:id="253">
    <w:p w:rsidR="008F64CD" w:rsidRDefault="008F64CD" w:rsidP="00487096">
      <w:pPr>
        <w:pStyle w:val="FootnoteText"/>
      </w:pPr>
      <w:r w:rsidRPr="005D7567">
        <w:rPr>
          <w:rStyle w:val="FootnoteReference"/>
        </w:rPr>
        <w:footnoteRef/>
      </w:r>
      <w:r w:rsidRPr="005D7567">
        <w:t xml:space="preserve"> </w:t>
      </w:r>
      <w:r w:rsidRPr="005D7567">
        <w:rPr>
          <w:i/>
        </w:rPr>
        <w:t>See</w:t>
      </w:r>
      <w:r w:rsidRPr="005D7567">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Default="00D93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CD" w:rsidRDefault="008F64CD">
    <w:pPr>
      <w:pStyle w:val="Header"/>
    </w:pPr>
    <w:r w:rsidRPr="00BE1685">
      <w:tab/>
      <w:t>Federal Communications Commission</w:t>
    </w:r>
    <w:r w:rsidRPr="00BE1685">
      <w:tab/>
      <w:t>FCC 13-136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CD" w:rsidRPr="00BE1685" w:rsidRDefault="008F64CD" w:rsidP="00C062BD">
    <w:pPr>
      <w:pStyle w:val="Header"/>
      <w:rPr>
        <w:lang w:val="en-US"/>
      </w:rPr>
    </w:pPr>
    <w:r w:rsidRPr="00C062BD">
      <w:tab/>
      <w:t>Federal Communications C</w:t>
    </w:r>
    <w:r>
      <w:t>ommission</w:t>
    </w:r>
    <w:r>
      <w:tab/>
      <w:t>FCC 13-13</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D02"/>
    <w:multiLevelType w:val="hybridMultilevel"/>
    <w:tmpl w:val="DD42E114"/>
    <w:lvl w:ilvl="0" w:tplc="0BDC658A">
      <w:start w:val="70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E06CBB"/>
    <w:multiLevelType w:val="multilevel"/>
    <w:tmpl w:val="AB0A38FC"/>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530"/>
        </w:tabs>
        <w:ind w:left="153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BE059A9"/>
    <w:multiLevelType w:val="multilevel"/>
    <w:tmpl w:val="AC2463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D66434"/>
    <w:multiLevelType w:val="hybridMultilevel"/>
    <w:tmpl w:val="F04074A6"/>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sz w:val="22"/>
        <w:u w:val="none"/>
        <w:effect w:val="none"/>
        <w:vertAlign w:val="baseline"/>
        <w:specVanish w:val="0"/>
      </w:rPr>
    </w:lvl>
  </w:abstractNum>
  <w:abstractNum w:abstractNumId="7">
    <w:nsid w:val="3D651AD5"/>
    <w:multiLevelType w:val="hybridMultilevel"/>
    <w:tmpl w:val="4C247D22"/>
    <w:lvl w:ilvl="0" w:tplc="FD5AF2E4">
      <w:start w:val="1"/>
      <w:numFmt w:val="decimal"/>
      <w:pStyle w:val="par1"/>
      <w:lvlText w:val="%1."/>
      <w:lvlJc w:val="left"/>
      <w:pPr>
        <w:tabs>
          <w:tab w:val="num" w:pos="1800"/>
        </w:tabs>
        <w:ind w:left="720" w:firstLine="720"/>
      </w:pPr>
      <w:rPr>
        <w:rFonts w:ascii="Times New Roman" w:hAnsi="Times New Roman" w:cs="Times New Roman" w:hint="default"/>
        <w:b w:val="0"/>
        <w:i w:val="0"/>
        <w:caps w:val="0"/>
        <w:strike w:val="0"/>
        <w:dstrike w:val="0"/>
        <w:vanish w:val="0"/>
        <w:webHidden w:val="0"/>
        <w:sz w:val="22"/>
        <w:szCs w:val="22"/>
        <w:u w:val="none"/>
        <w:effect w:val="none"/>
        <w:vertAlign w:val="baseline"/>
        <w:specVanish w:val="0"/>
      </w:rPr>
    </w:lvl>
    <w:lvl w:ilvl="1" w:tplc="FB3E097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9">
    <w:nsid w:val="5E2F7F73"/>
    <w:multiLevelType w:val="hybridMultilevel"/>
    <w:tmpl w:val="8E7251E2"/>
    <w:lvl w:ilvl="0" w:tplc="28943270">
      <w:start w:val="1"/>
      <w:numFmt w:val="decimal"/>
      <w:pStyle w:val="AmendatoryLanguage"/>
      <w:lvlText w:val="%1."/>
      <w:lvlJc w:val="left"/>
      <w:pPr>
        <w:tabs>
          <w:tab w:val="num" w:pos="0"/>
        </w:tabs>
        <w:ind w:left="0" w:firstLine="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182925"/>
    <w:multiLevelType w:val="singleLevel"/>
    <w:tmpl w:val="3444716C"/>
    <w:lvl w:ilvl="0">
      <w:start w:val="1"/>
      <w:numFmt w:val="decimal"/>
      <w:pStyle w:val="ParaNum"/>
      <w:lvlText w:val="%1."/>
      <w:lvlJc w:val="left"/>
      <w:pPr>
        <w:tabs>
          <w:tab w:val="num" w:pos="1440"/>
        </w:tabs>
        <w:ind w:left="0" w:firstLine="720"/>
      </w:pPr>
      <w:rPr>
        <w:rFonts w:hint="default"/>
        <w:b w:val="0"/>
        <w:i w:val="0"/>
      </w:rPr>
    </w:lvl>
  </w:abstractNum>
  <w:abstractNum w:abstractNumId="11">
    <w:nsid w:val="744D0069"/>
    <w:multiLevelType w:val="hybridMultilevel"/>
    <w:tmpl w:val="B13256C8"/>
    <w:lvl w:ilvl="0" w:tplc="A9C68038">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394C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1A69FD"/>
    <w:multiLevelType w:val="hybridMultilevel"/>
    <w:tmpl w:val="AFE2F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3"/>
  </w:num>
  <w:num w:numId="4">
    <w:abstractNumId w:val="0"/>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lvlOverride w:ilvl="0">
      <w:startOverride w:val="1"/>
    </w:lvlOverride>
  </w:num>
  <w:num w:numId="12">
    <w:abstractNumId w:val="11"/>
  </w:num>
  <w:num w:numId="13">
    <w:abstractNumId w:val="5"/>
  </w:num>
  <w:num w:numId="14">
    <w:abstractNumId w:val="4"/>
  </w:num>
  <w:num w:numId="15">
    <w:abstractNumId w:val="1"/>
  </w:num>
  <w:num w:numId="16">
    <w:abstractNumId w:val="3"/>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1A"/>
    <w:rsid w:val="000001C8"/>
    <w:rsid w:val="000116E0"/>
    <w:rsid w:val="00013E80"/>
    <w:rsid w:val="00024374"/>
    <w:rsid w:val="00024874"/>
    <w:rsid w:val="00034081"/>
    <w:rsid w:val="0004138B"/>
    <w:rsid w:val="00041581"/>
    <w:rsid w:val="000452DC"/>
    <w:rsid w:val="00046576"/>
    <w:rsid w:val="00055517"/>
    <w:rsid w:val="00057C60"/>
    <w:rsid w:val="00060D57"/>
    <w:rsid w:val="00062312"/>
    <w:rsid w:val="0006293C"/>
    <w:rsid w:val="000672B4"/>
    <w:rsid w:val="00067720"/>
    <w:rsid w:val="00067BF2"/>
    <w:rsid w:val="00075C47"/>
    <w:rsid w:val="000779D7"/>
    <w:rsid w:val="00077B76"/>
    <w:rsid w:val="0008117D"/>
    <w:rsid w:val="00090E68"/>
    <w:rsid w:val="000913D7"/>
    <w:rsid w:val="00096AEE"/>
    <w:rsid w:val="000A2576"/>
    <w:rsid w:val="000A4CB0"/>
    <w:rsid w:val="000A685F"/>
    <w:rsid w:val="000B13E7"/>
    <w:rsid w:val="000B5D80"/>
    <w:rsid w:val="000B6367"/>
    <w:rsid w:val="000C0B9E"/>
    <w:rsid w:val="000C3385"/>
    <w:rsid w:val="000C513D"/>
    <w:rsid w:val="000E7993"/>
    <w:rsid w:val="000F55B5"/>
    <w:rsid w:val="000F6346"/>
    <w:rsid w:val="000F78E0"/>
    <w:rsid w:val="00100425"/>
    <w:rsid w:val="00107E74"/>
    <w:rsid w:val="00107F70"/>
    <w:rsid w:val="00112D1D"/>
    <w:rsid w:val="001140FC"/>
    <w:rsid w:val="00117DC2"/>
    <w:rsid w:val="00123287"/>
    <w:rsid w:val="0012571B"/>
    <w:rsid w:val="00130041"/>
    <w:rsid w:val="001450AB"/>
    <w:rsid w:val="00145274"/>
    <w:rsid w:val="00147B51"/>
    <w:rsid w:val="00147CDE"/>
    <w:rsid w:val="0015126C"/>
    <w:rsid w:val="001638DD"/>
    <w:rsid w:val="001675B3"/>
    <w:rsid w:val="00176C42"/>
    <w:rsid w:val="00177E91"/>
    <w:rsid w:val="001858A4"/>
    <w:rsid w:val="00191C90"/>
    <w:rsid w:val="00194FE0"/>
    <w:rsid w:val="001B63DB"/>
    <w:rsid w:val="001C109C"/>
    <w:rsid w:val="001C3414"/>
    <w:rsid w:val="001D1090"/>
    <w:rsid w:val="001E1767"/>
    <w:rsid w:val="001E32A2"/>
    <w:rsid w:val="001E3E10"/>
    <w:rsid w:val="001F0330"/>
    <w:rsid w:val="001F5CAA"/>
    <w:rsid w:val="001F728F"/>
    <w:rsid w:val="002017BE"/>
    <w:rsid w:val="002316B0"/>
    <w:rsid w:val="00247BAC"/>
    <w:rsid w:val="00251AE0"/>
    <w:rsid w:val="00253623"/>
    <w:rsid w:val="00253860"/>
    <w:rsid w:val="0025635E"/>
    <w:rsid w:val="00260EB1"/>
    <w:rsid w:val="00275750"/>
    <w:rsid w:val="00286CF7"/>
    <w:rsid w:val="002969FA"/>
    <w:rsid w:val="002A0EEE"/>
    <w:rsid w:val="002A329B"/>
    <w:rsid w:val="002B2842"/>
    <w:rsid w:val="002B5626"/>
    <w:rsid w:val="002C1545"/>
    <w:rsid w:val="002D1A31"/>
    <w:rsid w:val="002D50DA"/>
    <w:rsid w:val="002D793E"/>
    <w:rsid w:val="002E295D"/>
    <w:rsid w:val="002E4970"/>
    <w:rsid w:val="002E58ED"/>
    <w:rsid w:val="002F0FD7"/>
    <w:rsid w:val="002F6F74"/>
    <w:rsid w:val="003160A9"/>
    <w:rsid w:val="00317E42"/>
    <w:rsid w:val="003418BB"/>
    <w:rsid w:val="00342C77"/>
    <w:rsid w:val="00344AF5"/>
    <w:rsid w:val="00346D96"/>
    <w:rsid w:val="00355168"/>
    <w:rsid w:val="00356225"/>
    <w:rsid w:val="0036308D"/>
    <w:rsid w:val="003729D9"/>
    <w:rsid w:val="00382F8F"/>
    <w:rsid w:val="003843E0"/>
    <w:rsid w:val="003846E9"/>
    <w:rsid w:val="003941BE"/>
    <w:rsid w:val="003A01DC"/>
    <w:rsid w:val="003B0528"/>
    <w:rsid w:val="003B5601"/>
    <w:rsid w:val="003B5CB4"/>
    <w:rsid w:val="003B7B16"/>
    <w:rsid w:val="003C033D"/>
    <w:rsid w:val="003C30ED"/>
    <w:rsid w:val="003C7E89"/>
    <w:rsid w:val="003D1C30"/>
    <w:rsid w:val="003D3B8B"/>
    <w:rsid w:val="003D7BE1"/>
    <w:rsid w:val="003E513F"/>
    <w:rsid w:val="003F1EA4"/>
    <w:rsid w:val="00411B2A"/>
    <w:rsid w:val="00427100"/>
    <w:rsid w:val="004277A3"/>
    <w:rsid w:val="004359B9"/>
    <w:rsid w:val="00445F75"/>
    <w:rsid w:val="00457ED8"/>
    <w:rsid w:val="00460F5D"/>
    <w:rsid w:val="004610B5"/>
    <w:rsid w:val="004619EA"/>
    <w:rsid w:val="00472748"/>
    <w:rsid w:val="0047409E"/>
    <w:rsid w:val="004744B4"/>
    <w:rsid w:val="00476990"/>
    <w:rsid w:val="004801A5"/>
    <w:rsid w:val="00483151"/>
    <w:rsid w:val="00487096"/>
    <w:rsid w:val="004A0E44"/>
    <w:rsid w:val="004A43A1"/>
    <w:rsid w:val="004B35B6"/>
    <w:rsid w:val="004C0607"/>
    <w:rsid w:val="004C25F0"/>
    <w:rsid w:val="004C4B24"/>
    <w:rsid w:val="004C7048"/>
    <w:rsid w:val="004C7272"/>
    <w:rsid w:val="004E2129"/>
    <w:rsid w:val="004F4A48"/>
    <w:rsid w:val="004F4E2B"/>
    <w:rsid w:val="0051128C"/>
    <w:rsid w:val="00511A14"/>
    <w:rsid w:val="005122DD"/>
    <w:rsid w:val="0052378C"/>
    <w:rsid w:val="0054395D"/>
    <w:rsid w:val="005507FB"/>
    <w:rsid w:val="005520A4"/>
    <w:rsid w:val="005541C0"/>
    <w:rsid w:val="00554AC5"/>
    <w:rsid w:val="00554F7A"/>
    <w:rsid w:val="00555196"/>
    <w:rsid w:val="005633D7"/>
    <w:rsid w:val="005722B5"/>
    <w:rsid w:val="00572842"/>
    <w:rsid w:val="00573C9E"/>
    <w:rsid w:val="00574262"/>
    <w:rsid w:val="00574B99"/>
    <w:rsid w:val="00582367"/>
    <w:rsid w:val="005864EB"/>
    <w:rsid w:val="00587A39"/>
    <w:rsid w:val="00591F39"/>
    <w:rsid w:val="00592372"/>
    <w:rsid w:val="00593492"/>
    <w:rsid w:val="005A5769"/>
    <w:rsid w:val="005B49D0"/>
    <w:rsid w:val="005B5EEF"/>
    <w:rsid w:val="005B6494"/>
    <w:rsid w:val="005B76F1"/>
    <w:rsid w:val="005C03CE"/>
    <w:rsid w:val="005C65F9"/>
    <w:rsid w:val="005D21E8"/>
    <w:rsid w:val="005F3009"/>
    <w:rsid w:val="005F5D1D"/>
    <w:rsid w:val="00603CD4"/>
    <w:rsid w:val="00610985"/>
    <w:rsid w:val="006148CB"/>
    <w:rsid w:val="00620970"/>
    <w:rsid w:val="0062208C"/>
    <w:rsid w:val="00625DFA"/>
    <w:rsid w:val="00627D8E"/>
    <w:rsid w:val="00634B65"/>
    <w:rsid w:val="0063683F"/>
    <w:rsid w:val="00646227"/>
    <w:rsid w:val="0064723D"/>
    <w:rsid w:val="0065489A"/>
    <w:rsid w:val="00656D37"/>
    <w:rsid w:val="006616F1"/>
    <w:rsid w:val="00662D1E"/>
    <w:rsid w:val="00664E83"/>
    <w:rsid w:val="006659E4"/>
    <w:rsid w:val="006667B7"/>
    <w:rsid w:val="0067074E"/>
    <w:rsid w:val="0067315D"/>
    <w:rsid w:val="0067727D"/>
    <w:rsid w:val="006773F2"/>
    <w:rsid w:val="00685484"/>
    <w:rsid w:val="00686722"/>
    <w:rsid w:val="00691A36"/>
    <w:rsid w:val="006A3D53"/>
    <w:rsid w:val="006A4431"/>
    <w:rsid w:val="006A66D0"/>
    <w:rsid w:val="006B019F"/>
    <w:rsid w:val="006B2229"/>
    <w:rsid w:val="006C2D42"/>
    <w:rsid w:val="006C342E"/>
    <w:rsid w:val="006C6EFE"/>
    <w:rsid w:val="006C74C0"/>
    <w:rsid w:val="006D748A"/>
    <w:rsid w:val="006F0F79"/>
    <w:rsid w:val="006F6506"/>
    <w:rsid w:val="00701AEA"/>
    <w:rsid w:val="00701C59"/>
    <w:rsid w:val="00705280"/>
    <w:rsid w:val="00710921"/>
    <w:rsid w:val="00712239"/>
    <w:rsid w:val="007151B1"/>
    <w:rsid w:val="00717519"/>
    <w:rsid w:val="00720EF5"/>
    <w:rsid w:val="007247BF"/>
    <w:rsid w:val="007252EC"/>
    <w:rsid w:val="00730090"/>
    <w:rsid w:val="00735914"/>
    <w:rsid w:val="00736A9E"/>
    <w:rsid w:val="00737C0D"/>
    <w:rsid w:val="007402A7"/>
    <w:rsid w:val="00741E0D"/>
    <w:rsid w:val="0074213C"/>
    <w:rsid w:val="00762016"/>
    <w:rsid w:val="00766C6A"/>
    <w:rsid w:val="00770118"/>
    <w:rsid w:val="0077410F"/>
    <w:rsid w:val="00780EE3"/>
    <w:rsid w:val="0078235D"/>
    <w:rsid w:val="00787224"/>
    <w:rsid w:val="007906B9"/>
    <w:rsid w:val="00793225"/>
    <w:rsid w:val="00793FDC"/>
    <w:rsid w:val="007A2792"/>
    <w:rsid w:val="007A645B"/>
    <w:rsid w:val="007B0D64"/>
    <w:rsid w:val="007B3CB4"/>
    <w:rsid w:val="007B624C"/>
    <w:rsid w:val="007B6979"/>
    <w:rsid w:val="007C028E"/>
    <w:rsid w:val="007C7976"/>
    <w:rsid w:val="007D393A"/>
    <w:rsid w:val="007D42D4"/>
    <w:rsid w:val="007D491A"/>
    <w:rsid w:val="007D4F8A"/>
    <w:rsid w:val="007D751A"/>
    <w:rsid w:val="007E3A71"/>
    <w:rsid w:val="007E4848"/>
    <w:rsid w:val="007F1284"/>
    <w:rsid w:val="007F39F3"/>
    <w:rsid w:val="00801B50"/>
    <w:rsid w:val="0081593D"/>
    <w:rsid w:val="00822C58"/>
    <w:rsid w:val="00832479"/>
    <w:rsid w:val="00834851"/>
    <w:rsid w:val="00843EEF"/>
    <w:rsid w:val="008507E6"/>
    <w:rsid w:val="0085095C"/>
    <w:rsid w:val="008512C5"/>
    <w:rsid w:val="00852C90"/>
    <w:rsid w:val="00873B0E"/>
    <w:rsid w:val="00880211"/>
    <w:rsid w:val="008816A0"/>
    <w:rsid w:val="00891FD5"/>
    <w:rsid w:val="00892E25"/>
    <w:rsid w:val="00895AA7"/>
    <w:rsid w:val="0089678A"/>
    <w:rsid w:val="008A1653"/>
    <w:rsid w:val="008A5CE9"/>
    <w:rsid w:val="008C1AD2"/>
    <w:rsid w:val="008D0AB6"/>
    <w:rsid w:val="008D1C08"/>
    <w:rsid w:val="008D2FDF"/>
    <w:rsid w:val="008E2392"/>
    <w:rsid w:val="008E5928"/>
    <w:rsid w:val="008E6514"/>
    <w:rsid w:val="008E7641"/>
    <w:rsid w:val="008E7C29"/>
    <w:rsid w:val="008F3F02"/>
    <w:rsid w:val="008F433C"/>
    <w:rsid w:val="008F4D0E"/>
    <w:rsid w:val="008F64CD"/>
    <w:rsid w:val="0090365D"/>
    <w:rsid w:val="00910645"/>
    <w:rsid w:val="00914521"/>
    <w:rsid w:val="00915AD8"/>
    <w:rsid w:val="009210E7"/>
    <w:rsid w:val="00926511"/>
    <w:rsid w:val="00932BAC"/>
    <w:rsid w:val="009339BF"/>
    <w:rsid w:val="009410D0"/>
    <w:rsid w:val="0094595D"/>
    <w:rsid w:val="00956EFF"/>
    <w:rsid w:val="009570D8"/>
    <w:rsid w:val="00963EC8"/>
    <w:rsid w:val="00975B19"/>
    <w:rsid w:val="00975D22"/>
    <w:rsid w:val="00977762"/>
    <w:rsid w:val="00983577"/>
    <w:rsid w:val="009A17F1"/>
    <w:rsid w:val="009A1C8D"/>
    <w:rsid w:val="009A602D"/>
    <w:rsid w:val="009A7055"/>
    <w:rsid w:val="009B5F3D"/>
    <w:rsid w:val="009B70A1"/>
    <w:rsid w:val="009C7F17"/>
    <w:rsid w:val="009D027E"/>
    <w:rsid w:val="009D35FA"/>
    <w:rsid w:val="009D4C29"/>
    <w:rsid w:val="009E1647"/>
    <w:rsid w:val="009E1ADD"/>
    <w:rsid w:val="009E38EE"/>
    <w:rsid w:val="009E514C"/>
    <w:rsid w:val="009F3772"/>
    <w:rsid w:val="009F741F"/>
    <w:rsid w:val="00A036D7"/>
    <w:rsid w:val="00A06C6B"/>
    <w:rsid w:val="00A14E5F"/>
    <w:rsid w:val="00A220BE"/>
    <w:rsid w:val="00A251A7"/>
    <w:rsid w:val="00A425D9"/>
    <w:rsid w:val="00A45912"/>
    <w:rsid w:val="00A50539"/>
    <w:rsid w:val="00A50A4F"/>
    <w:rsid w:val="00A60979"/>
    <w:rsid w:val="00A6392A"/>
    <w:rsid w:val="00A71BE8"/>
    <w:rsid w:val="00A71C5D"/>
    <w:rsid w:val="00A76A5E"/>
    <w:rsid w:val="00A916D7"/>
    <w:rsid w:val="00A93CF8"/>
    <w:rsid w:val="00A97797"/>
    <w:rsid w:val="00AA1066"/>
    <w:rsid w:val="00AA463F"/>
    <w:rsid w:val="00AA70AF"/>
    <w:rsid w:val="00AC1138"/>
    <w:rsid w:val="00AC1CF7"/>
    <w:rsid w:val="00AC65C4"/>
    <w:rsid w:val="00AD0F44"/>
    <w:rsid w:val="00AD1ED1"/>
    <w:rsid w:val="00AD76DC"/>
    <w:rsid w:val="00AE1F6B"/>
    <w:rsid w:val="00AE390E"/>
    <w:rsid w:val="00AF119C"/>
    <w:rsid w:val="00AF204A"/>
    <w:rsid w:val="00AF2C31"/>
    <w:rsid w:val="00B00C0E"/>
    <w:rsid w:val="00B10E27"/>
    <w:rsid w:val="00B156B8"/>
    <w:rsid w:val="00B20393"/>
    <w:rsid w:val="00B25BE3"/>
    <w:rsid w:val="00B32807"/>
    <w:rsid w:val="00B34950"/>
    <w:rsid w:val="00B361A3"/>
    <w:rsid w:val="00B4328A"/>
    <w:rsid w:val="00B54D0C"/>
    <w:rsid w:val="00B57D6F"/>
    <w:rsid w:val="00B62333"/>
    <w:rsid w:val="00B6358B"/>
    <w:rsid w:val="00B67020"/>
    <w:rsid w:val="00B723ED"/>
    <w:rsid w:val="00B7740E"/>
    <w:rsid w:val="00B80D9B"/>
    <w:rsid w:val="00B93D3E"/>
    <w:rsid w:val="00BA325E"/>
    <w:rsid w:val="00BA4CDA"/>
    <w:rsid w:val="00BA5038"/>
    <w:rsid w:val="00BA5FB3"/>
    <w:rsid w:val="00BB2D4E"/>
    <w:rsid w:val="00BB69C7"/>
    <w:rsid w:val="00BD2554"/>
    <w:rsid w:val="00BE1685"/>
    <w:rsid w:val="00BE6ED9"/>
    <w:rsid w:val="00BE7D94"/>
    <w:rsid w:val="00BF011D"/>
    <w:rsid w:val="00BF2082"/>
    <w:rsid w:val="00C005EC"/>
    <w:rsid w:val="00C009FA"/>
    <w:rsid w:val="00C04622"/>
    <w:rsid w:val="00C0527A"/>
    <w:rsid w:val="00C06036"/>
    <w:rsid w:val="00C062BD"/>
    <w:rsid w:val="00C129AB"/>
    <w:rsid w:val="00C17EE6"/>
    <w:rsid w:val="00C21387"/>
    <w:rsid w:val="00C240AE"/>
    <w:rsid w:val="00C42D3A"/>
    <w:rsid w:val="00C51BB4"/>
    <w:rsid w:val="00C55755"/>
    <w:rsid w:val="00C57164"/>
    <w:rsid w:val="00C738A4"/>
    <w:rsid w:val="00C73DB7"/>
    <w:rsid w:val="00C80063"/>
    <w:rsid w:val="00C82292"/>
    <w:rsid w:val="00C943AB"/>
    <w:rsid w:val="00C96946"/>
    <w:rsid w:val="00CC1B56"/>
    <w:rsid w:val="00CD1BC6"/>
    <w:rsid w:val="00CD1F3E"/>
    <w:rsid w:val="00CD4DBD"/>
    <w:rsid w:val="00CE184A"/>
    <w:rsid w:val="00CE5D22"/>
    <w:rsid w:val="00CE7B05"/>
    <w:rsid w:val="00CF0163"/>
    <w:rsid w:val="00D01F71"/>
    <w:rsid w:val="00D02230"/>
    <w:rsid w:val="00D0287A"/>
    <w:rsid w:val="00D02A2D"/>
    <w:rsid w:val="00D03910"/>
    <w:rsid w:val="00D04B47"/>
    <w:rsid w:val="00D10D2A"/>
    <w:rsid w:val="00D147C3"/>
    <w:rsid w:val="00D14FDA"/>
    <w:rsid w:val="00D15156"/>
    <w:rsid w:val="00D2415C"/>
    <w:rsid w:val="00D2536E"/>
    <w:rsid w:val="00D258B2"/>
    <w:rsid w:val="00D27AC9"/>
    <w:rsid w:val="00D372A9"/>
    <w:rsid w:val="00D50433"/>
    <w:rsid w:val="00D82249"/>
    <w:rsid w:val="00D8299A"/>
    <w:rsid w:val="00D87EAF"/>
    <w:rsid w:val="00D90E8D"/>
    <w:rsid w:val="00D92B57"/>
    <w:rsid w:val="00D931B7"/>
    <w:rsid w:val="00D93FEF"/>
    <w:rsid w:val="00D965BF"/>
    <w:rsid w:val="00DA041A"/>
    <w:rsid w:val="00DA3AAF"/>
    <w:rsid w:val="00DA6F37"/>
    <w:rsid w:val="00DB59E2"/>
    <w:rsid w:val="00DB69FB"/>
    <w:rsid w:val="00DC1BA4"/>
    <w:rsid w:val="00DC74DA"/>
    <w:rsid w:val="00DD7ADE"/>
    <w:rsid w:val="00DD7D75"/>
    <w:rsid w:val="00DD7E12"/>
    <w:rsid w:val="00DE57E1"/>
    <w:rsid w:val="00DE65D4"/>
    <w:rsid w:val="00DE7F2E"/>
    <w:rsid w:val="00DF6DC8"/>
    <w:rsid w:val="00E068F1"/>
    <w:rsid w:val="00E1044F"/>
    <w:rsid w:val="00E112E1"/>
    <w:rsid w:val="00E11393"/>
    <w:rsid w:val="00E25C4D"/>
    <w:rsid w:val="00E27AC5"/>
    <w:rsid w:val="00E50E8B"/>
    <w:rsid w:val="00E51FB1"/>
    <w:rsid w:val="00E54D2C"/>
    <w:rsid w:val="00E560C8"/>
    <w:rsid w:val="00E57FC5"/>
    <w:rsid w:val="00E602EF"/>
    <w:rsid w:val="00E606F6"/>
    <w:rsid w:val="00E628B9"/>
    <w:rsid w:val="00E65719"/>
    <w:rsid w:val="00E67A34"/>
    <w:rsid w:val="00E74CCF"/>
    <w:rsid w:val="00E777AD"/>
    <w:rsid w:val="00E82336"/>
    <w:rsid w:val="00E85E82"/>
    <w:rsid w:val="00E9118A"/>
    <w:rsid w:val="00E91253"/>
    <w:rsid w:val="00EA2D1A"/>
    <w:rsid w:val="00ED0E46"/>
    <w:rsid w:val="00ED2D7F"/>
    <w:rsid w:val="00EE22A4"/>
    <w:rsid w:val="00EE5009"/>
    <w:rsid w:val="00EE546E"/>
    <w:rsid w:val="00EE6840"/>
    <w:rsid w:val="00EF252A"/>
    <w:rsid w:val="00EF7FC7"/>
    <w:rsid w:val="00F054C0"/>
    <w:rsid w:val="00F056B1"/>
    <w:rsid w:val="00F1683D"/>
    <w:rsid w:val="00F21586"/>
    <w:rsid w:val="00F3559E"/>
    <w:rsid w:val="00F417DC"/>
    <w:rsid w:val="00F50F54"/>
    <w:rsid w:val="00F5110E"/>
    <w:rsid w:val="00F668E2"/>
    <w:rsid w:val="00F9256F"/>
    <w:rsid w:val="00F931CA"/>
    <w:rsid w:val="00F944F9"/>
    <w:rsid w:val="00FA1450"/>
    <w:rsid w:val="00FC1AA8"/>
    <w:rsid w:val="00FC1AE7"/>
    <w:rsid w:val="00FC2C63"/>
    <w:rsid w:val="00FC639A"/>
    <w:rsid w:val="00FD1213"/>
    <w:rsid w:val="00FE2BEC"/>
    <w:rsid w:val="00FE3BFD"/>
    <w:rsid w:val="00FE4D9D"/>
    <w:rsid w:val="00FF21AD"/>
    <w:rsid w:val="00FF64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 w:type="character" w:customStyle="1" w:styleId="st1">
    <w:name w:val="st1"/>
    <w:basedOn w:val="DefaultParagraphFont"/>
    <w:rsid w:val="00B6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 w:type="character" w:customStyle="1" w:styleId="st1">
    <w:name w:val="st1"/>
    <w:basedOn w:val="DefaultParagraphFont"/>
    <w:rsid w:val="00B6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4671">
      <w:bodyDiv w:val="1"/>
      <w:marLeft w:val="0"/>
      <w:marRight w:val="0"/>
      <w:marTop w:val="0"/>
      <w:marBottom w:val="0"/>
      <w:divBdr>
        <w:top w:val="none" w:sz="0" w:space="0" w:color="auto"/>
        <w:left w:val="none" w:sz="0" w:space="0" w:color="auto"/>
        <w:bottom w:val="none" w:sz="0" w:space="0" w:color="auto"/>
        <w:right w:val="none" w:sz="0" w:space="0" w:color="auto"/>
      </w:divBdr>
      <w:divsChild>
        <w:div w:id="696273559">
          <w:marLeft w:val="0"/>
          <w:marRight w:val="0"/>
          <w:marTop w:val="0"/>
          <w:marBottom w:val="0"/>
          <w:divBdr>
            <w:top w:val="none" w:sz="0" w:space="0" w:color="auto"/>
            <w:left w:val="single" w:sz="6" w:space="0" w:color="BBBBBB"/>
            <w:bottom w:val="single" w:sz="6" w:space="0" w:color="BBBBBB"/>
            <w:right w:val="single" w:sz="6" w:space="0" w:color="BBBBBB"/>
          </w:divBdr>
          <w:divsChild>
            <w:div w:id="1662156306">
              <w:marLeft w:val="0"/>
              <w:marRight w:val="0"/>
              <w:marTop w:val="0"/>
              <w:marBottom w:val="0"/>
              <w:divBdr>
                <w:top w:val="none" w:sz="0" w:space="0" w:color="auto"/>
                <w:left w:val="none" w:sz="0" w:space="0" w:color="auto"/>
                <w:bottom w:val="none" w:sz="0" w:space="0" w:color="auto"/>
                <w:right w:val="none" w:sz="0" w:space="0" w:color="auto"/>
              </w:divBdr>
              <w:divsChild>
                <w:div w:id="1658654206">
                  <w:marLeft w:val="0"/>
                  <w:marRight w:val="0"/>
                  <w:marTop w:val="0"/>
                  <w:marBottom w:val="0"/>
                  <w:divBdr>
                    <w:top w:val="none" w:sz="0" w:space="0" w:color="auto"/>
                    <w:left w:val="none" w:sz="0" w:space="0" w:color="auto"/>
                    <w:bottom w:val="none" w:sz="0" w:space="0" w:color="auto"/>
                    <w:right w:val="none" w:sz="0" w:space="0" w:color="auto"/>
                  </w:divBdr>
                  <w:divsChild>
                    <w:div w:id="1271662398">
                      <w:marLeft w:val="0"/>
                      <w:marRight w:val="0"/>
                      <w:marTop w:val="0"/>
                      <w:marBottom w:val="0"/>
                      <w:divBdr>
                        <w:top w:val="none" w:sz="0" w:space="0" w:color="auto"/>
                        <w:left w:val="none" w:sz="0" w:space="0" w:color="auto"/>
                        <w:bottom w:val="none" w:sz="0" w:space="0" w:color="auto"/>
                        <w:right w:val="none" w:sz="0" w:space="0" w:color="auto"/>
                      </w:divBdr>
                      <w:divsChild>
                        <w:div w:id="573516718">
                          <w:marLeft w:val="0"/>
                          <w:marRight w:val="0"/>
                          <w:marTop w:val="0"/>
                          <w:marBottom w:val="0"/>
                          <w:divBdr>
                            <w:top w:val="none" w:sz="0" w:space="0" w:color="auto"/>
                            <w:left w:val="none" w:sz="0" w:space="0" w:color="auto"/>
                            <w:bottom w:val="none" w:sz="0" w:space="0" w:color="auto"/>
                            <w:right w:val="none" w:sz="0" w:space="0" w:color="auto"/>
                          </w:divBdr>
                          <w:divsChild>
                            <w:div w:id="1720979468">
                              <w:marLeft w:val="0"/>
                              <w:marRight w:val="0"/>
                              <w:marTop w:val="0"/>
                              <w:marBottom w:val="0"/>
                              <w:divBdr>
                                <w:top w:val="none" w:sz="0" w:space="0" w:color="auto"/>
                                <w:left w:val="none" w:sz="0" w:space="0" w:color="auto"/>
                                <w:bottom w:val="none" w:sz="0" w:space="0" w:color="auto"/>
                                <w:right w:val="none" w:sz="0" w:space="0" w:color="auto"/>
                              </w:divBdr>
                              <w:divsChild>
                                <w:div w:id="35282870">
                                  <w:marLeft w:val="0"/>
                                  <w:marRight w:val="0"/>
                                  <w:marTop w:val="0"/>
                                  <w:marBottom w:val="0"/>
                                  <w:divBdr>
                                    <w:top w:val="none" w:sz="0" w:space="0" w:color="auto"/>
                                    <w:left w:val="none" w:sz="0" w:space="0" w:color="auto"/>
                                    <w:bottom w:val="none" w:sz="0" w:space="0" w:color="auto"/>
                                    <w:right w:val="none" w:sz="0" w:space="0" w:color="auto"/>
                                  </w:divBdr>
                                  <w:divsChild>
                                    <w:div w:id="1393230188">
                                      <w:marLeft w:val="0"/>
                                      <w:marRight w:val="0"/>
                                      <w:marTop w:val="0"/>
                                      <w:marBottom w:val="0"/>
                                      <w:divBdr>
                                        <w:top w:val="none" w:sz="0" w:space="0" w:color="auto"/>
                                        <w:left w:val="none" w:sz="0" w:space="0" w:color="auto"/>
                                        <w:bottom w:val="none" w:sz="0" w:space="0" w:color="auto"/>
                                        <w:right w:val="none" w:sz="0" w:space="0" w:color="auto"/>
                                      </w:divBdr>
                                      <w:divsChild>
                                        <w:div w:id="386419065">
                                          <w:marLeft w:val="1200"/>
                                          <w:marRight w:val="1200"/>
                                          <w:marTop w:val="0"/>
                                          <w:marBottom w:val="0"/>
                                          <w:divBdr>
                                            <w:top w:val="none" w:sz="0" w:space="0" w:color="auto"/>
                                            <w:left w:val="none" w:sz="0" w:space="0" w:color="auto"/>
                                            <w:bottom w:val="none" w:sz="0" w:space="0" w:color="auto"/>
                                            <w:right w:val="none" w:sz="0" w:space="0" w:color="auto"/>
                                          </w:divBdr>
                                          <w:divsChild>
                                            <w:div w:id="706225318">
                                              <w:marLeft w:val="0"/>
                                              <w:marRight w:val="0"/>
                                              <w:marTop w:val="0"/>
                                              <w:marBottom w:val="0"/>
                                              <w:divBdr>
                                                <w:top w:val="none" w:sz="0" w:space="0" w:color="auto"/>
                                                <w:left w:val="none" w:sz="0" w:space="0" w:color="auto"/>
                                                <w:bottom w:val="none" w:sz="0" w:space="0" w:color="auto"/>
                                                <w:right w:val="none" w:sz="0" w:space="0" w:color="auto"/>
                                              </w:divBdr>
                                              <w:divsChild>
                                                <w:div w:id="1400325916">
                                                  <w:marLeft w:val="0"/>
                                                  <w:marRight w:val="0"/>
                                                  <w:marTop w:val="0"/>
                                                  <w:marBottom w:val="0"/>
                                                  <w:divBdr>
                                                    <w:top w:val="none" w:sz="0" w:space="0" w:color="auto"/>
                                                    <w:left w:val="none" w:sz="0" w:space="0" w:color="auto"/>
                                                    <w:bottom w:val="none" w:sz="0" w:space="0" w:color="auto"/>
                                                    <w:right w:val="none" w:sz="0" w:space="0" w:color="auto"/>
                                                  </w:divBdr>
                                                  <w:divsChild>
                                                    <w:div w:id="295599151">
                                                      <w:marLeft w:val="0"/>
                                                      <w:marRight w:val="0"/>
                                                      <w:marTop w:val="0"/>
                                                      <w:marBottom w:val="0"/>
                                                      <w:divBdr>
                                                        <w:top w:val="none" w:sz="0" w:space="0" w:color="auto"/>
                                                        <w:left w:val="none" w:sz="0" w:space="0" w:color="auto"/>
                                                        <w:bottom w:val="none" w:sz="0" w:space="0" w:color="auto"/>
                                                        <w:right w:val="none" w:sz="0" w:space="0" w:color="auto"/>
                                                      </w:divBdr>
                                                      <w:divsChild>
                                                        <w:div w:id="13951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245750">
      <w:bodyDiv w:val="1"/>
      <w:marLeft w:val="0"/>
      <w:marRight w:val="0"/>
      <w:marTop w:val="0"/>
      <w:marBottom w:val="0"/>
      <w:divBdr>
        <w:top w:val="none" w:sz="0" w:space="0" w:color="auto"/>
        <w:left w:val="none" w:sz="0" w:space="0" w:color="auto"/>
        <w:bottom w:val="none" w:sz="0" w:space="0" w:color="auto"/>
        <w:right w:val="none" w:sz="0" w:space="0" w:color="auto"/>
      </w:divBdr>
      <w:divsChild>
        <w:div w:id="1886478324">
          <w:marLeft w:val="0"/>
          <w:marRight w:val="0"/>
          <w:marTop w:val="0"/>
          <w:marBottom w:val="0"/>
          <w:divBdr>
            <w:top w:val="none" w:sz="0" w:space="0" w:color="auto"/>
            <w:left w:val="single" w:sz="6" w:space="0" w:color="BBBBBB"/>
            <w:bottom w:val="single" w:sz="6" w:space="0" w:color="BBBBBB"/>
            <w:right w:val="single" w:sz="6" w:space="0" w:color="BBBBBB"/>
          </w:divBdr>
          <w:divsChild>
            <w:div w:id="412581172">
              <w:marLeft w:val="0"/>
              <w:marRight w:val="0"/>
              <w:marTop w:val="0"/>
              <w:marBottom w:val="0"/>
              <w:divBdr>
                <w:top w:val="none" w:sz="0" w:space="0" w:color="auto"/>
                <w:left w:val="none" w:sz="0" w:space="0" w:color="auto"/>
                <w:bottom w:val="none" w:sz="0" w:space="0" w:color="auto"/>
                <w:right w:val="none" w:sz="0" w:space="0" w:color="auto"/>
              </w:divBdr>
              <w:divsChild>
                <w:div w:id="319893147">
                  <w:marLeft w:val="0"/>
                  <w:marRight w:val="0"/>
                  <w:marTop w:val="0"/>
                  <w:marBottom w:val="0"/>
                  <w:divBdr>
                    <w:top w:val="none" w:sz="0" w:space="0" w:color="auto"/>
                    <w:left w:val="none" w:sz="0" w:space="0" w:color="auto"/>
                    <w:bottom w:val="none" w:sz="0" w:space="0" w:color="auto"/>
                    <w:right w:val="none" w:sz="0" w:space="0" w:color="auto"/>
                  </w:divBdr>
                  <w:divsChild>
                    <w:div w:id="1337683019">
                      <w:marLeft w:val="0"/>
                      <w:marRight w:val="0"/>
                      <w:marTop w:val="0"/>
                      <w:marBottom w:val="0"/>
                      <w:divBdr>
                        <w:top w:val="none" w:sz="0" w:space="0" w:color="auto"/>
                        <w:left w:val="none" w:sz="0" w:space="0" w:color="auto"/>
                        <w:bottom w:val="none" w:sz="0" w:space="0" w:color="auto"/>
                        <w:right w:val="none" w:sz="0" w:space="0" w:color="auto"/>
                      </w:divBdr>
                      <w:divsChild>
                        <w:div w:id="1427964056">
                          <w:marLeft w:val="0"/>
                          <w:marRight w:val="0"/>
                          <w:marTop w:val="0"/>
                          <w:marBottom w:val="0"/>
                          <w:divBdr>
                            <w:top w:val="none" w:sz="0" w:space="0" w:color="auto"/>
                            <w:left w:val="none" w:sz="0" w:space="0" w:color="auto"/>
                            <w:bottom w:val="none" w:sz="0" w:space="0" w:color="auto"/>
                            <w:right w:val="none" w:sz="0" w:space="0" w:color="auto"/>
                          </w:divBdr>
                          <w:divsChild>
                            <w:div w:id="331689152">
                              <w:marLeft w:val="0"/>
                              <w:marRight w:val="0"/>
                              <w:marTop w:val="0"/>
                              <w:marBottom w:val="0"/>
                              <w:divBdr>
                                <w:top w:val="none" w:sz="0" w:space="0" w:color="auto"/>
                                <w:left w:val="none" w:sz="0" w:space="0" w:color="auto"/>
                                <w:bottom w:val="none" w:sz="0" w:space="0" w:color="auto"/>
                                <w:right w:val="none" w:sz="0" w:space="0" w:color="auto"/>
                              </w:divBdr>
                              <w:divsChild>
                                <w:div w:id="82799777">
                                  <w:marLeft w:val="0"/>
                                  <w:marRight w:val="0"/>
                                  <w:marTop w:val="0"/>
                                  <w:marBottom w:val="0"/>
                                  <w:divBdr>
                                    <w:top w:val="none" w:sz="0" w:space="0" w:color="auto"/>
                                    <w:left w:val="none" w:sz="0" w:space="0" w:color="auto"/>
                                    <w:bottom w:val="none" w:sz="0" w:space="0" w:color="auto"/>
                                    <w:right w:val="none" w:sz="0" w:space="0" w:color="auto"/>
                                  </w:divBdr>
                                  <w:divsChild>
                                    <w:div w:id="910194900">
                                      <w:marLeft w:val="0"/>
                                      <w:marRight w:val="0"/>
                                      <w:marTop w:val="0"/>
                                      <w:marBottom w:val="0"/>
                                      <w:divBdr>
                                        <w:top w:val="none" w:sz="0" w:space="0" w:color="auto"/>
                                        <w:left w:val="none" w:sz="0" w:space="0" w:color="auto"/>
                                        <w:bottom w:val="none" w:sz="0" w:space="0" w:color="auto"/>
                                        <w:right w:val="none" w:sz="0" w:space="0" w:color="auto"/>
                                      </w:divBdr>
                                      <w:divsChild>
                                        <w:div w:id="138763455">
                                          <w:marLeft w:val="1200"/>
                                          <w:marRight w:val="1200"/>
                                          <w:marTop w:val="0"/>
                                          <w:marBottom w:val="0"/>
                                          <w:divBdr>
                                            <w:top w:val="none" w:sz="0" w:space="0" w:color="auto"/>
                                            <w:left w:val="none" w:sz="0" w:space="0" w:color="auto"/>
                                            <w:bottom w:val="none" w:sz="0" w:space="0" w:color="auto"/>
                                            <w:right w:val="none" w:sz="0" w:space="0" w:color="auto"/>
                                          </w:divBdr>
                                          <w:divsChild>
                                            <w:div w:id="238489064">
                                              <w:marLeft w:val="0"/>
                                              <w:marRight w:val="0"/>
                                              <w:marTop w:val="0"/>
                                              <w:marBottom w:val="0"/>
                                              <w:divBdr>
                                                <w:top w:val="none" w:sz="0" w:space="0" w:color="auto"/>
                                                <w:left w:val="none" w:sz="0" w:space="0" w:color="auto"/>
                                                <w:bottom w:val="none" w:sz="0" w:space="0" w:color="auto"/>
                                                <w:right w:val="none" w:sz="0" w:space="0" w:color="auto"/>
                                              </w:divBdr>
                                              <w:divsChild>
                                                <w:div w:id="216165747">
                                                  <w:marLeft w:val="0"/>
                                                  <w:marRight w:val="0"/>
                                                  <w:marTop w:val="0"/>
                                                  <w:marBottom w:val="0"/>
                                                  <w:divBdr>
                                                    <w:top w:val="none" w:sz="0" w:space="0" w:color="auto"/>
                                                    <w:left w:val="none" w:sz="0" w:space="0" w:color="auto"/>
                                                    <w:bottom w:val="none" w:sz="0" w:space="0" w:color="auto"/>
                                                    <w:right w:val="none" w:sz="0" w:space="0" w:color="auto"/>
                                                  </w:divBdr>
                                                  <w:divsChild>
                                                    <w:div w:id="1564372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524341">
      <w:bodyDiv w:val="1"/>
      <w:marLeft w:val="0"/>
      <w:marRight w:val="0"/>
      <w:marTop w:val="0"/>
      <w:marBottom w:val="0"/>
      <w:divBdr>
        <w:top w:val="none" w:sz="0" w:space="0" w:color="auto"/>
        <w:left w:val="none" w:sz="0" w:space="0" w:color="auto"/>
        <w:bottom w:val="none" w:sz="0" w:space="0" w:color="auto"/>
        <w:right w:val="none" w:sz="0" w:space="0" w:color="auto"/>
      </w:divBdr>
      <w:divsChild>
        <w:div w:id="1047415071">
          <w:marLeft w:val="0"/>
          <w:marRight w:val="0"/>
          <w:marTop w:val="0"/>
          <w:marBottom w:val="0"/>
          <w:divBdr>
            <w:top w:val="none" w:sz="0" w:space="0" w:color="auto"/>
            <w:left w:val="single" w:sz="6" w:space="0" w:color="BBBBBB"/>
            <w:bottom w:val="single" w:sz="6" w:space="0" w:color="BBBBBB"/>
            <w:right w:val="single" w:sz="6" w:space="0" w:color="BBBBBB"/>
          </w:divBdr>
          <w:divsChild>
            <w:div w:id="1274284137">
              <w:marLeft w:val="0"/>
              <w:marRight w:val="0"/>
              <w:marTop w:val="0"/>
              <w:marBottom w:val="0"/>
              <w:divBdr>
                <w:top w:val="none" w:sz="0" w:space="0" w:color="auto"/>
                <w:left w:val="none" w:sz="0" w:space="0" w:color="auto"/>
                <w:bottom w:val="none" w:sz="0" w:space="0" w:color="auto"/>
                <w:right w:val="none" w:sz="0" w:space="0" w:color="auto"/>
              </w:divBdr>
              <w:divsChild>
                <w:div w:id="1681201262">
                  <w:marLeft w:val="0"/>
                  <w:marRight w:val="0"/>
                  <w:marTop w:val="0"/>
                  <w:marBottom w:val="0"/>
                  <w:divBdr>
                    <w:top w:val="none" w:sz="0" w:space="0" w:color="auto"/>
                    <w:left w:val="none" w:sz="0" w:space="0" w:color="auto"/>
                    <w:bottom w:val="none" w:sz="0" w:space="0" w:color="auto"/>
                    <w:right w:val="none" w:sz="0" w:space="0" w:color="auto"/>
                  </w:divBdr>
                  <w:divsChild>
                    <w:div w:id="2131123646">
                      <w:marLeft w:val="0"/>
                      <w:marRight w:val="0"/>
                      <w:marTop w:val="0"/>
                      <w:marBottom w:val="0"/>
                      <w:divBdr>
                        <w:top w:val="none" w:sz="0" w:space="0" w:color="auto"/>
                        <w:left w:val="none" w:sz="0" w:space="0" w:color="auto"/>
                        <w:bottom w:val="none" w:sz="0" w:space="0" w:color="auto"/>
                        <w:right w:val="none" w:sz="0" w:space="0" w:color="auto"/>
                      </w:divBdr>
                      <w:divsChild>
                        <w:div w:id="1796176070">
                          <w:marLeft w:val="0"/>
                          <w:marRight w:val="0"/>
                          <w:marTop w:val="0"/>
                          <w:marBottom w:val="0"/>
                          <w:divBdr>
                            <w:top w:val="none" w:sz="0" w:space="0" w:color="auto"/>
                            <w:left w:val="none" w:sz="0" w:space="0" w:color="auto"/>
                            <w:bottom w:val="none" w:sz="0" w:space="0" w:color="auto"/>
                            <w:right w:val="none" w:sz="0" w:space="0" w:color="auto"/>
                          </w:divBdr>
                          <w:divsChild>
                            <w:div w:id="1594509580">
                              <w:marLeft w:val="0"/>
                              <w:marRight w:val="0"/>
                              <w:marTop w:val="0"/>
                              <w:marBottom w:val="0"/>
                              <w:divBdr>
                                <w:top w:val="none" w:sz="0" w:space="0" w:color="auto"/>
                                <w:left w:val="none" w:sz="0" w:space="0" w:color="auto"/>
                                <w:bottom w:val="none" w:sz="0" w:space="0" w:color="auto"/>
                                <w:right w:val="none" w:sz="0" w:space="0" w:color="auto"/>
                              </w:divBdr>
                              <w:divsChild>
                                <w:div w:id="2135979622">
                                  <w:marLeft w:val="0"/>
                                  <w:marRight w:val="0"/>
                                  <w:marTop w:val="0"/>
                                  <w:marBottom w:val="0"/>
                                  <w:divBdr>
                                    <w:top w:val="none" w:sz="0" w:space="0" w:color="auto"/>
                                    <w:left w:val="none" w:sz="0" w:space="0" w:color="auto"/>
                                    <w:bottom w:val="none" w:sz="0" w:space="0" w:color="auto"/>
                                    <w:right w:val="none" w:sz="0" w:space="0" w:color="auto"/>
                                  </w:divBdr>
                                  <w:divsChild>
                                    <w:div w:id="771125352">
                                      <w:marLeft w:val="0"/>
                                      <w:marRight w:val="0"/>
                                      <w:marTop w:val="0"/>
                                      <w:marBottom w:val="0"/>
                                      <w:divBdr>
                                        <w:top w:val="none" w:sz="0" w:space="0" w:color="auto"/>
                                        <w:left w:val="none" w:sz="0" w:space="0" w:color="auto"/>
                                        <w:bottom w:val="none" w:sz="0" w:space="0" w:color="auto"/>
                                        <w:right w:val="none" w:sz="0" w:space="0" w:color="auto"/>
                                      </w:divBdr>
                                      <w:divsChild>
                                        <w:div w:id="2026591025">
                                          <w:marLeft w:val="1200"/>
                                          <w:marRight w:val="1200"/>
                                          <w:marTop w:val="0"/>
                                          <w:marBottom w:val="0"/>
                                          <w:divBdr>
                                            <w:top w:val="none" w:sz="0" w:space="0" w:color="auto"/>
                                            <w:left w:val="none" w:sz="0" w:space="0" w:color="auto"/>
                                            <w:bottom w:val="none" w:sz="0" w:space="0" w:color="auto"/>
                                            <w:right w:val="none" w:sz="0" w:space="0" w:color="auto"/>
                                          </w:divBdr>
                                          <w:divsChild>
                                            <w:div w:id="1173036437">
                                              <w:marLeft w:val="0"/>
                                              <w:marRight w:val="0"/>
                                              <w:marTop w:val="0"/>
                                              <w:marBottom w:val="0"/>
                                              <w:divBdr>
                                                <w:top w:val="none" w:sz="0" w:space="0" w:color="auto"/>
                                                <w:left w:val="none" w:sz="0" w:space="0" w:color="auto"/>
                                                <w:bottom w:val="none" w:sz="0" w:space="0" w:color="auto"/>
                                                <w:right w:val="none" w:sz="0" w:space="0" w:color="auto"/>
                                              </w:divBdr>
                                              <w:divsChild>
                                                <w:div w:id="1426074255">
                                                  <w:marLeft w:val="0"/>
                                                  <w:marRight w:val="0"/>
                                                  <w:marTop w:val="0"/>
                                                  <w:marBottom w:val="0"/>
                                                  <w:divBdr>
                                                    <w:top w:val="none" w:sz="0" w:space="0" w:color="auto"/>
                                                    <w:left w:val="none" w:sz="0" w:space="0" w:color="auto"/>
                                                    <w:bottom w:val="none" w:sz="0" w:space="0" w:color="auto"/>
                                                    <w:right w:val="none" w:sz="0" w:space="0" w:color="auto"/>
                                                  </w:divBdr>
                                                  <w:divsChild>
                                                    <w:div w:id="2039617980">
                                                      <w:marLeft w:val="0"/>
                                                      <w:marRight w:val="0"/>
                                                      <w:marTop w:val="0"/>
                                                      <w:marBottom w:val="0"/>
                                                      <w:divBdr>
                                                        <w:top w:val="none" w:sz="0" w:space="0" w:color="auto"/>
                                                        <w:left w:val="none" w:sz="0" w:space="0" w:color="auto"/>
                                                        <w:bottom w:val="none" w:sz="0" w:space="0" w:color="auto"/>
                                                        <w:right w:val="none" w:sz="0" w:space="0" w:color="auto"/>
                                                      </w:divBdr>
                                                      <w:divsChild>
                                                        <w:div w:id="14281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ifer.Salhus@fcc.gov" TargetMode="External"/><Relationship Id="rId4" Type="http://schemas.openxmlformats.org/officeDocument/2006/relationships/settings" Target="settings.xml"/><Relationship Id="rId9" Type="http://schemas.openxmlformats.org/officeDocument/2006/relationships/hyperlink" Target="http://apps.fcc.gov/ecfs/2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cgi-bin/sssd/naics/naicsrch?code=517210&amp;search=2007%20NAICS%20Search" TargetMode="External"/><Relationship Id="rId1" Type="http://schemas.openxmlformats.org/officeDocument/2006/relationships/hyperlink" Target="http://www.census.gov/popest/data/cities/totals/201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21158</Words>
  <Characters>112473</Characters>
  <Application>Microsoft Office Word</Application>
  <DocSecurity>0</DocSecurity>
  <Lines>1601</Lines>
  <Paragraphs>303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133940</CharactersWithSpaces>
  <SharedDoc>false</SharedDoc>
  <HyperlinkBase> </HyperlinkBase>
  <HLinks>
    <vt:vector size="18" baseType="variant">
      <vt:variant>
        <vt:i4>2752605</vt:i4>
      </vt:variant>
      <vt:variant>
        <vt:i4>0</vt:i4>
      </vt:variant>
      <vt:variant>
        <vt:i4>0</vt:i4>
      </vt:variant>
      <vt:variant>
        <vt:i4>5</vt:i4>
      </vt:variant>
      <vt:variant>
        <vt:lpwstr>mailto:Jennifer.Salhus@fcc.gov</vt:lpwstr>
      </vt:variant>
      <vt:variant>
        <vt:lpwstr/>
      </vt:variant>
      <vt:variant>
        <vt:i4>4456490</vt:i4>
      </vt:variant>
      <vt:variant>
        <vt:i4>3</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0</vt:i4>
      </vt:variant>
      <vt:variant>
        <vt:i4>0</vt:i4>
      </vt:variant>
      <vt:variant>
        <vt:i4>5</vt:i4>
      </vt:variant>
      <vt:variant>
        <vt:lpwstr>http://www.census.gov/cgi-bin/sssd/naics/naicsrch?code=517210&amp;search=2007%20NAICS%20Search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2013-11-01T12:56:00Z</cp:lastPrinted>
  <dcterms:created xsi:type="dcterms:W3CDTF">2013-11-01T22:14:00Z</dcterms:created>
  <dcterms:modified xsi:type="dcterms:W3CDTF">2013-11-01T22:14:00Z</dcterms:modified>
  <cp:category> </cp:category>
  <cp:contentStatus> </cp:contentStatus>
</cp:coreProperties>
</file>