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4C6D99">
      <w:pPr>
        <w:tabs>
          <w:tab w:val="center" w:pos="4770"/>
        </w:tabs>
        <w:suppressAutoHyphens/>
        <w:jc w:val="center"/>
        <w:outlineLvl w:val="0"/>
        <w:rPr>
          <w:b/>
          <w:spacing w:val="-2"/>
          <w:szCs w:val="22"/>
        </w:rPr>
      </w:pPr>
      <w:bookmarkStart w:id="0" w:name="_GoBack"/>
      <w:bookmarkEnd w:id="0"/>
      <w:r w:rsidRPr="00331410">
        <w:rPr>
          <w:b/>
          <w:spacing w:val="-2"/>
          <w:szCs w:val="22"/>
        </w:rPr>
        <w:t>Before the</w:t>
      </w:r>
    </w:p>
    <w:p w:rsidR="004C6D99" w:rsidRPr="00331410" w:rsidRDefault="004C6D99" w:rsidP="004C6D99">
      <w:pPr>
        <w:tabs>
          <w:tab w:val="center" w:pos="4770"/>
        </w:tabs>
        <w:suppressAutoHyphens/>
        <w:jc w:val="center"/>
        <w:outlineLvl w:val="0"/>
        <w:rPr>
          <w:b/>
          <w:spacing w:val="-2"/>
          <w:szCs w:val="22"/>
        </w:rPr>
      </w:pPr>
      <w:r w:rsidRPr="00331410">
        <w:rPr>
          <w:b/>
          <w:spacing w:val="-2"/>
          <w:szCs w:val="22"/>
        </w:rPr>
        <w:t>Federal Communications Commission</w:t>
      </w:r>
    </w:p>
    <w:p w:rsidR="00050854" w:rsidRPr="00331410" w:rsidRDefault="004C6D99" w:rsidP="004C6D99">
      <w:pPr>
        <w:tabs>
          <w:tab w:val="center" w:pos="4770"/>
        </w:tabs>
        <w:suppressAutoHyphens/>
        <w:jc w:val="center"/>
        <w:outlineLvl w:val="0"/>
        <w:rPr>
          <w:b/>
          <w:szCs w:val="22"/>
        </w:rPr>
      </w:pPr>
      <w:r w:rsidRPr="00331410">
        <w:rPr>
          <w:b/>
          <w:szCs w:val="22"/>
        </w:rPr>
        <w:t>Washington, D.C. 20554</w:t>
      </w:r>
    </w:p>
    <w:p w:rsidR="00050854" w:rsidRDefault="00050854" w:rsidP="00050854">
      <w:pPr>
        <w:tabs>
          <w:tab w:val="center" w:pos="4680"/>
        </w:tabs>
        <w:suppressAutoHyphens/>
        <w:spacing w:line="240" w:lineRule="atLeast"/>
        <w:jc w:val="both"/>
        <w:outlineLvl w:val="0"/>
        <w:rPr>
          <w:b/>
          <w:spacing w:val="-2"/>
          <w:sz w:val="24"/>
        </w:rPr>
      </w:pPr>
    </w:p>
    <w:tbl>
      <w:tblPr>
        <w:tblW w:w="9720" w:type="dxa"/>
        <w:tblInd w:w="108" w:type="dxa"/>
        <w:tblLayout w:type="fixed"/>
        <w:tblLook w:val="0000" w:firstRow="0" w:lastRow="0" w:firstColumn="0" w:lastColumn="0" w:noHBand="0" w:noVBand="0"/>
      </w:tblPr>
      <w:tblGrid>
        <w:gridCol w:w="4770"/>
        <w:gridCol w:w="270"/>
        <w:gridCol w:w="4680"/>
      </w:tblGrid>
      <w:tr w:rsidR="00050854" w:rsidRPr="00937484">
        <w:tc>
          <w:tcPr>
            <w:tcW w:w="4770" w:type="dxa"/>
          </w:tcPr>
          <w:p w:rsidR="00050854" w:rsidRPr="00FB0D07" w:rsidRDefault="00050854" w:rsidP="00512D71">
            <w:pPr>
              <w:rPr>
                <w:szCs w:val="22"/>
              </w:rPr>
            </w:pPr>
            <w:r w:rsidRPr="00FB0D07">
              <w:rPr>
                <w:spacing w:val="-2"/>
                <w:szCs w:val="22"/>
              </w:rPr>
              <w:t>In the Matter of</w:t>
            </w:r>
            <w:r w:rsidRPr="00FB0D07">
              <w:rPr>
                <w:szCs w:val="22"/>
              </w:rPr>
              <w:t xml:space="preserve"> </w:t>
            </w:r>
          </w:p>
          <w:p w:rsidR="00050854" w:rsidRPr="00FB0D07" w:rsidRDefault="00050854" w:rsidP="00512D71">
            <w:pPr>
              <w:rPr>
                <w:szCs w:val="22"/>
              </w:rPr>
            </w:pPr>
          </w:p>
          <w:p w:rsidR="00050854" w:rsidRPr="00937484" w:rsidRDefault="00B44BF8" w:rsidP="00512D71">
            <w:pPr>
              <w:rPr>
                <w:szCs w:val="22"/>
              </w:rPr>
            </w:pPr>
            <w:r w:rsidRPr="00937484">
              <w:rPr>
                <w:spacing w:val="-2"/>
                <w:szCs w:val="22"/>
              </w:rPr>
              <w:t>Johnson Towers Corporation</w:t>
            </w:r>
          </w:p>
          <w:p w:rsidR="00050854" w:rsidRPr="00937484" w:rsidRDefault="00050854" w:rsidP="00512D71">
            <w:pPr>
              <w:rPr>
                <w:szCs w:val="22"/>
              </w:rPr>
            </w:pPr>
          </w:p>
          <w:p w:rsidR="00B44BF8" w:rsidRPr="00937484" w:rsidRDefault="00D82D5A" w:rsidP="00512D71">
            <w:pPr>
              <w:rPr>
                <w:szCs w:val="22"/>
              </w:rPr>
            </w:pPr>
            <w:r>
              <w:rPr>
                <w:szCs w:val="22"/>
              </w:rPr>
              <w:t xml:space="preserve">Owner </w:t>
            </w:r>
            <w:r w:rsidR="00B44BF8" w:rsidRPr="00937484">
              <w:rPr>
                <w:szCs w:val="22"/>
              </w:rPr>
              <w:t>of Antenna Structure</w:t>
            </w:r>
            <w:r>
              <w:rPr>
                <w:szCs w:val="22"/>
              </w:rPr>
              <w:t xml:space="preserve"> No</w:t>
            </w:r>
            <w:r w:rsidR="00B44BF8" w:rsidRPr="00937484">
              <w:rPr>
                <w:szCs w:val="22"/>
              </w:rPr>
              <w:t>s</w:t>
            </w:r>
            <w:r>
              <w:rPr>
                <w:szCs w:val="22"/>
              </w:rPr>
              <w:t>.</w:t>
            </w:r>
            <w:r w:rsidR="00334463">
              <w:rPr>
                <w:szCs w:val="22"/>
              </w:rPr>
              <w:t>:</w:t>
            </w:r>
          </w:p>
          <w:p w:rsidR="00050854" w:rsidRPr="00937484" w:rsidRDefault="00B44BF8" w:rsidP="00512D71">
            <w:pPr>
              <w:rPr>
                <w:szCs w:val="22"/>
              </w:rPr>
            </w:pPr>
            <w:r w:rsidRPr="00937484">
              <w:rPr>
                <w:szCs w:val="22"/>
              </w:rPr>
              <w:t>1060088, 1060089</w:t>
            </w:r>
            <w:r w:rsidR="00D82D5A">
              <w:rPr>
                <w:szCs w:val="22"/>
              </w:rPr>
              <w:t>,</w:t>
            </w:r>
            <w:r w:rsidRPr="00937484">
              <w:rPr>
                <w:szCs w:val="22"/>
              </w:rPr>
              <w:t xml:space="preserve"> and 1060090</w:t>
            </w:r>
          </w:p>
          <w:p w:rsidR="00050854" w:rsidRPr="00937484" w:rsidRDefault="00B44BF8" w:rsidP="00512D71">
            <w:pPr>
              <w:rPr>
                <w:szCs w:val="22"/>
              </w:rPr>
            </w:pPr>
            <w:r w:rsidRPr="00937484">
              <w:rPr>
                <w:szCs w:val="22"/>
              </w:rPr>
              <w:t>Pinellas Park, Florida</w:t>
            </w:r>
          </w:p>
          <w:p w:rsidR="00050854" w:rsidRPr="00937484" w:rsidRDefault="00050854" w:rsidP="00512D71">
            <w:pPr>
              <w:rPr>
                <w:spacing w:val="-2"/>
                <w:szCs w:val="22"/>
              </w:rPr>
            </w:pPr>
          </w:p>
        </w:tc>
        <w:tc>
          <w:tcPr>
            <w:tcW w:w="270" w:type="dxa"/>
          </w:tcPr>
          <w:p w:rsidR="00050854" w:rsidRPr="00937484" w:rsidRDefault="00050854" w:rsidP="00512D71">
            <w:pPr>
              <w:tabs>
                <w:tab w:val="center" w:pos="4680"/>
              </w:tabs>
              <w:suppressAutoHyphens/>
              <w:spacing w:line="240" w:lineRule="atLeast"/>
              <w:jc w:val="both"/>
              <w:outlineLvl w:val="0"/>
              <w:rPr>
                <w:szCs w:val="22"/>
              </w:rPr>
            </w:pPr>
            <w:r w:rsidRPr="00937484">
              <w:rPr>
                <w:szCs w:val="22"/>
              </w:rPr>
              <w:t>)</w:t>
            </w:r>
          </w:p>
          <w:p w:rsidR="00050854" w:rsidRPr="00937484" w:rsidRDefault="00050854" w:rsidP="00512D71">
            <w:pPr>
              <w:tabs>
                <w:tab w:val="center" w:pos="4680"/>
              </w:tabs>
              <w:suppressAutoHyphens/>
              <w:spacing w:line="240" w:lineRule="atLeast"/>
              <w:jc w:val="both"/>
              <w:outlineLvl w:val="0"/>
              <w:rPr>
                <w:szCs w:val="22"/>
              </w:rPr>
            </w:pPr>
            <w:r w:rsidRPr="00937484">
              <w:rPr>
                <w:szCs w:val="22"/>
              </w:rPr>
              <w:t>)</w:t>
            </w:r>
          </w:p>
          <w:p w:rsidR="00050854" w:rsidRPr="00937484" w:rsidRDefault="00050854" w:rsidP="00512D71">
            <w:pPr>
              <w:tabs>
                <w:tab w:val="center" w:pos="4680"/>
              </w:tabs>
              <w:suppressAutoHyphens/>
              <w:spacing w:line="240" w:lineRule="atLeast"/>
              <w:jc w:val="both"/>
              <w:outlineLvl w:val="0"/>
              <w:rPr>
                <w:szCs w:val="22"/>
              </w:rPr>
            </w:pPr>
            <w:r w:rsidRPr="00937484">
              <w:rPr>
                <w:szCs w:val="22"/>
              </w:rPr>
              <w:t>)</w:t>
            </w:r>
          </w:p>
          <w:p w:rsidR="00050854" w:rsidRPr="00937484" w:rsidRDefault="00050854" w:rsidP="00512D71">
            <w:pPr>
              <w:tabs>
                <w:tab w:val="center" w:pos="4680"/>
              </w:tabs>
              <w:suppressAutoHyphens/>
              <w:spacing w:line="240" w:lineRule="atLeast"/>
              <w:jc w:val="both"/>
              <w:outlineLvl w:val="0"/>
              <w:rPr>
                <w:szCs w:val="22"/>
              </w:rPr>
            </w:pPr>
            <w:r w:rsidRPr="00937484">
              <w:rPr>
                <w:szCs w:val="22"/>
              </w:rPr>
              <w:t>)</w:t>
            </w:r>
          </w:p>
          <w:p w:rsidR="00050854" w:rsidRPr="00937484" w:rsidRDefault="00050854" w:rsidP="00512D71">
            <w:pPr>
              <w:tabs>
                <w:tab w:val="center" w:pos="4680"/>
              </w:tabs>
              <w:suppressAutoHyphens/>
              <w:spacing w:line="240" w:lineRule="atLeast"/>
              <w:jc w:val="both"/>
              <w:outlineLvl w:val="0"/>
              <w:rPr>
                <w:szCs w:val="22"/>
              </w:rPr>
            </w:pPr>
            <w:r w:rsidRPr="00937484">
              <w:rPr>
                <w:szCs w:val="22"/>
              </w:rPr>
              <w:t>)</w:t>
            </w:r>
          </w:p>
          <w:p w:rsidR="00050854" w:rsidRPr="00937484" w:rsidRDefault="00050854" w:rsidP="00512D71">
            <w:pPr>
              <w:tabs>
                <w:tab w:val="center" w:pos="4680"/>
              </w:tabs>
              <w:suppressAutoHyphens/>
              <w:spacing w:line="240" w:lineRule="atLeast"/>
              <w:jc w:val="both"/>
              <w:outlineLvl w:val="0"/>
              <w:rPr>
                <w:szCs w:val="22"/>
              </w:rPr>
            </w:pPr>
            <w:r w:rsidRPr="00937484">
              <w:rPr>
                <w:szCs w:val="22"/>
              </w:rPr>
              <w:t>)</w:t>
            </w:r>
          </w:p>
          <w:p w:rsidR="00050854" w:rsidRPr="00937484" w:rsidRDefault="00050854" w:rsidP="00512D71">
            <w:pPr>
              <w:tabs>
                <w:tab w:val="center" w:pos="4680"/>
              </w:tabs>
              <w:suppressAutoHyphens/>
              <w:spacing w:line="240" w:lineRule="atLeast"/>
              <w:jc w:val="both"/>
              <w:outlineLvl w:val="0"/>
              <w:rPr>
                <w:szCs w:val="22"/>
              </w:rPr>
            </w:pPr>
            <w:r w:rsidRPr="00937484">
              <w:rPr>
                <w:szCs w:val="22"/>
              </w:rPr>
              <w:t>)</w:t>
            </w:r>
          </w:p>
        </w:tc>
        <w:tc>
          <w:tcPr>
            <w:tcW w:w="4680" w:type="dxa"/>
          </w:tcPr>
          <w:p w:rsidR="003E2AD5" w:rsidRPr="00937484" w:rsidRDefault="003E2AD5" w:rsidP="000E2560">
            <w:pPr>
              <w:rPr>
                <w:spacing w:val="-2"/>
                <w:szCs w:val="22"/>
              </w:rPr>
            </w:pPr>
          </w:p>
          <w:p w:rsidR="005F002F" w:rsidRPr="00937484" w:rsidRDefault="005F002F" w:rsidP="006C72D8">
            <w:pPr>
              <w:ind w:left="702"/>
              <w:rPr>
                <w:spacing w:val="-2"/>
                <w:szCs w:val="22"/>
              </w:rPr>
            </w:pPr>
          </w:p>
          <w:p w:rsidR="00B44BF8" w:rsidRPr="00937484" w:rsidRDefault="00050854" w:rsidP="006C72D8">
            <w:pPr>
              <w:ind w:left="702"/>
              <w:rPr>
                <w:szCs w:val="22"/>
              </w:rPr>
            </w:pPr>
            <w:r w:rsidRPr="00937484">
              <w:rPr>
                <w:szCs w:val="22"/>
              </w:rPr>
              <w:t>File N</w:t>
            </w:r>
            <w:r w:rsidR="00A16AF9" w:rsidRPr="00937484">
              <w:rPr>
                <w:szCs w:val="22"/>
              </w:rPr>
              <w:t>o.</w:t>
            </w:r>
            <w:r w:rsidR="003E2AD5" w:rsidRPr="00937484">
              <w:rPr>
                <w:szCs w:val="22"/>
              </w:rPr>
              <w:t xml:space="preserve">:  </w:t>
            </w:r>
            <w:r w:rsidR="00780C18" w:rsidRPr="00937484">
              <w:rPr>
                <w:szCs w:val="22"/>
              </w:rPr>
              <w:t>EB-</w:t>
            </w:r>
            <w:r w:rsidR="00B44BF8" w:rsidRPr="00937484">
              <w:rPr>
                <w:szCs w:val="22"/>
              </w:rPr>
              <w:t>11-TP-0038</w:t>
            </w:r>
          </w:p>
          <w:p w:rsidR="00050854" w:rsidRPr="00937484" w:rsidRDefault="00D82D5A" w:rsidP="00D82D5A">
            <w:pPr>
              <w:rPr>
                <w:b/>
                <w:szCs w:val="22"/>
              </w:rPr>
            </w:pPr>
            <w:r>
              <w:rPr>
                <w:szCs w:val="22"/>
              </w:rPr>
              <w:t xml:space="preserve">             </w:t>
            </w:r>
            <w:r w:rsidR="00050854" w:rsidRPr="00B34188">
              <w:rPr>
                <w:szCs w:val="22"/>
              </w:rPr>
              <w:t>NAL/</w:t>
            </w:r>
            <w:r w:rsidR="00050854" w:rsidRPr="00B02B1C">
              <w:rPr>
                <w:szCs w:val="22"/>
              </w:rPr>
              <w:t>Acct. No.</w:t>
            </w:r>
            <w:r w:rsidR="003E2AD5" w:rsidRPr="00B02B1C">
              <w:rPr>
                <w:szCs w:val="22"/>
              </w:rPr>
              <w:t>:</w:t>
            </w:r>
            <w:r w:rsidR="00E847E3" w:rsidRPr="00B02B1C">
              <w:rPr>
                <w:szCs w:val="22"/>
              </w:rPr>
              <w:t xml:space="preserve">  </w:t>
            </w:r>
            <w:r w:rsidR="00ED4E5F">
              <w:rPr>
                <w:szCs w:val="22"/>
              </w:rPr>
              <w:t>201432700002</w:t>
            </w:r>
          </w:p>
          <w:p w:rsidR="008B58B7" w:rsidRPr="00937484" w:rsidRDefault="00050854" w:rsidP="006C72D8">
            <w:pPr>
              <w:ind w:left="702"/>
              <w:rPr>
                <w:szCs w:val="22"/>
              </w:rPr>
            </w:pPr>
            <w:r w:rsidRPr="00937484">
              <w:rPr>
                <w:szCs w:val="22"/>
              </w:rPr>
              <w:t>FRN</w:t>
            </w:r>
            <w:r w:rsidR="003E2AD5" w:rsidRPr="006F126E">
              <w:rPr>
                <w:color w:val="000000" w:themeColor="text1"/>
                <w:szCs w:val="22"/>
              </w:rPr>
              <w:t>:</w:t>
            </w:r>
            <w:r w:rsidR="004110FC" w:rsidRPr="006F126E">
              <w:rPr>
                <w:color w:val="000000" w:themeColor="text1"/>
                <w:szCs w:val="22"/>
              </w:rPr>
              <w:t xml:space="preserve">  </w:t>
            </w:r>
            <w:r w:rsidR="0060037B" w:rsidRPr="006F126E">
              <w:rPr>
                <w:color w:val="000000" w:themeColor="text1"/>
                <w:szCs w:val="22"/>
              </w:rPr>
              <w:t>0007783525</w:t>
            </w:r>
          </w:p>
          <w:p w:rsidR="00050854" w:rsidRPr="00937484" w:rsidRDefault="008B58B7" w:rsidP="008B58B7">
            <w:pPr>
              <w:rPr>
                <w:szCs w:val="22"/>
              </w:rPr>
            </w:pPr>
            <w:r w:rsidRPr="00937484">
              <w:rPr>
                <w:szCs w:val="22"/>
              </w:rPr>
              <w:t xml:space="preserve">    </w:t>
            </w:r>
          </w:p>
        </w:tc>
      </w:tr>
      <w:tr w:rsidR="001B6454" w:rsidRPr="00937484" w:rsidTr="00D23B17">
        <w:trPr>
          <w:trHeight w:val="80"/>
        </w:trPr>
        <w:tc>
          <w:tcPr>
            <w:tcW w:w="4770" w:type="dxa"/>
          </w:tcPr>
          <w:p w:rsidR="001B6454" w:rsidRPr="00FB0D07" w:rsidRDefault="001B6454" w:rsidP="00512D71">
            <w:pPr>
              <w:rPr>
                <w:spacing w:val="-2"/>
                <w:szCs w:val="22"/>
              </w:rPr>
            </w:pPr>
          </w:p>
        </w:tc>
        <w:tc>
          <w:tcPr>
            <w:tcW w:w="270" w:type="dxa"/>
          </w:tcPr>
          <w:p w:rsidR="001B6454" w:rsidRPr="00937484" w:rsidRDefault="001B6454" w:rsidP="00512D71">
            <w:pPr>
              <w:tabs>
                <w:tab w:val="center" w:pos="4680"/>
              </w:tabs>
              <w:suppressAutoHyphens/>
              <w:spacing w:line="240" w:lineRule="atLeast"/>
              <w:jc w:val="both"/>
              <w:outlineLvl w:val="0"/>
              <w:rPr>
                <w:szCs w:val="22"/>
              </w:rPr>
            </w:pPr>
          </w:p>
        </w:tc>
        <w:tc>
          <w:tcPr>
            <w:tcW w:w="4680" w:type="dxa"/>
          </w:tcPr>
          <w:p w:rsidR="001B6454" w:rsidRPr="00937484" w:rsidRDefault="001B6454" w:rsidP="000E2560">
            <w:pPr>
              <w:rPr>
                <w:spacing w:val="-2"/>
                <w:szCs w:val="22"/>
              </w:rPr>
            </w:pPr>
          </w:p>
        </w:tc>
      </w:tr>
    </w:tbl>
    <w:p w:rsidR="00050854" w:rsidRDefault="00050854" w:rsidP="00461386">
      <w:pPr>
        <w:jc w:val="center"/>
        <w:rPr>
          <w:b/>
        </w:rPr>
      </w:pPr>
      <w:r w:rsidRPr="00461386">
        <w:rPr>
          <w:b/>
        </w:rPr>
        <w:t>NOTICE OF APPARENT LIABILITY FOR FORFEITURE</w:t>
      </w:r>
      <w:r w:rsidR="00211D85" w:rsidRPr="00461386">
        <w:rPr>
          <w:b/>
        </w:rPr>
        <w:t xml:space="preserve"> AND ORDER</w:t>
      </w:r>
    </w:p>
    <w:p w:rsidR="00461386" w:rsidRPr="00461386" w:rsidRDefault="00461386" w:rsidP="00461386">
      <w:pPr>
        <w:spacing w:after="120"/>
        <w:jc w:val="center"/>
        <w:rPr>
          <w:b/>
        </w:rPr>
      </w:pPr>
    </w:p>
    <w:p w:rsidR="00050854" w:rsidRPr="00252D08" w:rsidRDefault="007E2E05" w:rsidP="007E2E05">
      <w:pPr>
        <w:rPr>
          <w:b/>
          <w:spacing w:val="-2"/>
          <w:szCs w:val="22"/>
        </w:rPr>
      </w:pPr>
      <w:r w:rsidRPr="00252D08">
        <w:rPr>
          <w:b/>
          <w:szCs w:val="22"/>
        </w:rPr>
        <w:t>Adopted:</w:t>
      </w:r>
      <w:r w:rsidR="00252D08" w:rsidRPr="00252D08">
        <w:rPr>
          <w:b/>
          <w:szCs w:val="22"/>
        </w:rPr>
        <w:t xml:space="preserve">  November 1, 2013</w:t>
      </w:r>
      <w:r w:rsidR="00252D08" w:rsidRPr="00252D08">
        <w:rPr>
          <w:b/>
          <w:szCs w:val="22"/>
        </w:rPr>
        <w:tab/>
      </w:r>
      <w:r w:rsidR="00252D08" w:rsidRPr="00252D08">
        <w:rPr>
          <w:b/>
          <w:szCs w:val="22"/>
        </w:rPr>
        <w:tab/>
      </w:r>
      <w:r w:rsidR="00252D08" w:rsidRPr="00252D08">
        <w:rPr>
          <w:b/>
          <w:szCs w:val="22"/>
        </w:rPr>
        <w:tab/>
      </w:r>
      <w:r w:rsidR="00252D08" w:rsidRPr="00252D08">
        <w:rPr>
          <w:b/>
          <w:szCs w:val="22"/>
        </w:rPr>
        <w:tab/>
      </w:r>
      <w:r w:rsidR="00252D08" w:rsidRPr="00252D08">
        <w:rPr>
          <w:b/>
          <w:szCs w:val="22"/>
        </w:rPr>
        <w:tab/>
      </w:r>
      <w:r w:rsidR="00252D08" w:rsidRPr="00252D08">
        <w:rPr>
          <w:b/>
          <w:szCs w:val="22"/>
        </w:rPr>
        <w:tab/>
      </w:r>
      <w:r w:rsidR="00252D08">
        <w:rPr>
          <w:b/>
          <w:szCs w:val="22"/>
        </w:rPr>
        <w:t xml:space="preserve">    </w:t>
      </w:r>
      <w:r w:rsidR="00050854" w:rsidRPr="00252D08">
        <w:rPr>
          <w:b/>
          <w:szCs w:val="22"/>
        </w:rPr>
        <w:t xml:space="preserve">Released: </w:t>
      </w:r>
      <w:r w:rsidR="00252D08" w:rsidRPr="00252D08">
        <w:rPr>
          <w:b/>
          <w:szCs w:val="22"/>
        </w:rPr>
        <w:t>November 1, 2013</w:t>
      </w:r>
    </w:p>
    <w:p w:rsidR="00050854" w:rsidRPr="00E34AAE" w:rsidRDefault="00050854" w:rsidP="00050854">
      <w:pPr>
        <w:tabs>
          <w:tab w:val="left" w:pos="0"/>
          <w:tab w:val="left" w:pos="720"/>
          <w:tab w:val="left" w:pos="5760"/>
        </w:tabs>
        <w:suppressAutoHyphens/>
        <w:spacing w:line="240" w:lineRule="atLeast"/>
        <w:jc w:val="both"/>
        <w:rPr>
          <w:spacing w:val="-2"/>
          <w:szCs w:val="22"/>
        </w:rPr>
      </w:pPr>
    </w:p>
    <w:p w:rsidR="00050854" w:rsidRPr="00937484" w:rsidRDefault="00050854" w:rsidP="004C6D99">
      <w:pPr>
        <w:tabs>
          <w:tab w:val="left" w:pos="0"/>
          <w:tab w:val="left" w:pos="720"/>
          <w:tab w:val="left" w:pos="5760"/>
        </w:tabs>
        <w:suppressAutoHyphens/>
        <w:spacing w:line="240" w:lineRule="atLeast"/>
        <w:rPr>
          <w:spacing w:val="-2"/>
          <w:szCs w:val="22"/>
        </w:rPr>
      </w:pPr>
      <w:r w:rsidRPr="00FB0D07">
        <w:rPr>
          <w:spacing w:val="-2"/>
          <w:szCs w:val="22"/>
        </w:rPr>
        <w:t xml:space="preserve">By the </w:t>
      </w:r>
      <w:r w:rsidR="008D2C46">
        <w:rPr>
          <w:spacing w:val="-2"/>
          <w:szCs w:val="22"/>
        </w:rPr>
        <w:t>Commission</w:t>
      </w:r>
      <w:r w:rsidRPr="00937484">
        <w:rPr>
          <w:spacing w:val="-2"/>
          <w:szCs w:val="22"/>
        </w:rPr>
        <w:t>:</w:t>
      </w:r>
    </w:p>
    <w:p w:rsidR="00BD6FBC" w:rsidRPr="00E34AAE" w:rsidRDefault="00BD6FBC" w:rsidP="004C6D99">
      <w:pPr>
        <w:tabs>
          <w:tab w:val="left" w:pos="0"/>
        </w:tabs>
        <w:suppressAutoHyphens/>
        <w:spacing w:line="240" w:lineRule="atLeast"/>
        <w:jc w:val="both"/>
        <w:rPr>
          <w:szCs w:val="22"/>
        </w:rPr>
      </w:pPr>
    </w:p>
    <w:p w:rsidR="00990FB6" w:rsidRPr="003F3CFD" w:rsidRDefault="00990FB6" w:rsidP="006C72D8">
      <w:pPr>
        <w:pStyle w:val="Heading1"/>
        <w:rPr>
          <w:szCs w:val="22"/>
        </w:rPr>
      </w:pPr>
      <w:r w:rsidRPr="003F3CFD">
        <w:rPr>
          <w:szCs w:val="22"/>
        </w:rPr>
        <w:t>INTRODUCTION</w:t>
      </w:r>
    </w:p>
    <w:p w:rsidR="009216B9" w:rsidRDefault="00050854" w:rsidP="00926B01">
      <w:pPr>
        <w:pStyle w:val="ParaNum"/>
      </w:pPr>
      <w:r w:rsidRPr="00E34AAE">
        <w:t xml:space="preserve">In this </w:t>
      </w:r>
      <w:r w:rsidRPr="00E847E3">
        <w:t>Notice of Apparent Liability for Forfeiture</w:t>
      </w:r>
      <w:r w:rsidRPr="00E34AAE">
        <w:t xml:space="preserve"> </w:t>
      </w:r>
      <w:r w:rsidR="00FF72B7">
        <w:t xml:space="preserve">and Order </w:t>
      </w:r>
      <w:r w:rsidRPr="00E34AAE">
        <w:t>(</w:t>
      </w:r>
      <w:r w:rsidRPr="00F46870">
        <w:t>NAL</w:t>
      </w:r>
      <w:r w:rsidRPr="00E34AAE">
        <w:t xml:space="preserve">), we find that </w:t>
      </w:r>
      <w:r w:rsidR="00B44BF8">
        <w:t>Johnson Towers Corporation</w:t>
      </w:r>
      <w:r w:rsidRPr="00E34AAE">
        <w:t xml:space="preserve"> (</w:t>
      </w:r>
      <w:r w:rsidR="00B44BF8">
        <w:t>JTC</w:t>
      </w:r>
      <w:r w:rsidR="008B58B7">
        <w:t xml:space="preserve">), </w:t>
      </w:r>
      <w:r w:rsidR="00D82D5A">
        <w:t>owner of antenna structure numbers</w:t>
      </w:r>
      <w:r w:rsidR="00B44BF8">
        <w:t xml:space="preserve"> 1060088, 1060089</w:t>
      </w:r>
      <w:r w:rsidR="00D82D5A">
        <w:t>,</w:t>
      </w:r>
      <w:r w:rsidR="00B44BF8">
        <w:t xml:space="preserve"> and 1060090</w:t>
      </w:r>
      <w:r w:rsidRPr="00E34AAE">
        <w:t xml:space="preserve"> in </w:t>
      </w:r>
      <w:r w:rsidR="00B44BF8">
        <w:t xml:space="preserve">Pinellas </w:t>
      </w:r>
      <w:r w:rsidR="00B44BF8" w:rsidRPr="00FB0D07">
        <w:t>Park, Florida</w:t>
      </w:r>
      <w:r w:rsidRPr="00FB0D07">
        <w:t xml:space="preserve">, apparently </w:t>
      </w:r>
      <w:r w:rsidRPr="00937484">
        <w:t xml:space="preserve">willfully and repeatedly violated </w:t>
      </w:r>
      <w:r w:rsidR="00337B75" w:rsidRPr="00937484">
        <w:t>Section</w:t>
      </w:r>
      <w:r w:rsidR="00D82D5A">
        <w:t xml:space="preserve"> 303(q) of the Communications Act of 1934,</w:t>
      </w:r>
      <w:r w:rsidR="00CB4AF7">
        <w:t xml:space="preserve"> as amended (Act), and Sections</w:t>
      </w:r>
      <w:r w:rsidR="009F09C7">
        <w:t xml:space="preserve"> </w:t>
      </w:r>
      <w:r w:rsidR="00872BBE">
        <w:t>17.21(a)</w:t>
      </w:r>
      <w:r w:rsidR="009F09C7">
        <w:t>, 17.23,</w:t>
      </w:r>
      <w:r w:rsidR="00D82D5A">
        <w:t xml:space="preserve"> and 17.57 of the Commission’s rules (Rules)</w:t>
      </w:r>
      <w:r w:rsidRPr="00E34AAE">
        <w:rPr>
          <w:rStyle w:val="FootnoteReference"/>
          <w:spacing w:val="-2"/>
          <w:sz w:val="22"/>
          <w:szCs w:val="22"/>
        </w:rPr>
        <w:footnoteReference w:id="2"/>
      </w:r>
      <w:r w:rsidRPr="00E34AAE">
        <w:t xml:space="preserve"> by failing </w:t>
      </w:r>
      <w:bookmarkStart w:id="1" w:name="OLE_LINK5"/>
      <w:bookmarkStart w:id="2" w:name="OLE_LINK6"/>
      <w:r w:rsidRPr="00E34AAE">
        <w:t xml:space="preserve">to </w:t>
      </w:r>
      <w:r w:rsidR="00FF72B7">
        <w:t xml:space="preserve">install </w:t>
      </w:r>
      <w:r w:rsidR="00872BBE">
        <w:t>light</w:t>
      </w:r>
      <w:r w:rsidR="00FF72B7">
        <w:t>s on</w:t>
      </w:r>
      <w:r w:rsidR="00872BBE">
        <w:t xml:space="preserve"> two antenna structures</w:t>
      </w:r>
      <w:r w:rsidR="00D82D5A">
        <w:t xml:space="preserve"> and </w:t>
      </w:r>
      <w:r w:rsidR="001B7197">
        <w:t xml:space="preserve">failing </w:t>
      </w:r>
      <w:r w:rsidR="003506D8">
        <w:t xml:space="preserve">to </w:t>
      </w:r>
      <w:r w:rsidR="00872BBE">
        <w:t xml:space="preserve">update </w:t>
      </w:r>
      <w:r w:rsidR="003506D8">
        <w:t xml:space="preserve">registration </w:t>
      </w:r>
      <w:r w:rsidR="00872BBE">
        <w:t xml:space="preserve">information in the </w:t>
      </w:r>
      <w:r w:rsidR="003506D8">
        <w:t xml:space="preserve">Commission’s </w:t>
      </w:r>
      <w:r w:rsidR="00872BBE">
        <w:t xml:space="preserve">Antenna Structure Registration </w:t>
      </w:r>
      <w:r w:rsidR="00FF72B7">
        <w:t xml:space="preserve">(ASR) </w:t>
      </w:r>
      <w:r w:rsidR="00872BBE">
        <w:t>database</w:t>
      </w:r>
      <w:r w:rsidR="001B7197">
        <w:t xml:space="preserve"> to reflect the dismantlement of a registered tower (1060089)</w:t>
      </w:r>
      <w:r w:rsidR="00CA02FA">
        <w:t xml:space="preserve">.  </w:t>
      </w:r>
      <w:bookmarkEnd w:id="1"/>
      <w:bookmarkEnd w:id="2"/>
      <w:r w:rsidRPr="00E34AAE">
        <w:t xml:space="preserve">We conclude that </w:t>
      </w:r>
      <w:r w:rsidR="00CA02FA">
        <w:t>JTC</w:t>
      </w:r>
      <w:r w:rsidRPr="00E34AAE">
        <w:t xml:space="preserve"> is apparently liable for a forfeiture in the amount of </w:t>
      </w:r>
      <w:r w:rsidR="00282FAE">
        <w:t xml:space="preserve">two hundred </w:t>
      </w:r>
      <w:r w:rsidR="00CB4AF7">
        <w:t xml:space="preserve">and thirty-four </w:t>
      </w:r>
      <w:r w:rsidR="00A90E29">
        <w:t xml:space="preserve">thousand </w:t>
      </w:r>
      <w:r w:rsidRPr="00E34AAE">
        <w:t>dollars ($</w:t>
      </w:r>
      <w:r w:rsidR="00282FAE">
        <w:rPr>
          <w:color w:val="000000"/>
        </w:rPr>
        <w:t>2</w:t>
      </w:r>
      <w:r w:rsidR="00CB4AF7">
        <w:rPr>
          <w:color w:val="000000"/>
        </w:rPr>
        <w:t>34</w:t>
      </w:r>
      <w:r w:rsidRPr="00E34AAE">
        <w:t>,000</w:t>
      </w:r>
      <w:r w:rsidR="000A0EEE">
        <w:t>).</w:t>
      </w:r>
      <w:r w:rsidR="00CE0C5A">
        <w:t xml:space="preserve">  </w:t>
      </w:r>
      <w:r w:rsidR="003A7878" w:rsidRPr="00937484">
        <w:t xml:space="preserve">In addition, </w:t>
      </w:r>
      <w:r w:rsidR="008B58B7" w:rsidRPr="00937484">
        <w:t xml:space="preserve">we direct </w:t>
      </w:r>
      <w:r w:rsidR="00CA02FA" w:rsidRPr="00937484">
        <w:t>JTC</w:t>
      </w:r>
      <w:r w:rsidR="008B58B7" w:rsidRPr="00937484">
        <w:t xml:space="preserve"> to submit, </w:t>
      </w:r>
      <w:r w:rsidR="003A7878" w:rsidRPr="00937484">
        <w:t>no later tha</w:t>
      </w:r>
      <w:r w:rsidR="00CE0C5A">
        <w:t>n thirty (30) calendar days after</w:t>
      </w:r>
      <w:r w:rsidR="003A7878" w:rsidRPr="00937484">
        <w:t xml:space="preserve"> the </w:t>
      </w:r>
      <w:r w:rsidR="003506D8">
        <w:t xml:space="preserve">release </w:t>
      </w:r>
      <w:r w:rsidR="003A7878" w:rsidRPr="00937484">
        <w:t xml:space="preserve">date of this NAL, </w:t>
      </w:r>
      <w:r w:rsidR="001C052F" w:rsidRPr="00D45176">
        <w:t xml:space="preserve">a statement signed under penalty of perjury stating that it is now in compliance with the Commission’s </w:t>
      </w:r>
      <w:r w:rsidR="001C052F">
        <w:t xml:space="preserve">antenna structure lighting </w:t>
      </w:r>
      <w:r w:rsidR="00BC4C76">
        <w:t xml:space="preserve">and registration </w:t>
      </w:r>
      <w:r w:rsidR="001C052F">
        <w:t>requirements</w:t>
      </w:r>
      <w:r w:rsidR="00CA02FA" w:rsidRPr="00937484">
        <w:t>.</w:t>
      </w:r>
      <w:r w:rsidR="00410CFC">
        <w:t xml:space="preserve">  </w:t>
      </w:r>
      <w:r w:rsidR="001B7197">
        <w:t>W</w:t>
      </w:r>
      <w:r w:rsidR="00410CFC">
        <w:t xml:space="preserve">e </w:t>
      </w:r>
      <w:r w:rsidR="001B7197">
        <w:t xml:space="preserve">also </w:t>
      </w:r>
      <w:r w:rsidR="00410CFC">
        <w:t>direct JTC to update t</w:t>
      </w:r>
      <w:r w:rsidR="003B7C4B">
        <w:t>he registrations</w:t>
      </w:r>
      <w:r w:rsidR="00410CFC">
        <w:t xml:space="preserve"> in the ASR database for all three antenna structures </w:t>
      </w:r>
      <w:r w:rsidR="000C0AF8">
        <w:t xml:space="preserve">to reflect the </w:t>
      </w:r>
      <w:r w:rsidR="00410CFC">
        <w:t>most recent “no hazard” determination</w:t>
      </w:r>
      <w:r w:rsidR="00BC4C76">
        <w:t>s</w:t>
      </w:r>
      <w:r w:rsidR="00410CFC">
        <w:t xml:space="preserve"> issued by the Federal Aviation Administration (FAA).</w:t>
      </w:r>
    </w:p>
    <w:p w:rsidR="003506D8" w:rsidRPr="007F1F4A" w:rsidRDefault="009216B9" w:rsidP="00926B01">
      <w:pPr>
        <w:pStyle w:val="Heading1"/>
      </w:pPr>
      <w:r w:rsidRPr="009216B9">
        <w:t>background</w:t>
      </w:r>
    </w:p>
    <w:p w:rsidR="007F1F4A" w:rsidRPr="00F71FE7" w:rsidRDefault="009216B9" w:rsidP="00926B01">
      <w:pPr>
        <w:pStyle w:val="ParaNum"/>
        <w:rPr>
          <w:spacing w:val="-2"/>
        </w:rPr>
      </w:pPr>
      <w:r w:rsidRPr="009216B9">
        <w:t>The Commission’s antenna structure painting, lighting</w:t>
      </w:r>
      <w:r w:rsidR="008360C7">
        <w:t>,</w:t>
      </w:r>
      <w:r w:rsidRPr="009216B9">
        <w:t xml:space="preserve"> and registration require</w:t>
      </w:r>
      <w:r w:rsidR="00410CFC">
        <w:t>ments operate in concert with FAA</w:t>
      </w:r>
      <w:r w:rsidRPr="009216B9">
        <w:t xml:space="preserve"> regulations to ensure that antenna structures do not present hazards to air navigation.</w:t>
      </w:r>
      <w:r w:rsidR="00F71FE7">
        <w:rPr>
          <w:rStyle w:val="FootnoteReference"/>
          <w:sz w:val="22"/>
          <w:szCs w:val="22"/>
        </w:rPr>
        <w:footnoteReference w:id="3"/>
      </w:r>
      <w:r>
        <w:t xml:space="preserve">  </w:t>
      </w:r>
      <w:r w:rsidR="007F1F4A" w:rsidRPr="009216B9">
        <w:t xml:space="preserve">Generally, our rules require that antenna structures located close to airports or that are greater than </w:t>
      </w:r>
      <w:r w:rsidR="007F1F4A">
        <w:t>60.96 meters (</w:t>
      </w:r>
      <w:r w:rsidR="007F1F4A" w:rsidRPr="009216B9">
        <w:t>200 feet</w:t>
      </w:r>
      <w:r w:rsidR="007F1F4A">
        <w:t>)</w:t>
      </w:r>
      <w:r w:rsidR="007F1F4A" w:rsidRPr="009216B9">
        <w:t xml:space="preserve"> in height comply with painting and lighting specifications designed to ensure air safety.</w:t>
      </w:r>
      <w:r w:rsidR="00F71FE7">
        <w:rPr>
          <w:rStyle w:val="FootnoteReference"/>
          <w:sz w:val="22"/>
          <w:szCs w:val="22"/>
        </w:rPr>
        <w:footnoteReference w:id="4"/>
      </w:r>
      <w:r w:rsidR="007F1F4A">
        <w:t xml:space="preserve">  </w:t>
      </w:r>
      <w:r w:rsidRPr="009216B9">
        <w:t>We require antenna structure owners to register antenna structures with the Commission and post ASR numbers at the base of antenna structures to allow for e</w:t>
      </w:r>
      <w:r>
        <w:t>asy contact if problems arise.</w:t>
      </w:r>
      <w:r w:rsidR="00F71FE7">
        <w:rPr>
          <w:rStyle w:val="FootnoteReference"/>
          <w:sz w:val="22"/>
          <w:szCs w:val="22"/>
        </w:rPr>
        <w:footnoteReference w:id="5"/>
      </w:r>
      <w:r>
        <w:t xml:space="preserve">  </w:t>
      </w:r>
      <w:r w:rsidR="007F1F4A" w:rsidRPr="003506D8">
        <w:t>Accuracy of information in the A</w:t>
      </w:r>
      <w:r w:rsidR="007F1F4A">
        <w:t xml:space="preserve">SR </w:t>
      </w:r>
      <w:r w:rsidR="007F1F4A" w:rsidRPr="003506D8">
        <w:t>database is particularly important, because the database is used by Commission agents to ensure</w:t>
      </w:r>
      <w:r w:rsidR="007F1F4A">
        <w:t xml:space="preserve"> compliance with the Commission’s antenna structure rules and the FAA’s painting and lighting requirements.</w:t>
      </w:r>
    </w:p>
    <w:p w:rsidR="00BC4C76" w:rsidRPr="00BC4C76" w:rsidRDefault="00BC4C76" w:rsidP="00926B01">
      <w:pPr>
        <w:pStyle w:val="ParaNum"/>
      </w:pPr>
      <w:r w:rsidRPr="00BC4C76">
        <w:lastRenderedPageBreak/>
        <w:t>Antenna structure numbers 1060088, 1060089, and 1060090, as originally constructed, were all more than 104 meters in height above the ground.</w:t>
      </w:r>
      <w:r>
        <w:rPr>
          <w:rStyle w:val="FootnoteReference"/>
          <w:spacing w:val="-2"/>
          <w:sz w:val="22"/>
          <w:szCs w:val="22"/>
        </w:rPr>
        <w:footnoteReference w:id="6"/>
      </w:r>
      <w:r w:rsidRPr="00BC4C76">
        <w:t xml:space="preserve">  Because the three antenna structures were constructed near each other, the FAA </w:t>
      </w:r>
      <w:r w:rsidR="003B7C4B">
        <w:t>originally</w:t>
      </w:r>
      <w:r w:rsidR="009919FD">
        <w:t xml:space="preserve"> </w:t>
      </w:r>
      <w:r w:rsidRPr="00BC4C76">
        <w:t>required lighting</w:t>
      </w:r>
      <w:r w:rsidR="0025225F">
        <w:t xml:space="preserve"> </w:t>
      </w:r>
      <w:r w:rsidR="0025225F" w:rsidRPr="005A6D86">
        <w:t>and painting</w:t>
      </w:r>
      <w:r w:rsidRPr="00BC4C76">
        <w:t xml:space="preserve"> </w:t>
      </w:r>
      <w:r w:rsidR="009919FD">
        <w:t xml:space="preserve">only </w:t>
      </w:r>
      <w:r w:rsidRPr="00BC4C76">
        <w:t>for antenna structure number 1060089 (per the 1978 FAA determination of “no hazard”) (FAA Study).</w:t>
      </w:r>
      <w:r>
        <w:rPr>
          <w:rStyle w:val="FootnoteReference"/>
          <w:spacing w:val="-2"/>
          <w:sz w:val="22"/>
          <w:szCs w:val="22"/>
        </w:rPr>
        <w:footnoteReference w:id="7"/>
      </w:r>
    </w:p>
    <w:p w:rsidR="003506D8" w:rsidRPr="003506D8" w:rsidRDefault="003506D8" w:rsidP="00926B01">
      <w:pPr>
        <w:pStyle w:val="ParaNum"/>
      </w:pPr>
      <w:r>
        <w:t xml:space="preserve">On April 14, 2011, in response to an inquiry from the FAA regarding an expired Notice to Airmen (NOTAM), an agent from the Enforcement Bureau’s Tampa Office (Tampa Office) observed that antenna structure number 1060089 had been dismantled and that the remaining two antenna structures </w:t>
      </w:r>
      <w:r w:rsidR="00E46CD0">
        <w:t xml:space="preserve">were painted but </w:t>
      </w:r>
      <w:r>
        <w:t>contained no lighting systems.</w:t>
      </w:r>
      <w:r>
        <w:rPr>
          <w:rStyle w:val="FootnoteReference"/>
          <w:spacing w:val="-2"/>
          <w:sz w:val="22"/>
          <w:szCs w:val="22"/>
        </w:rPr>
        <w:footnoteReference w:id="8"/>
      </w:r>
      <w:r>
        <w:t xml:space="preserve">  On April 19, 2011, the agent contacted JTC’s owner, who explained that antenna structure number 1060089 was accidentally knocked down in 2006.  JTC’s owner stated he had tried to rebuild the structure, but due to permitting and other legal issues, had recently concluded that rebuilding was </w:t>
      </w:r>
      <w:r w:rsidR="00B6730F">
        <w:t>un</w:t>
      </w:r>
      <w:r>
        <w:t>likely.  The agent advised JTC to contact the FAA regarding the dismantlement of antenna structure number 1060089.  The agent also informed JTC that antenna structure numbers 1060</w:t>
      </w:r>
      <w:r w:rsidR="00BD6FBC">
        <w:t>0</w:t>
      </w:r>
      <w:r>
        <w:t>88 and 1060090 should be lighted</w:t>
      </w:r>
      <w:r w:rsidR="00594C4A">
        <w:t xml:space="preserve"> now that the only lighted structure had been dismantled</w:t>
      </w:r>
      <w:r w:rsidR="00BD6FBC">
        <w:t xml:space="preserve">.  Finally, the agent requested that </w:t>
      </w:r>
      <w:r>
        <w:t xml:space="preserve">JTC update the information in the ASR database for all three antenna structures.  </w:t>
      </w:r>
      <w:r w:rsidR="00F71FE7">
        <w:t xml:space="preserve">Over the next several months, an agent from the Tampa Office contacted JTC four times to inquire about its progress on installing lights on antenna structure numbers </w:t>
      </w:r>
      <w:r w:rsidR="00F71FE7" w:rsidRPr="004F3AD5">
        <w:t>1060088 and 1060090</w:t>
      </w:r>
      <w:r w:rsidR="00F71FE7">
        <w:t xml:space="preserve">.  </w:t>
      </w:r>
      <w:r>
        <w:t xml:space="preserve">  </w:t>
      </w:r>
    </w:p>
    <w:p w:rsidR="00C326BD" w:rsidRPr="00A84588" w:rsidRDefault="004F3AD5" w:rsidP="00926B01">
      <w:pPr>
        <w:pStyle w:val="ParaNum"/>
        <w:rPr>
          <w:spacing w:val="-2"/>
        </w:rPr>
      </w:pPr>
      <w:r>
        <w:t xml:space="preserve">On October 12, 2011, an agent from the Tampa Office confirmed </w:t>
      </w:r>
      <w:r w:rsidR="006C772D">
        <w:t>that the FAA</w:t>
      </w:r>
      <w:r>
        <w:t xml:space="preserve"> had issued new</w:t>
      </w:r>
      <w:r w:rsidR="006B50EA">
        <w:t xml:space="preserve"> </w:t>
      </w:r>
      <w:r w:rsidR="00D73920">
        <w:t>FAA Studies</w:t>
      </w:r>
      <w:r w:rsidR="008C1DB8">
        <w:t xml:space="preserve"> </w:t>
      </w:r>
      <w:r w:rsidR="003506D8">
        <w:t>dated September 27, 2011,</w:t>
      </w:r>
      <w:r w:rsidR="006C27D5">
        <w:t xml:space="preserve"> </w:t>
      </w:r>
      <w:r>
        <w:t>for antenna structure numbers 1060088 and 1060090</w:t>
      </w:r>
      <w:r w:rsidR="000C565E">
        <w:t>.</w:t>
      </w:r>
      <w:r w:rsidR="000C565E">
        <w:rPr>
          <w:rStyle w:val="FootnoteReference"/>
          <w:sz w:val="22"/>
          <w:szCs w:val="22"/>
        </w:rPr>
        <w:footnoteReference w:id="9"/>
      </w:r>
      <w:r w:rsidR="000C565E">
        <w:t xml:space="preserve">  The new </w:t>
      </w:r>
      <w:r w:rsidR="001873E6">
        <w:t>FAA S</w:t>
      </w:r>
      <w:r w:rsidR="000C565E">
        <w:t>tudies</w:t>
      </w:r>
      <w:r>
        <w:t xml:space="preserve"> required </w:t>
      </w:r>
      <w:r w:rsidR="00E46CD0">
        <w:t xml:space="preserve">painting and </w:t>
      </w:r>
      <w:r>
        <w:t>lighting for both structures.</w:t>
      </w:r>
      <w:r w:rsidR="000C565E">
        <w:rPr>
          <w:rStyle w:val="FootnoteReference"/>
          <w:sz w:val="22"/>
          <w:szCs w:val="22"/>
        </w:rPr>
        <w:footnoteReference w:id="10"/>
      </w:r>
      <w:r w:rsidR="006C772D">
        <w:t xml:space="preserve">  That same day, the agent telephoned JTC’s owner, who stated that, due to financial constraints, lights would not be installed on the two structures until January 2012.  At the end of January 2012, JTC’s owner stated </w:t>
      </w:r>
      <w:r w:rsidR="00BD6FBC">
        <w:t xml:space="preserve">that </w:t>
      </w:r>
      <w:r w:rsidR="006C772D">
        <w:t>the lights would be installed in February 2012.  On April 13, 2012, an agent from the Tampa Office again telephoned JTC’s owner, who stated that he had been unable to make progress on installing the lights due to health, financial, and legal issues</w:t>
      </w:r>
      <w:r w:rsidR="002E1C17">
        <w:t>.</w:t>
      </w:r>
      <w:r w:rsidR="00A84588">
        <w:t xml:space="preserve">  </w:t>
      </w:r>
      <w:r w:rsidR="00A84588" w:rsidRPr="00A84588">
        <w:t>The agent also reminded JTC to submit an FCC Form 854 to update the information for antenna structure number</w:t>
      </w:r>
      <w:r w:rsidR="00A84588" w:rsidRPr="00D23B17">
        <w:t xml:space="preserve"> </w:t>
      </w:r>
      <w:r w:rsidR="00A84588" w:rsidRPr="00A84588">
        <w:rPr>
          <w:spacing w:val="-2"/>
        </w:rPr>
        <w:t>1060089</w:t>
      </w:r>
      <w:r w:rsidR="00A84588">
        <w:rPr>
          <w:spacing w:val="-2"/>
        </w:rPr>
        <w:t xml:space="preserve"> </w:t>
      </w:r>
      <w:r w:rsidR="00A84588" w:rsidRPr="00A84588">
        <w:t>in the ASR databas</w:t>
      </w:r>
      <w:r w:rsidR="00A84588">
        <w:t>e.</w:t>
      </w:r>
    </w:p>
    <w:p w:rsidR="00CE0C5A" w:rsidRDefault="007241C5" w:rsidP="00926B01">
      <w:pPr>
        <w:pStyle w:val="ParaNum"/>
      </w:pPr>
      <w:r>
        <w:t>On May 22, 2012</w:t>
      </w:r>
      <w:r w:rsidR="008A72C7">
        <w:t xml:space="preserve">, </w:t>
      </w:r>
      <w:r w:rsidR="008D3B6D">
        <w:t>February 14, 2013</w:t>
      </w:r>
      <w:r>
        <w:t xml:space="preserve">, </w:t>
      </w:r>
      <w:r w:rsidR="008A72C7">
        <w:t xml:space="preserve">July 14, 2013, </w:t>
      </w:r>
      <w:r w:rsidR="00E46CD0">
        <w:t xml:space="preserve">and October 28, 2013, </w:t>
      </w:r>
      <w:r>
        <w:t>an agent from the Tampa Office confirmed that antenna structur</w:t>
      </w:r>
      <w:r w:rsidR="009A53EB">
        <w:t xml:space="preserve">e numbers 1060088 and 1060090 </w:t>
      </w:r>
      <w:r w:rsidR="008F642C">
        <w:t xml:space="preserve">still </w:t>
      </w:r>
      <w:r w:rsidR="009A53EB">
        <w:t>did</w:t>
      </w:r>
      <w:r>
        <w:t xml:space="preserve"> not have lighting systems installed.</w:t>
      </w:r>
      <w:r w:rsidR="00BC4C76">
        <w:t xml:space="preserve">  In addition, </w:t>
      </w:r>
      <w:r w:rsidR="009E0209">
        <w:t>the ASR database still shows antenna structure number 1060089 as being con</w:t>
      </w:r>
      <w:r w:rsidR="00CB4AF7">
        <w:t>structed</w:t>
      </w:r>
      <w:r w:rsidR="009E0209">
        <w:t xml:space="preserve"> and antenna structure numbers 1060088 and 1060090 as not requiring lighting</w:t>
      </w:r>
      <w:r w:rsidR="000A223D">
        <w:t xml:space="preserve"> </w:t>
      </w:r>
      <w:r w:rsidR="000A223D" w:rsidRPr="005A6D86">
        <w:t>or painting</w:t>
      </w:r>
      <w:r w:rsidR="009E0209">
        <w:t>.</w:t>
      </w:r>
      <w:r>
        <w:t xml:space="preserve">    </w:t>
      </w:r>
      <w:r w:rsidR="002E1C17">
        <w:t xml:space="preserve">  </w:t>
      </w:r>
    </w:p>
    <w:p w:rsidR="00050854" w:rsidRPr="003F3CFD" w:rsidRDefault="00050854" w:rsidP="00926B01">
      <w:pPr>
        <w:pStyle w:val="Heading1"/>
      </w:pPr>
      <w:r w:rsidRPr="003F3CFD">
        <w:t>DISCUSSION</w:t>
      </w:r>
    </w:p>
    <w:p w:rsidR="00050854" w:rsidRPr="00937484" w:rsidRDefault="00050854" w:rsidP="00926B01">
      <w:pPr>
        <w:pStyle w:val="ParaNum"/>
        <w:rPr>
          <w:color w:val="000000"/>
        </w:rPr>
      </w:pPr>
      <w:r w:rsidRPr="00E34AAE">
        <w:t xml:space="preserve">Section 503(b) of the </w:t>
      </w:r>
      <w:r w:rsidR="002E61E8">
        <w:t>A</w:t>
      </w:r>
      <w:r w:rsidR="00DC7D2B">
        <w:t>ct</w:t>
      </w:r>
      <w:r w:rsidR="007E2E05">
        <w:t xml:space="preserve"> </w:t>
      </w:r>
      <w:r w:rsidRPr="00E34AAE">
        <w:t xml:space="preserve">provides that any person who willfully </w:t>
      </w:r>
      <w:r w:rsidR="0011170C">
        <w:t xml:space="preserve">or repeatedly </w:t>
      </w:r>
      <w:r w:rsidRPr="00E34AAE">
        <w:t xml:space="preserve">fails to comply substantially with the terms and conditions of any license, or willfully </w:t>
      </w:r>
      <w:r w:rsidR="0011170C">
        <w:t xml:space="preserve">or repeatedly </w:t>
      </w:r>
      <w:r w:rsidRPr="00E34AAE">
        <w:t>fails to comply with any of the provisions of the Act or of any rule, regulation</w:t>
      </w:r>
      <w:r w:rsidR="009711A7">
        <w:t>,</w:t>
      </w:r>
      <w:r w:rsidRPr="00E34AAE">
        <w:t xml:space="preserve"> or order issued by the </w:t>
      </w:r>
      <w:r w:rsidRPr="00E34AAE">
        <w:lastRenderedPageBreak/>
        <w:t>Commission thereunder, shall be liable for a forfeiture penalty.</w:t>
      </w:r>
      <w:r w:rsidR="009711A7">
        <w:rPr>
          <w:rStyle w:val="FootnoteReference"/>
          <w:spacing w:val="-3"/>
          <w:sz w:val="22"/>
          <w:szCs w:val="22"/>
        </w:rPr>
        <w:footnoteReference w:id="11"/>
      </w:r>
      <w:r w:rsidRPr="00E34AAE">
        <w:t xml:space="preserve">  </w:t>
      </w:r>
      <w:r w:rsidR="001665F5" w:rsidRPr="00A12D37">
        <w:rPr>
          <w:color w:val="000000"/>
        </w:rPr>
        <w:t xml:space="preserve">Section 312(f)(1) of the Act defines </w:t>
      </w:r>
      <w:r w:rsidR="009711A7">
        <w:rPr>
          <w:color w:val="000000"/>
        </w:rPr>
        <w:t>“</w:t>
      </w:r>
      <w:r w:rsidR="001665F5" w:rsidRPr="00A12D37">
        <w:rPr>
          <w:color w:val="000000"/>
        </w:rPr>
        <w:t>willful</w:t>
      </w:r>
      <w:r w:rsidR="009711A7">
        <w:rPr>
          <w:color w:val="000000"/>
        </w:rPr>
        <w:t>”</w:t>
      </w:r>
      <w:r w:rsidR="001665F5" w:rsidRPr="00A12D37">
        <w:rPr>
          <w:color w:val="000000"/>
        </w:rPr>
        <w:t xml:space="preserve"> as the “conscious and deliberate commission or omission of [any] act, irrespective of any intent to violate” the law.</w:t>
      </w:r>
      <w:r w:rsidR="001665F5" w:rsidRPr="00A12D37">
        <w:rPr>
          <w:rStyle w:val="FootnoteReference"/>
          <w:color w:val="000000"/>
          <w:spacing w:val="-3"/>
          <w:sz w:val="22"/>
          <w:szCs w:val="22"/>
        </w:rPr>
        <w:footnoteReference w:id="12"/>
      </w:r>
      <w:r w:rsidR="001665F5" w:rsidRPr="00A12D37">
        <w:rPr>
          <w:color w:val="000000"/>
        </w:rPr>
        <w:t xml:space="preserve">  The legislative history to </w:t>
      </w:r>
      <w:r w:rsidR="009711A7">
        <w:rPr>
          <w:color w:val="000000"/>
        </w:rPr>
        <w:t>S</w:t>
      </w:r>
      <w:r w:rsidR="001665F5" w:rsidRPr="00A12D37">
        <w:rPr>
          <w:color w:val="000000"/>
        </w:rPr>
        <w:t xml:space="preserve">ection 312(f)(1) of the Act clarifies that this definition of willful applies to both </w:t>
      </w:r>
      <w:r w:rsidR="00174A12">
        <w:rPr>
          <w:color w:val="000000"/>
        </w:rPr>
        <w:t>S</w:t>
      </w:r>
      <w:r w:rsidR="001665F5" w:rsidRPr="00A12D37">
        <w:rPr>
          <w:color w:val="000000"/>
        </w:rPr>
        <w:t>ection</w:t>
      </w:r>
      <w:r w:rsidR="00174A12">
        <w:rPr>
          <w:color w:val="000000"/>
        </w:rPr>
        <w:t>s</w:t>
      </w:r>
      <w:r w:rsidR="001665F5" w:rsidRPr="00A12D37">
        <w:rPr>
          <w:color w:val="000000"/>
        </w:rPr>
        <w:t xml:space="preserve"> 312 and 503(b) of the Act</w:t>
      </w:r>
      <w:r w:rsidR="00174A12">
        <w:rPr>
          <w:color w:val="000000"/>
        </w:rPr>
        <w:t>,</w:t>
      </w:r>
      <w:r w:rsidR="001665F5" w:rsidRPr="00A12D37">
        <w:rPr>
          <w:rStyle w:val="FootnoteReference"/>
          <w:color w:val="000000"/>
          <w:spacing w:val="-3"/>
          <w:sz w:val="22"/>
          <w:szCs w:val="22"/>
        </w:rPr>
        <w:footnoteReference w:id="13"/>
      </w:r>
      <w:r w:rsidR="001665F5" w:rsidRPr="00A12D37">
        <w:rPr>
          <w:color w:val="000000"/>
        </w:rPr>
        <w:t xml:space="preserve"> and the Commission has so interpreted the term in the </w:t>
      </w:r>
      <w:r w:rsidR="00174A12">
        <w:rPr>
          <w:color w:val="000000"/>
        </w:rPr>
        <w:t>S</w:t>
      </w:r>
      <w:r w:rsidR="001665F5" w:rsidRPr="00A12D37">
        <w:rPr>
          <w:color w:val="000000"/>
        </w:rPr>
        <w:t>ection 503(b) context.</w:t>
      </w:r>
      <w:r w:rsidR="001665F5" w:rsidRPr="00A12D37">
        <w:rPr>
          <w:rStyle w:val="FootnoteReference"/>
          <w:color w:val="000000"/>
          <w:spacing w:val="-3"/>
          <w:sz w:val="22"/>
          <w:szCs w:val="22"/>
        </w:rPr>
        <w:footnoteReference w:id="14"/>
      </w:r>
      <w:r w:rsidR="001665F5" w:rsidRPr="00A12D37">
        <w:rPr>
          <w:color w:val="000000"/>
        </w:rPr>
        <w:t xml:space="preserve">  The Commission may also assess a forfeiture for violations that are merely repeated, and not willful.</w:t>
      </w:r>
      <w:r w:rsidR="001665F5" w:rsidRPr="00A12D37">
        <w:rPr>
          <w:rStyle w:val="FootnoteReference"/>
          <w:color w:val="000000"/>
          <w:sz w:val="22"/>
          <w:szCs w:val="22"/>
        </w:rPr>
        <w:footnoteReference w:id="15"/>
      </w:r>
      <w:r w:rsidR="001665F5" w:rsidRPr="00A12D37">
        <w:rPr>
          <w:color w:val="000000"/>
        </w:rPr>
        <w:t xml:space="preserve">  </w:t>
      </w:r>
      <w:r w:rsidRPr="00A12D37">
        <w:rPr>
          <w:color w:val="000000"/>
        </w:rPr>
        <w:t>The term “repeated” means the commission or omission of such act more than on</w:t>
      </w:r>
      <w:r w:rsidR="00FB30D7" w:rsidRPr="00A12D37">
        <w:rPr>
          <w:color w:val="000000"/>
        </w:rPr>
        <w:t>c</w:t>
      </w:r>
      <w:r w:rsidRPr="00A12D37">
        <w:rPr>
          <w:color w:val="000000"/>
        </w:rPr>
        <w:t>e or for more than one day.</w:t>
      </w:r>
      <w:r w:rsidRPr="00A12D37">
        <w:rPr>
          <w:rStyle w:val="FootnoteReference"/>
          <w:color w:val="000000"/>
          <w:spacing w:val="-3"/>
          <w:sz w:val="22"/>
          <w:szCs w:val="22"/>
        </w:rPr>
        <w:footnoteReference w:id="16"/>
      </w:r>
      <w:r w:rsidRPr="00A12D37">
        <w:rPr>
          <w:color w:val="000000"/>
        </w:rPr>
        <w:t xml:space="preserve"> </w:t>
      </w:r>
    </w:p>
    <w:p w:rsidR="00FE23FD" w:rsidRPr="00D45176" w:rsidRDefault="00FE23FD" w:rsidP="00455AFB">
      <w:pPr>
        <w:pStyle w:val="Heading2"/>
      </w:pPr>
      <w:r w:rsidRPr="00D45176">
        <w:t>Failure to Comply with Antenna Structure Lighting Requirements</w:t>
      </w:r>
    </w:p>
    <w:p w:rsidR="00F71FE7" w:rsidRDefault="00F71FE7" w:rsidP="00926B01">
      <w:pPr>
        <w:pStyle w:val="ParaNum"/>
        <w:rPr>
          <w:spacing w:val="-2"/>
        </w:rPr>
      </w:pPr>
      <w:r w:rsidRPr="00FB5D2C">
        <w:rPr>
          <w:spacing w:val="-3"/>
        </w:rPr>
        <w:t>Section</w:t>
      </w:r>
      <w:r w:rsidRPr="00FB5D2C">
        <w:t xml:space="preserve"> 303(q) of the Act states that antenna structure owners shall maintain the painting and lighting of antenna structures as prescribed by the Commission.</w:t>
      </w:r>
      <w:r w:rsidRPr="00D45176">
        <w:rPr>
          <w:rStyle w:val="FootnoteReference"/>
          <w:sz w:val="22"/>
          <w:szCs w:val="22"/>
        </w:rPr>
        <w:footnoteReference w:id="17"/>
      </w:r>
      <w:r w:rsidRPr="00FB5D2C">
        <w:t xml:space="preserve">  </w:t>
      </w:r>
      <w:r w:rsidRPr="00FB5D2C">
        <w:rPr>
          <w:spacing w:val="-2"/>
        </w:rPr>
        <w:t>Section 17.21(a) of the Rules states that “[a]ntenna structures sha</w:t>
      </w:r>
      <w:r w:rsidR="00FE327B">
        <w:rPr>
          <w:spacing w:val="-2"/>
        </w:rPr>
        <w:t xml:space="preserve">ll be painted and lighted when:  </w:t>
      </w:r>
      <w:r w:rsidRPr="00FB5D2C">
        <w:rPr>
          <w:spacing w:val="-2"/>
        </w:rPr>
        <w:t xml:space="preserve">(a) </w:t>
      </w:r>
      <w:r w:rsidR="004B6061">
        <w:rPr>
          <w:spacing w:val="-2"/>
        </w:rPr>
        <w:t>[</w:t>
      </w:r>
      <w:r w:rsidRPr="00FB5D2C">
        <w:rPr>
          <w:spacing w:val="-2"/>
        </w:rPr>
        <w:t>t</w:t>
      </w:r>
      <w:r w:rsidR="004B6061">
        <w:rPr>
          <w:spacing w:val="-2"/>
        </w:rPr>
        <w:t>]</w:t>
      </w:r>
      <w:r w:rsidRPr="00FB5D2C">
        <w:rPr>
          <w:spacing w:val="-2"/>
        </w:rPr>
        <w:t>hey exceed 60.96 meters (200 feet) in height above the ground or they require special aeronautical study.”</w:t>
      </w:r>
      <w:r w:rsidRPr="00BE0B4D">
        <w:rPr>
          <w:rStyle w:val="FootnoteReference"/>
          <w:spacing w:val="-2"/>
          <w:sz w:val="22"/>
          <w:szCs w:val="22"/>
        </w:rPr>
        <w:footnoteReference w:id="18"/>
      </w:r>
      <w:r w:rsidR="009F09C7">
        <w:rPr>
          <w:spacing w:val="-2"/>
        </w:rPr>
        <w:t xml:space="preserve">  Section</w:t>
      </w:r>
      <w:r w:rsidR="00A25CF4">
        <w:rPr>
          <w:spacing w:val="-2"/>
        </w:rPr>
        <w:t xml:space="preserve"> 17.23 of the Rules states that an </w:t>
      </w:r>
      <w:r w:rsidR="009F09C7">
        <w:rPr>
          <w:spacing w:val="-2"/>
        </w:rPr>
        <w:t>antenna structure “must conform to the FAA’s painting and lighting recommendations set forth on the structure’s FAA determination of ‘no hazard’ . . . .”</w:t>
      </w:r>
      <w:r w:rsidR="009F09C7">
        <w:rPr>
          <w:rStyle w:val="FootnoteReference"/>
          <w:spacing w:val="-2"/>
          <w:sz w:val="22"/>
          <w:szCs w:val="22"/>
        </w:rPr>
        <w:footnoteReference w:id="19"/>
      </w:r>
    </w:p>
    <w:p w:rsidR="00872BBE" w:rsidRPr="00455AFB" w:rsidRDefault="008F642C" w:rsidP="00926B01">
      <w:pPr>
        <w:pStyle w:val="ParaNum"/>
        <w:rPr>
          <w:spacing w:val="-2"/>
        </w:rPr>
      </w:pPr>
      <w:r>
        <w:rPr>
          <w:spacing w:val="-2"/>
        </w:rPr>
        <w:t>As discussed above, a</w:t>
      </w:r>
      <w:r w:rsidR="002E5504" w:rsidRPr="00872BBE">
        <w:rPr>
          <w:spacing w:val="-2"/>
        </w:rPr>
        <w:t xml:space="preserve">ntenna structure numbers </w:t>
      </w:r>
      <w:r w:rsidR="002E5504" w:rsidRPr="00872BBE">
        <w:t>1060088 and 1060090 are both more than 104 meters above ground in height and</w:t>
      </w:r>
      <w:r w:rsidR="003C6C3C">
        <w:t xml:space="preserve"> should be lighted</w:t>
      </w:r>
      <w:r w:rsidR="002E5504" w:rsidRPr="00872BBE">
        <w:t xml:space="preserve"> according to the </w:t>
      </w:r>
      <w:r w:rsidR="008C1DB8">
        <w:t xml:space="preserve">Rules and </w:t>
      </w:r>
      <w:r w:rsidR="00A25CF4">
        <w:t xml:space="preserve">the </w:t>
      </w:r>
      <w:r w:rsidR="002E5504" w:rsidRPr="00872BBE">
        <w:t xml:space="preserve">FAA </w:t>
      </w:r>
      <w:r w:rsidR="00D73920">
        <w:t>S</w:t>
      </w:r>
      <w:r w:rsidR="008C1DB8">
        <w:t>tudies</w:t>
      </w:r>
      <w:r w:rsidR="00C31012">
        <w:t xml:space="preserve"> issued </w:t>
      </w:r>
      <w:r w:rsidR="00715460">
        <w:t xml:space="preserve">on </w:t>
      </w:r>
      <w:r w:rsidR="00C31012">
        <w:t>September 27, 2011</w:t>
      </w:r>
      <w:r w:rsidR="002E5504" w:rsidRPr="00872BBE">
        <w:t xml:space="preserve">.  </w:t>
      </w:r>
      <w:r w:rsidR="00FE23FD" w:rsidRPr="00872BBE">
        <w:rPr>
          <w:spacing w:val="-2"/>
        </w:rPr>
        <w:t>On</w:t>
      </w:r>
      <w:r w:rsidR="002E5504" w:rsidRPr="00872BBE">
        <w:rPr>
          <w:spacing w:val="-2"/>
        </w:rPr>
        <w:t xml:space="preserve"> April 19, 2011, an agent from the Tampa Office informed JTC that antenna structure numbers </w:t>
      </w:r>
      <w:r w:rsidR="002E5504" w:rsidRPr="00872BBE">
        <w:t>1060088 and 1060090</w:t>
      </w:r>
      <w:r w:rsidR="00E72B28">
        <w:t xml:space="preserve"> must be lighted</w:t>
      </w:r>
      <w:r w:rsidR="007241C5">
        <w:t>.  On May 22, 2012</w:t>
      </w:r>
      <w:r w:rsidR="002E5504" w:rsidRPr="00872BBE">
        <w:t>,</w:t>
      </w:r>
      <w:r w:rsidR="008D3B6D">
        <w:t xml:space="preserve"> February 14, 2013,</w:t>
      </w:r>
      <w:r w:rsidR="002E5504" w:rsidRPr="00872BBE">
        <w:t xml:space="preserve"> </w:t>
      </w:r>
      <w:r w:rsidR="008A72C7">
        <w:t xml:space="preserve">July </w:t>
      </w:r>
      <w:r w:rsidR="00B34188">
        <w:t>14, 2013,</w:t>
      </w:r>
      <w:r w:rsidR="008A72C7">
        <w:t xml:space="preserve"> </w:t>
      </w:r>
      <w:r w:rsidR="00E46CD0">
        <w:t xml:space="preserve">and October 28, 2013, </w:t>
      </w:r>
      <w:r w:rsidR="00872BBE" w:rsidRPr="00872BBE">
        <w:t xml:space="preserve">an agent from the Tampa Office observed that antenna </w:t>
      </w:r>
      <w:r w:rsidR="002E5504" w:rsidRPr="00872BBE">
        <w:t>structure numbers 1060088 and 1060090</w:t>
      </w:r>
      <w:r w:rsidR="00872BBE">
        <w:t xml:space="preserve"> </w:t>
      </w:r>
      <w:r>
        <w:t xml:space="preserve">still </w:t>
      </w:r>
      <w:r w:rsidR="00872BBE">
        <w:t>had no installed lighting systems</w:t>
      </w:r>
      <w:r w:rsidR="002E5504" w:rsidRPr="00872BBE">
        <w:t>.</w:t>
      </w:r>
      <w:r w:rsidR="00872BBE" w:rsidRPr="00872BBE">
        <w:t xml:space="preserve">  </w:t>
      </w:r>
      <w:r w:rsidR="00872BBE" w:rsidRPr="00872BBE">
        <w:rPr>
          <w:spacing w:val="-2"/>
        </w:rPr>
        <w:t xml:space="preserve">Based on the evidence before us, we find that </w:t>
      </w:r>
      <w:r w:rsidR="00872BBE">
        <w:rPr>
          <w:spacing w:val="-2"/>
        </w:rPr>
        <w:t>JTC</w:t>
      </w:r>
      <w:r w:rsidR="00872BBE" w:rsidRPr="00872BBE">
        <w:rPr>
          <w:b/>
          <w:spacing w:val="-2"/>
        </w:rPr>
        <w:t xml:space="preserve"> </w:t>
      </w:r>
      <w:r w:rsidR="00872BBE" w:rsidRPr="00872BBE">
        <w:rPr>
          <w:spacing w:val="-2"/>
        </w:rPr>
        <w:t>apparently willfully and repeatedly violated Section 303(q) of the Act and Section</w:t>
      </w:r>
      <w:r w:rsidR="009F09C7">
        <w:rPr>
          <w:spacing w:val="-2"/>
        </w:rPr>
        <w:t>s</w:t>
      </w:r>
      <w:r w:rsidR="00872BBE" w:rsidRPr="00872BBE">
        <w:rPr>
          <w:spacing w:val="-2"/>
        </w:rPr>
        <w:t xml:space="preserve"> 17.21</w:t>
      </w:r>
      <w:r>
        <w:rPr>
          <w:spacing w:val="-2"/>
        </w:rPr>
        <w:t>(a)</w:t>
      </w:r>
      <w:r w:rsidR="00872BBE" w:rsidRPr="00872BBE">
        <w:rPr>
          <w:spacing w:val="-2"/>
        </w:rPr>
        <w:t xml:space="preserve"> </w:t>
      </w:r>
      <w:r w:rsidR="009F09C7">
        <w:rPr>
          <w:spacing w:val="-2"/>
        </w:rPr>
        <w:t xml:space="preserve">and 17.23 </w:t>
      </w:r>
      <w:r w:rsidR="00872BBE" w:rsidRPr="00872BBE">
        <w:rPr>
          <w:spacing w:val="-2"/>
        </w:rPr>
        <w:t xml:space="preserve">of the Rules by failing to </w:t>
      </w:r>
      <w:r w:rsidR="006A5908">
        <w:rPr>
          <w:spacing w:val="-2"/>
        </w:rPr>
        <w:t xml:space="preserve">install </w:t>
      </w:r>
      <w:r w:rsidR="00E80AF9">
        <w:rPr>
          <w:spacing w:val="-2"/>
        </w:rPr>
        <w:t xml:space="preserve">required </w:t>
      </w:r>
      <w:r w:rsidR="00872BBE" w:rsidRPr="00872BBE">
        <w:rPr>
          <w:spacing w:val="-2"/>
        </w:rPr>
        <w:t>light</w:t>
      </w:r>
      <w:r w:rsidR="006A5908">
        <w:rPr>
          <w:spacing w:val="-2"/>
        </w:rPr>
        <w:t>ing systems on</w:t>
      </w:r>
      <w:r w:rsidR="00872BBE" w:rsidRPr="00872BBE">
        <w:rPr>
          <w:spacing w:val="-2"/>
        </w:rPr>
        <w:t xml:space="preserve"> </w:t>
      </w:r>
      <w:r w:rsidR="00872BBE">
        <w:rPr>
          <w:spacing w:val="-2"/>
        </w:rPr>
        <w:t>antenna structure numbers 1060088 and 1060090</w:t>
      </w:r>
      <w:r w:rsidR="00872BBE" w:rsidRPr="00872BBE">
        <w:t>.</w:t>
      </w:r>
    </w:p>
    <w:p w:rsidR="00455AFB" w:rsidRPr="007E0AE7" w:rsidRDefault="00455AFB" w:rsidP="00455AFB"/>
    <w:p w:rsidR="00AC67BE" w:rsidRPr="006F3776" w:rsidRDefault="00872BBE" w:rsidP="00455AFB">
      <w:pPr>
        <w:pStyle w:val="Heading2"/>
      </w:pPr>
      <w:r w:rsidRPr="00872BBE">
        <w:t xml:space="preserve">Failure to </w:t>
      </w:r>
      <w:r w:rsidR="00E80AF9">
        <w:t xml:space="preserve">Notify Commission of Changes to </w:t>
      </w:r>
      <w:r w:rsidRPr="00872BBE">
        <w:t>Antenna Structure Registration</w:t>
      </w:r>
      <w:r w:rsidR="00E80AF9">
        <w:t xml:space="preserve"> Information</w:t>
      </w:r>
      <w:r w:rsidR="00AC67BE" w:rsidRPr="0014786C">
        <w:t xml:space="preserve"> </w:t>
      </w:r>
    </w:p>
    <w:p w:rsidR="00F71FE7" w:rsidRDefault="00F71FE7" w:rsidP="00926B01">
      <w:pPr>
        <w:pStyle w:val="ParaNum"/>
        <w:rPr>
          <w:spacing w:val="-2"/>
        </w:rPr>
      </w:pPr>
      <w:r>
        <w:t xml:space="preserve">Section </w:t>
      </w:r>
      <w:r w:rsidRPr="003506D8">
        <w:t>17.57 of the Rules states that the “owner of an antenna structure for which an Antenna Structure Registration Number has been obtained must notify the Commission within 24 hours of completion of construction (FCC Form 854–R) and/or dismantlement (FCC Form 854).  The owner must also immediately notify the Commission using FCC Form 854 upon any change in structure height or change in ownership information.”</w:t>
      </w:r>
      <w:r w:rsidRPr="003506D8">
        <w:rPr>
          <w:rStyle w:val="FootnoteReference"/>
          <w:sz w:val="22"/>
          <w:szCs w:val="22"/>
        </w:rPr>
        <w:footnoteReference w:id="20"/>
      </w:r>
      <w:r w:rsidR="009F09C7">
        <w:t xml:space="preserve">  </w:t>
      </w:r>
      <w:r w:rsidR="00FE23FD" w:rsidRPr="00872BBE">
        <w:rPr>
          <w:spacing w:val="-2"/>
        </w:rPr>
        <w:t xml:space="preserve"> </w:t>
      </w:r>
    </w:p>
    <w:p w:rsidR="00C31012" w:rsidRPr="00E80AF9" w:rsidRDefault="008F642C" w:rsidP="00926B01">
      <w:pPr>
        <w:pStyle w:val="ParaNum"/>
        <w:rPr>
          <w:spacing w:val="-2"/>
        </w:rPr>
      </w:pPr>
      <w:r>
        <w:rPr>
          <w:spacing w:val="-2"/>
        </w:rPr>
        <w:t>As discussed above, o</w:t>
      </w:r>
      <w:r w:rsidR="00E80AF9">
        <w:rPr>
          <w:spacing w:val="-2"/>
        </w:rPr>
        <w:t xml:space="preserve">n April 19, 2011, </w:t>
      </w:r>
      <w:r>
        <w:t>JTC admitted</w:t>
      </w:r>
      <w:r w:rsidR="00AA6CDD">
        <w:t xml:space="preserve"> that antenna structure </w:t>
      </w:r>
      <w:r w:rsidR="00FF72B7">
        <w:t xml:space="preserve">number </w:t>
      </w:r>
      <w:r>
        <w:t xml:space="preserve">1060089 had been dismantled </w:t>
      </w:r>
      <w:r w:rsidR="00AA6CDD">
        <w:t>in 2006.  An agent from the Tampa Office informed JTC that it must submit an FCC Form 854 to notify the Commission of the structure’s dismantlement on April 19, 2011</w:t>
      </w:r>
      <w:r w:rsidR="009E0209">
        <w:t>,</w:t>
      </w:r>
      <w:r w:rsidR="00AA6CDD">
        <w:t xml:space="preserve"> an</w:t>
      </w:r>
      <w:r w:rsidR="00D97C83">
        <w:t xml:space="preserve">d </w:t>
      </w:r>
      <w:r w:rsidR="00E80AF9">
        <w:t xml:space="preserve">again on </w:t>
      </w:r>
      <w:r w:rsidR="00D97C83">
        <w:t>Ap</w:t>
      </w:r>
      <w:r w:rsidR="00CD261F">
        <w:t>ril 13, 2012.  As of</w:t>
      </w:r>
      <w:r w:rsidR="00E46CD0">
        <w:t xml:space="preserve"> October 25, 2013</w:t>
      </w:r>
      <w:r w:rsidR="00E80AF9">
        <w:t>, JTC had</w:t>
      </w:r>
      <w:r w:rsidR="00AA6CDD">
        <w:t xml:space="preserve"> not submitted an FCC Form 854 regarding antenna structure number 1060089’s dismantlement.  </w:t>
      </w:r>
      <w:r w:rsidR="00206B4D">
        <w:t>Based on the evidence before us, we find that JTC apparently willfully and repeatedly violated Section</w:t>
      </w:r>
      <w:r w:rsidR="00CB4AF7">
        <w:t xml:space="preserve">s </w:t>
      </w:r>
      <w:r w:rsidR="00206B4D">
        <w:t xml:space="preserve">17.57 of the Rules by failing to </w:t>
      </w:r>
      <w:r w:rsidR="00E80AF9">
        <w:t>not</w:t>
      </w:r>
      <w:r w:rsidR="00FB5D2C">
        <w:t>ify the Commission of</w:t>
      </w:r>
      <w:r w:rsidR="00CB4AF7">
        <w:t xml:space="preserve"> the dismantlement of antenna structure number 1060089</w:t>
      </w:r>
      <w:r w:rsidR="00C31012">
        <w:t>.</w:t>
      </w:r>
    </w:p>
    <w:p w:rsidR="00F46870" w:rsidRPr="00E80AF9" w:rsidRDefault="00F46870" w:rsidP="00455AFB">
      <w:pPr>
        <w:pStyle w:val="Heading2"/>
      </w:pPr>
      <w:r w:rsidRPr="00E80AF9">
        <w:t>Propose</w:t>
      </w:r>
      <w:r>
        <w:t>d Forfeiture</w:t>
      </w:r>
    </w:p>
    <w:p w:rsidR="00112D0C" w:rsidRPr="00D97386" w:rsidRDefault="00797F2A" w:rsidP="00926B01">
      <w:pPr>
        <w:pStyle w:val="ParaNum"/>
        <w:rPr>
          <w:spacing w:val="-2"/>
        </w:rPr>
      </w:pPr>
      <w:r w:rsidRPr="00797F2A">
        <w:rPr>
          <w:shd w:val="clear" w:color="auto" w:fill="FFFFFF"/>
        </w:rPr>
        <w:t>Section 503(b)(2)(D) of the Act</w:t>
      </w:r>
      <w:r>
        <w:rPr>
          <w:rStyle w:val="FootnoteReference"/>
          <w:color w:val="000000"/>
          <w:sz w:val="22"/>
          <w:szCs w:val="22"/>
          <w:shd w:val="clear" w:color="auto" w:fill="FFFFFF"/>
        </w:rPr>
        <w:footnoteReference w:id="21"/>
      </w:r>
      <w:r w:rsidRPr="00797F2A">
        <w:rPr>
          <w:rStyle w:val="apple-converted-space"/>
          <w:color w:val="000000"/>
          <w:szCs w:val="22"/>
          <w:shd w:val="clear" w:color="auto" w:fill="FFFFFF"/>
        </w:rPr>
        <w:t> </w:t>
      </w:r>
      <w:r w:rsidR="00282FAE">
        <w:rPr>
          <w:shd w:val="clear" w:color="auto" w:fill="FFFFFF"/>
        </w:rPr>
        <w:t>and Section 1.80(b)(</w:t>
      </w:r>
      <w:r w:rsidR="00D87C7F">
        <w:rPr>
          <w:shd w:val="clear" w:color="auto" w:fill="FFFFFF"/>
        </w:rPr>
        <w:t>7</w:t>
      </w:r>
      <w:r w:rsidRPr="00797F2A">
        <w:rPr>
          <w:shd w:val="clear" w:color="auto" w:fill="FFFFFF"/>
        </w:rPr>
        <w:t>) of the Rules</w:t>
      </w:r>
      <w:r w:rsidR="00282FAE">
        <w:rPr>
          <w:rStyle w:val="FootnoteReference"/>
          <w:color w:val="000000"/>
          <w:sz w:val="22"/>
          <w:szCs w:val="22"/>
          <w:shd w:val="clear" w:color="auto" w:fill="FFFFFF"/>
        </w:rPr>
        <w:footnoteReference w:id="22"/>
      </w:r>
      <w:r w:rsidRPr="00797F2A">
        <w:rPr>
          <w:rStyle w:val="apple-converted-space"/>
          <w:color w:val="000000"/>
          <w:szCs w:val="22"/>
          <w:shd w:val="clear" w:color="auto" w:fill="FFFFFF"/>
        </w:rPr>
        <w:t> </w:t>
      </w:r>
      <w:r w:rsidRPr="00797F2A">
        <w:rPr>
          <w:shd w:val="clear" w:color="auto" w:fill="FFFFFF"/>
        </w:rPr>
        <w:t xml:space="preserve">authorize the Commission to assess </w:t>
      </w:r>
      <w:r w:rsidR="003C6C3C">
        <w:rPr>
          <w:shd w:val="clear" w:color="auto" w:fill="FFFFFF"/>
        </w:rPr>
        <w:t>against entities</w:t>
      </w:r>
      <w:r w:rsidR="00A25CF4">
        <w:rPr>
          <w:shd w:val="clear" w:color="auto" w:fill="FFFFFF"/>
        </w:rPr>
        <w:t xml:space="preserve"> such as JTC – w</w:t>
      </w:r>
      <w:r w:rsidRPr="00797F2A">
        <w:rPr>
          <w:shd w:val="clear" w:color="auto" w:fill="FFFFFF"/>
        </w:rPr>
        <w:t>ho are not common carriers, broadcast licensees, or cable operators</w:t>
      </w:r>
      <w:r w:rsidR="00A25CF4">
        <w:rPr>
          <w:shd w:val="clear" w:color="auto" w:fill="FFFFFF"/>
        </w:rPr>
        <w:t xml:space="preserve"> – a </w:t>
      </w:r>
      <w:r w:rsidRPr="00797F2A">
        <w:rPr>
          <w:shd w:val="clear" w:color="auto" w:fill="FFFFFF"/>
        </w:rPr>
        <w:t>maximum</w:t>
      </w:r>
      <w:r>
        <w:rPr>
          <w:shd w:val="clear" w:color="auto" w:fill="FFFFFF"/>
        </w:rPr>
        <w:t xml:space="preserve"> forfeiture</w:t>
      </w:r>
      <w:r w:rsidRPr="00797F2A">
        <w:rPr>
          <w:rStyle w:val="apple-converted-space"/>
          <w:color w:val="000000"/>
          <w:szCs w:val="22"/>
          <w:shd w:val="clear" w:color="auto" w:fill="FFFFFF"/>
        </w:rPr>
        <w:t> </w:t>
      </w:r>
      <w:r w:rsidRPr="00797F2A">
        <w:rPr>
          <w:shd w:val="clear" w:color="auto" w:fill="FFFFFF"/>
        </w:rPr>
        <w:t>of $16,000 for each violation, or each day of a continuing violation, up to a statutory maximum of</w:t>
      </w:r>
      <w:r>
        <w:rPr>
          <w:shd w:val="clear" w:color="auto" w:fill="FFFFFF"/>
        </w:rPr>
        <w:t xml:space="preserve"> $112,500</w:t>
      </w:r>
      <w:r w:rsidRPr="00797F2A">
        <w:rPr>
          <w:rStyle w:val="apple-converted-space"/>
          <w:color w:val="000000"/>
          <w:szCs w:val="22"/>
          <w:shd w:val="clear" w:color="auto" w:fill="FFFFFF"/>
        </w:rPr>
        <w:t> </w:t>
      </w:r>
      <w:r w:rsidRPr="00797F2A">
        <w:rPr>
          <w:shd w:val="clear" w:color="auto" w:fill="FFFFFF"/>
        </w:rPr>
        <w:t>for any single</w:t>
      </w:r>
      <w:r w:rsidRPr="00797F2A">
        <w:rPr>
          <w:rStyle w:val="apple-converted-space"/>
          <w:color w:val="000000"/>
          <w:szCs w:val="22"/>
          <w:shd w:val="clear" w:color="auto" w:fill="FFFFFF"/>
        </w:rPr>
        <w:t> </w:t>
      </w:r>
      <w:r>
        <w:rPr>
          <w:rStyle w:val="apple-converted-space"/>
          <w:color w:val="000000"/>
          <w:szCs w:val="22"/>
          <w:shd w:val="clear" w:color="auto" w:fill="FFFFFF"/>
        </w:rPr>
        <w:t>continuing</w:t>
      </w:r>
      <w:r w:rsidRPr="00797F2A">
        <w:rPr>
          <w:rStyle w:val="apple-converted-space"/>
          <w:color w:val="000000"/>
          <w:szCs w:val="22"/>
          <w:shd w:val="clear" w:color="auto" w:fill="FFFFFF"/>
        </w:rPr>
        <w:t> </w:t>
      </w:r>
      <w:r w:rsidRPr="00797F2A">
        <w:rPr>
          <w:shd w:val="clear" w:color="auto" w:fill="FFFFFF"/>
        </w:rPr>
        <w:t>violation.</w:t>
      </w:r>
      <w:r w:rsidR="00D23B17">
        <w:rPr>
          <w:rStyle w:val="FootnoteReference"/>
          <w:color w:val="000000"/>
          <w:sz w:val="22"/>
          <w:szCs w:val="22"/>
          <w:shd w:val="clear" w:color="auto" w:fill="FFFFFF"/>
        </w:rPr>
        <w:footnoteReference w:id="23"/>
      </w:r>
      <w:r w:rsidR="00A25CF4">
        <w:rPr>
          <w:rStyle w:val="apple-converted-space"/>
          <w:rFonts w:ascii="Verdana" w:hAnsi="Verdana"/>
          <w:color w:val="000000"/>
          <w:shd w:val="clear" w:color="auto" w:fill="FFFFFF"/>
        </w:rPr>
        <w:t xml:space="preserve">  </w:t>
      </w:r>
      <w:r w:rsidR="007E2E05" w:rsidRPr="00112D0C">
        <w:rPr>
          <w:spacing w:val="-3"/>
        </w:rPr>
        <w:t>Pursuant</w:t>
      </w:r>
      <w:r w:rsidR="007E2E05" w:rsidRPr="00112D0C">
        <w:rPr>
          <w:spacing w:val="-2"/>
        </w:rPr>
        <w:t xml:space="preserve"> to the Commission’s</w:t>
      </w:r>
      <w:r w:rsidR="007E2E05" w:rsidRPr="00112D0C">
        <w:rPr>
          <w:i/>
          <w:spacing w:val="-2"/>
        </w:rPr>
        <w:t xml:space="preserve"> Forfeiture Policy Statement</w:t>
      </w:r>
      <w:r w:rsidR="00D57AE2" w:rsidRPr="00112D0C">
        <w:rPr>
          <w:spacing w:val="-2"/>
        </w:rPr>
        <w:t xml:space="preserve"> and S</w:t>
      </w:r>
      <w:r w:rsidR="007E2E05" w:rsidRPr="00112D0C">
        <w:rPr>
          <w:spacing w:val="-2"/>
        </w:rPr>
        <w:t>ection 1.80 of the Rules, the base forfeiture amount for</w:t>
      </w:r>
      <w:r w:rsidR="00050854" w:rsidRPr="00112D0C">
        <w:rPr>
          <w:spacing w:val="-2"/>
        </w:rPr>
        <w:t xml:space="preserve"> </w:t>
      </w:r>
      <w:bookmarkStart w:id="3" w:name="OLE_LINK1"/>
      <w:bookmarkStart w:id="4" w:name="OLE_LINK2"/>
      <w:r w:rsidR="00050854" w:rsidRPr="00112D0C">
        <w:rPr>
          <w:spacing w:val="-2"/>
        </w:rPr>
        <w:t>fail</w:t>
      </w:r>
      <w:bookmarkEnd w:id="3"/>
      <w:bookmarkEnd w:id="4"/>
      <w:r w:rsidR="00C31012" w:rsidRPr="00112D0C">
        <w:rPr>
          <w:spacing w:val="-2"/>
        </w:rPr>
        <w:t>ure</w:t>
      </w:r>
      <w:r w:rsidR="00050854" w:rsidRPr="00112D0C">
        <w:rPr>
          <w:spacing w:val="-2"/>
        </w:rPr>
        <w:t xml:space="preserve"> to </w:t>
      </w:r>
      <w:r w:rsidR="00A90E29" w:rsidRPr="00112D0C">
        <w:rPr>
          <w:spacing w:val="-2"/>
        </w:rPr>
        <w:t xml:space="preserve">comply with prescribed lighting </w:t>
      </w:r>
      <w:r w:rsidR="00C31012" w:rsidRPr="00112D0C">
        <w:rPr>
          <w:spacing w:val="-2"/>
        </w:rPr>
        <w:t xml:space="preserve">is $10,000 </w:t>
      </w:r>
      <w:r w:rsidR="00A90E29" w:rsidRPr="00112D0C">
        <w:rPr>
          <w:spacing w:val="-2"/>
        </w:rPr>
        <w:t xml:space="preserve">and </w:t>
      </w:r>
      <w:r w:rsidR="009919FD">
        <w:rPr>
          <w:spacing w:val="-2"/>
        </w:rPr>
        <w:t xml:space="preserve">the base forfeiture amount for </w:t>
      </w:r>
      <w:r w:rsidR="00A90E29" w:rsidRPr="00112D0C">
        <w:rPr>
          <w:spacing w:val="-2"/>
        </w:rPr>
        <w:t>failure to file required forms</w:t>
      </w:r>
      <w:r w:rsidR="00E80AF9" w:rsidRPr="00112D0C">
        <w:rPr>
          <w:spacing w:val="-2"/>
        </w:rPr>
        <w:t xml:space="preserve"> or information</w:t>
      </w:r>
      <w:r w:rsidR="009919FD">
        <w:rPr>
          <w:spacing w:val="-2"/>
        </w:rPr>
        <w:t>, including failure to notify the Commission of changes to antenna structure registration information,</w:t>
      </w:r>
      <w:r w:rsidR="00050854" w:rsidRPr="00112D0C">
        <w:rPr>
          <w:spacing w:val="-2"/>
        </w:rPr>
        <w:t xml:space="preserve"> is $</w:t>
      </w:r>
      <w:r w:rsidR="00A90E29" w:rsidRPr="00112D0C">
        <w:rPr>
          <w:spacing w:val="-2"/>
        </w:rPr>
        <w:t>3</w:t>
      </w:r>
      <w:r w:rsidR="00050854" w:rsidRPr="00112D0C">
        <w:rPr>
          <w:spacing w:val="-2"/>
        </w:rPr>
        <w:t>,000.</w:t>
      </w:r>
      <w:r w:rsidR="00050854" w:rsidRPr="00937484">
        <w:rPr>
          <w:rStyle w:val="FootnoteReference"/>
          <w:spacing w:val="-2"/>
          <w:sz w:val="22"/>
          <w:szCs w:val="22"/>
        </w:rPr>
        <w:footnoteReference w:id="24"/>
      </w:r>
      <w:r w:rsidR="00A25CF4">
        <w:rPr>
          <w:spacing w:val="-2"/>
        </w:rPr>
        <w:t xml:space="preserve">  </w:t>
      </w:r>
      <w:r w:rsidR="00050854" w:rsidRPr="00112D0C">
        <w:rPr>
          <w:spacing w:val="-2"/>
        </w:rPr>
        <w:t xml:space="preserve">In assessing the monetary forfeiture amount, we must also take into account the statutory factors </w:t>
      </w:r>
      <w:r w:rsidR="00D57AE2" w:rsidRPr="00112D0C">
        <w:rPr>
          <w:spacing w:val="-2"/>
        </w:rPr>
        <w:t>set forth in S</w:t>
      </w:r>
      <w:r w:rsidR="00D15A5F" w:rsidRPr="00112D0C">
        <w:rPr>
          <w:spacing w:val="-2"/>
        </w:rPr>
        <w:t>ection 503(b)(2)(E</w:t>
      </w:r>
      <w:r w:rsidR="00050854" w:rsidRPr="00112D0C">
        <w:rPr>
          <w:spacing w:val="-2"/>
        </w:rPr>
        <w:t>) of the Act, which include the nature, circumstances, extent, and gravity of the violations, and with respect to the violator</w:t>
      </w:r>
      <w:r w:rsidR="003E2AD5" w:rsidRPr="00112D0C">
        <w:rPr>
          <w:spacing w:val="-2"/>
        </w:rPr>
        <w:t>, the degree of culpability, any</w:t>
      </w:r>
      <w:r w:rsidR="00050854" w:rsidRPr="00112D0C">
        <w:rPr>
          <w:spacing w:val="-2"/>
        </w:rPr>
        <w:t xml:space="preserve"> history of prior offenses, ability to pay, and other such matters as justice may require.</w:t>
      </w:r>
      <w:r w:rsidR="00050854" w:rsidRPr="00937484">
        <w:rPr>
          <w:rStyle w:val="FootnoteReference"/>
          <w:spacing w:val="-2"/>
          <w:sz w:val="22"/>
          <w:szCs w:val="22"/>
        </w:rPr>
        <w:footnoteReference w:id="25"/>
      </w:r>
      <w:r w:rsidR="00D97386">
        <w:rPr>
          <w:spacing w:val="-2"/>
        </w:rPr>
        <w:t xml:space="preserve"> </w:t>
      </w:r>
    </w:p>
    <w:p w:rsidR="000C75E0" w:rsidRPr="004E7B99" w:rsidRDefault="001E1928" w:rsidP="00926B01">
      <w:pPr>
        <w:pStyle w:val="ParaNum"/>
      </w:pPr>
      <w:r>
        <w:t>A</w:t>
      </w:r>
      <w:r w:rsidR="00FB5D2C">
        <w:t xml:space="preserve">ntenna structure number </w:t>
      </w:r>
      <w:r w:rsidR="007241C5" w:rsidRPr="00112D0C">
        <w:t>1060089 was</w:t>
      </w:r>
      <w:r>
        <w:t xml:space="preserve"> dismantled in 2006</w:t>
      </w:r>
      <w:r w:rsidR="000A223D">
        <w:t>,</w:t>
      </w:r>
      <w:r>
        <w:t xml:space="preserve"> yet</w:t>
      </w:r>
      <w:r w:rsidR="00963C35" w:rsidRPr="00112D0C">
        <w:t xml:space="preserve"> JTC </w:t>
      </w:r>
      <w:r w:rsidR="007241C5" w:rsidRPr="00112D0C">
        <w:t xml:space="preserve">failed to submit an FCC Form 854 updating the ASR database for that structure for </w:t>
      </w:r>
      <w:r w:rsidR="00E80AF9" w:rsidRPr="00112D0C">
        <w:t xml:space="preserve">over </w:t>
      </w:r>
      <w:r w:rsidR="007241C5" w:rsidRPr="00112D0C">
        <w:t>six years</w:t>
      </w:r>
      <w:r>
        <w:t xml:space="preserve">.  </w:t>
      </w:r>
      <w:r w:rsidR="00597571">
        <w:t>B</w:t>
      </w:r>
      <w:r>
        <w:t>ased on the totality of the circumstances, we</w:t>
      </w:r>
      <w:r w:rsidR="007241C5" w:rsidRPr="00112D0C">
        <w:t xml:space="preserve"> find this violation warrant</w:t>
      </w:r>
      <w:r w:rsidR="009C64A7">
        <w:t>s</w:t>
      </w:r>
      <w:r w:rsidR="007241C5" w:rsidRPr="00112D0C">
        <w:t xml:space="preserve"> an upward adjustment </w:t>
      </w:r>
      <w:r w:rsidR="00E80AF9" w:rsidRPr="00112D0C">
        <w:t xml:space="preserve">to the base forfeiture in the amount </w:t>
      </w:r>
      <w:r w:rsidR="00CB4AF7">
        <w:t>of $6</w:t>
      </w:r>
      <w:r w:rsidR="007241C5" w:rsidRPr="00112D0C">
        <w:t>,000</w:t>
      </w:r>
      <w:r w:rsidR="00CB4AF7">
        <w:t>.</w:t>
      </w:r>
      <w:r w:rsidR="00715460">
        <w:t xml:space="preserve">  JTC’s violation regarding antenna structure number 1060089 demonstrates a deliberate disregard of the Commission’s rules</w:t>
      </w:r>
      <w:r w:rsidR="0098428E">
        <w:t xml:space="preserve"> that warrants stringent enforcement action</w:t>
      </w:r>
      <w:r w:rsidR="00715460">
        <w:t>.</w:t>
      </w:r>
      <w:r w:rsidR="0098428E">
        <w:t xml:space="preserve">  JTC failed to correct the violation for more than six years despite </w:t>
      </w:r>
      <w:r w:rsidR="0053504A">
        <w:t xml:space="preserve">several </w:t>
      </w:r>
      <w:r w:rsidR="00715460">
        <w:t>warnings from FCC agents to comp</w:t>
      </w:r>
      <w:r w:rsidR="0098428E">
        <w:t>ly with the registration rule.</w:t>
      </w:r>
      <w:r w:rsidR="00224BA3">
        <w:t xml:space="preserve">  In addition, the violation </w:t>
      </w:r>
      <w:r w:rsidR="00E46CD0">
        <w:t xml:space="preserve">left air traffic with no lighting to warn them of the existence of </w:t>
      </w:r>
      <w:r w:rsidR="004E7B99">
        <w:t>JTC’s</w:t>
      </w:r>
      <w:r w:rsidR="00A53F95">
        <w:t xml:space="preserve"> two remaining</w:t>
      </w:r>
      <w:r w:rsidR="004E7B99">
        <w:t xml:space="preserve"> antenna structures located in Pinellas Park.  The resulting risk </w:t>
      </w:r>
      <w:r w:rsidR="00E46CD0">
        <w:t xml:space="preserve">of two unlit structures </w:t>
      </w:r>
      <w:r w:rsidR="004E7B99">
        <w:t>to passing aircraft demands a significant upward adjustment.</w:t>
      </w:r>
      <w:r w:rsidR="00FB4A0A" w:rsidRPr="00BE0B4D">
        <w:rPr>
          <w:rStyle w:val="FootnoteReference"/>
          <w:spacing w:val="-2"/>
          <w:sz w:val="22"/>
          <w:szCs w:val="22"/>
        </w:rPr>
        <w:footnoteReference w:id="26"/>
      </w:r>
      <w:r w:rsidR="004E7B99">
        <w:t xml:space="preserve">  As a result, we propose a forfeiture in the amount of $9,000 for JTC’s failure to notify the Commission of the dismantlement of antenna structure number 1060089</w:t>
      </w:r>
      <w:r w:rsidR="008C1DB8" w:rsidRPr="004E7B99">
        <w:t>.</w:t>
      </w:r>
      <w:r w:rsidR="009C64A7">
        <w:rPr>
          <w:rStyle w:val="FootnoteReference"/>
          <w:sz w:val="22"/>
          <w:szCs w:val="22"/>
        </w:rPr>
        <w:footnoteReference w:id="27"/>
      </w:r>
      <w:r w:rsidR="008C1DB8" w:rsidRPr="004E7B99">
        <w:t xml:space="preserve"> </w:t>
      </w:r>
    </w:p>
    <w:p w:rsidR="000374F4" w:rsidRPr="00282FAE" w:rsidRDefault="00D97386" w:rsidP="00926B01">
      <w:pPr>
        <w:pStyle w:val="ParaNum"/>
      </w:pPr>
      <w:r w:rsidRPr="00282FAE">
        <w:t>The base forfeiture amount for the failure to install required lighting systems on an antenna structure is $10,000.</w:t>
      </w:r>
      <w:r w:rsidR="00F866C4" w:rsidRPr="00282FAE">
        <w:t xml:space="preserve">  As noted above, the antenna structure lighting provisions are designed to ensure that antenna structures are visible to air traffic.  </w:t>
      </w:r>
      <w:r w:rsidR="000374F4" w:rsidRPr="00282FAE">
        <w:t xml:space="preserve">Despite repeated warnings from the Tampa Office agents prior to and after the issuance of the new FAA </w:t>
      </w:r>
      <w:r w:rsidR="00B34188">
        <w:t>S</w:t>
      </w:r>
      <w:r w:rsidR="000374F4" w:rsidRPr="00282FAE">
        <w:t>tud</w:t>
      </w:r>
      <w:r w:rsidR="00A25CF4">
        <w:t>ies</w:t>
      </w:r>
      <w:r w:rsidR="000374F4" w:rsidRPr="00282FAE">
        <w:t xml:space="preserve"> in September 2011, </w:t>
      </w:r>
      <w:r w:rsidRPr="00282FAE">
        <w:t xml:space="preserve">JTC </w:t>
      </w:r>
      <w:r w:rsidR="000374F4" w:rsidRPr="00282FAE">
        <w:t>failed to</w:t>
      </w:r>
      <w:r w:rsidRPr="00282FAE">
        <w:t xml:space="preserve"> act promptly to install lighting systems </w:t>
      </w:r>
      <w:r w:rsidR="00F866C4" w:rsidRPr="00282FAE">
        <w:t>on antenna structure numbers</w:t>
      </w:r>
      <w:r w:rsidR="001E1928" w:rsidRPr="00282FAE">
        <w:t xml:space="preserve"> 1060088 and 1060090</w:t>
      </w:r>
      <w:r w:rsidR="000374F4" w:rsidRPr="00282FAE">
        <w:t>.  Indeed, as of</w:t>
      </w:r>
      <w:r w:rsidR="00CB4AF7">
        <w:t xml:space="preserve"> </w:t>
      </w:r>
      <w:r w:rsidR="00E46CD0">
        <w:t>October 28, 2013</w:t>
      </w:r>
      <w:r w:rsidR="001E1928" w:rsidRPr="00282FAE">
        <w:t xml:space="preserve">, </w:t>
      </w:r>
      <w:r w:rsidR="00797F2A" w:rsidRPr="00282FAE">
        <w:t>JTC’s viol</w:t>
      </w:r>
      <w:r w:rsidR="00CB4AF7">
        <w:t xml:space="preserve">ations </w:t>
      </w:r>
      <w:r w:rsidR="00422E17">
        <w:t xml:space="preserve">had continued </w:t>
      </w:r>
      <w:r w:rsidR="00CB4AF7">
        <w:t>for more than two years</w:t>
      </w:r>
      <w:r w:rsidR="00766DFA" w:rsidRPr="00282FAE">
        <w:t>.</w:t>
      </w:r>
      <w:r w:rsidR="00797F2A" w:rsidRPr="00282FAE">
        <w:t xml:space="preserve">  Accordingly</w:t>
      </w:r>
      <w:r w:rsidR="00A25CF4">
        <w:t>, by statute,</w:t>
      </w:r>
      <w:r w:rsidR="00797F2A" w:rsidRPr="00282FAE">
        <w:t xml:space="preserve"> we may</w:t>
      </w:r>
      <w:r w:rsidR="00282FAE" w:rsidRPr="00282FAE">
        <w:t xml:space="preserve"> propose a forfeiture penalty of up to $112,500 for each continuing violation.</w:t>
      </w:r>
      <w:r w:rsidR="006F3776">
        <w:rPr>
          <w:rStyle w:val="FootnoteReference"/>
          <w:sz w:val="22"/>
          <w:szCs w:val="22"/>
        </w:rPr>
        <w:footnoteReference w:id="28"/>
      </w:r>
      <w:r w:rsidR="00282FAE" w:rsidRPr="00282FAE">
        <w:t xml:space="preserve">  We conclude JTC’s actions were </w:t>
      </w:r>
      <w:r w:rsidR="009C64A7">
        <w:t xml:space="preserve">particularly </w:t>
      </w:r>
      <w:r w:rsidR="00282FAE" w:rsidRPr="00282FAE">
        <w:t>egregious</w:t>
      </w:r>
      <w:r w:rsidR="00A25CF4">
        <w:t xml:space="preserve"> – g</w:t>
      </w:r>
      <w:r w:rsidR="00282FAE" w:rsidRPr="00282FAE">
        <w:t>iven the potential public safety hazard</w:t>
      </w:r>
      <w:r w:rsidR="009C64A7">
        <w:t xml:space="preserve"> to air traffic</w:t>
      </w:r>
      <w:r w:rsidR="00282FAE" w:rsidRPr="00282FAE">
        <w:t>, and its blatant disregard for Commission authority</w:t>
      </w:r>
      <w:r w:rsidR="00A25CF4">
        <w:t xml:space="preserve"> – w</w:t>
      </w:r>
      <w:r w:rsidR="00282FAE" w:rsidRPr="00282FAE">
        <w:t xml:space="preserve">arranting forfeitures equal to the statutory maximum.  </w:t>
      </w:r>
      <w:r w:rsidR="00AD1202" w:rsidRPr="00282FAE">
        <w:t>Because t</w:t>
      </w:r>
      <w:r w:rsidR="001873E6">
        <w:t>he current FAA S</w:t>
      </w:r>
      <w:r w:rsidR="000374F4" w:rsidRPr="00282FAE">
        <w:t>tud</w:t>
      </w:r>
      <w:r w:rsidR="00A25CF4">
        <w:t>ies</w:t>
      </w:r>
      <w:r w:rsidR="000374F4" w:rsidRPr="00282FAE">
        <w:t xml:space="preserve"> and the Commission’s rules require that </w:t>
      </w:r>
      <w:r w:rsidR="000374F4" w:rsidRPr="00282FAE">
        <w:rPr>
          <w:i/>
        </w:rPr>
        <w:t>each</w:t>
      </w:r>
      <w:r w:rsidR="000374F4" w:rsidRPr="00282FAE">
        <w:t xml:space="preserve"> </w:t>
      </w:r>
      <w:r w:rsidR="000A223D">
        <w:t>antenna structure be lighted</w:t>
      </w:r>
      <w:r w:rsidR="00AD1202" w:rsidRPr="00282FAE">
        <w:t xml:space="preserve">, </w:t>
      </w:r>
      <w:r w:rsidR="000374F4" w:rsidRPr="00282FAE">
        <w:t>JTC’s failure to install lighting system</w:t>
      </w:r>
      <w:r w:rsidR="00AD1202" w:rsidRPr="00282FAE">
        <w:t xml:space="preserve">s </w:t>
      </w:r>
      <w:r w:rsidR="000374F4" w:rsidRPr="00282FAE">
        <w:t xml:space="preserve">on </w:t>
      </w:r>
      <w:r w:rsidR="00AD1202" w:rsidRPr="00282FAE">
        <w:t>two antenna</w:t>
      </w:r>
      <w:r w:rsidR="000374F4" w:rsidRPr="00282FAE">
        <w:t xml:space="preserve"> structures constitutes two separate violations</w:t>
      </w:r>
      <w:r w:rsidR="00AD1202" w:rsidRPr="00282FAE">
        <w:t>.  Thus, the proposed forfeiture for JTC’s antenna structure ligh</w:t>
      </w:r>
      <w:r w:rsidR="00282FAE" w:rsidRPr="00282FAE">
        <w:t xml:space="preserve">ting violations </w:t>
      </w:r>
      <w:r w:rsidR="00422E17">
        <w:t>is</w:t>
      </w:r>
      <w:r w:rsidR="00282FAE" w:rsidRPr="00282FAE">
        <w:t xml:space="preserve"> </w:t>
      </w:r>
      <w:r w:rsidR="00A25CF4">
        <w:t xml:space="preserve">the statutory maximum of </w:t>
      </w:r>
      <w:r w:rsidR="00282FAE" w:rsidRPr="00282FAE">
        <w:t>$112,500</w:t>
      </w:r>
      <w:r w:rsidR="00AD1202" w:rsidRPr="00282FAE">
        <w:t xml:space="preserve"> per structure, for a total </w:t>
      </w:r>
      <w:r w:rsidR="00F824FB" w:rsidRPr="00282FAE">
        <w:t xml:space="preserve">of </w:t>
      </w:r>
      <w:r w:rsidR="00AD1202" w:rsidRPr="00282FAE">
        <w:t>$</w:t>
      </w:r>
      <w:r w:rsidR="00282FAE" w:rsidRPr="00282FAE">
        <w:t>225,000</w:t>
      </w:r>
      <w:r w:rsidR="00AD1202" w:rsidRPr="00282FAE">
        <w:t xml:space="preserve">. </w:t>
      </w:r>
    </w:p>
    <w:p w:rsidR="00D97386" w:rsidRDefault="00F824FB" w:rsidP="00926B01">
      <w:pPr>
        <w:pStyle w:val="ParaNum"/>
      </w:pPr>
      <w:r>
        <w:t>Accordingly, a</w:t>
      </w:r>
      <w:r w:rsidR="00D97386" w:rsidRPr="000374F4">
        <w:t xml:space="preserve">pplying the </w:t>
      </w:r>
      <w:r w:rsidR="00D97386" w:rsidRPr="000374F4">
        <w:rPr>
          <w:i/>
        </w:rPr>
        <w:t>Forfeiture Policy Statement</w:t>
      </w:r>
      <w:r w:rsidR="00F866C4">
        <w:t xml:space="preserve">, Section 1.80 of the </w:t>
      </w:r>
      <w:r w:rsidR="00D97386" w:rsidRPr="000374F4">
        <w:t xml:space="preserve">Rules, and the statutory factors to the instant case, we conclude that JTC is apparently liable for a total forfeiture in the amount of </w:t>
      </w:r>
      <w:r w:rsidR="00CB4AF7">
        <w:t>$234</w:t>
      </w:r>
      <w:r w:rsidR="00D97386" w:rsidRPr="000374F4">
        <w:t>,000</w:t>
      </w:r>
      <w:r>
        <w:t xml:space="preserve">, consisting of the following: </w:t>
      </w:r>
      <w:r w:rsidR="005D110D">
        <w:t xml:space="preserve"> </w:t>
      </w:r>
      <w:r>
        <w:t>$</w:t>
      </w:r>
      <w:r w:rsidR="00282FAE">
        <w:t>225</w:t>
      </w:r>
      <w:r>
        <w:t>,000 for two antenna structure lighting violations and $</w:t>
      </w:r>
      <w:r w:rsidR="00CB4AF7">
        <w:t>9</w:t>
      </w:r>
      <w:r>
        <w:t>,000 for th</w:t>
      </w:r>
      <w:r w:rsidR="00410CFC">
        <w:t>e</w:t>
      </w:r>
      <w:r>
        <w:t xml:space="preserve"> antenna structure registration violation</w:t>
      </w:r>
      <w:r w:rsidR="000374F4">
        <w:t xml:space="preserve">. </w:t>
      </w:r>
    </w:p>
    <w:p w:rsidR="00E80AF9" w:rsidRPr="00E80AF9" w:rsidRDefault="00E80AF9" w:rsidP="00455AFB">
      <w:pPr>
        <w:pStyle w:val="Heading2"/>
        <w:rPr>
          <w:spacing w:val="-2"/>
        </w:rPr>
      </w:pPr>
      <w:r>
        <w:t xml:space="preserve">Reporting </w:t>
      </w:r>
      <w:r w:rsidR="00776BD8">
        <w:t xml:space="preserve">and Registration </w:t>
      </w:r>
      <w:r>
        <w:t>Requirement</w:t>
      </w:r>
      <w:r w:rsidR="00776BD8">
        <w:t>s</w:t>
      </w:r>
    </w:p>
    <w:p w:rsidR="00050854" w:rsidRPr="00582A6F" w:rsidRDefault="007241C5" w:rsidP="00926B01">
      <w:pPr>
        <w:pStyle w:val="ParaNum"/>
      </w:pPr>
      <w:bookmarkStart w:id="5" w:name="_Ref347509103"/>
      <w:r>
        <w:t>We direct JTC</w:t>
      </w:r>
      <w:r w:rsidRPr="007241C5">
        <w:t xml:space="preserve"> to submit a written statement, pursuant to Section 1.16 of the Rules,</w:t>
      </w:r>
      <w:r w:rsidRPr="00D45176">
        <w:rPr>
          <w:rStyle w:val="FootnoteReference"/>
          <w:spacing w:val="-2"/>
          <w:sz w:val="22"/>
          <w:szCs w:val="22"/>
        </w:rPr>
        <w:footnoteReference w:id="29"/>
      </w:r>
      <w:r w:rsidRPr="007241C5">
        <w:t xml:space="preserve"> signed under penalty of perjury by an officer or director of </w:t>
      </w:r>
      <w:r>
        <w:t xml:space="preserve">JTC, stating that </w:t>
      </w:r>
      <w:r w:rsidR="005A6D86">
        <w:t>it has notified</w:t>
      </w:r>
      <w:r w:rsidR="005A6D86" w:rsidRPr="007241C5">
        <w:t xml:space="preserve"> the FAA to ensure</w:t>
      </w:r>
      <w:r w:rsidR="005A6D86">
        <w:t xml:space="preserve"> that an active NOTAM remains in place for ante</w:t>
      </w:r>
      <w:r w:rsidR="005A6D86" w:rsidRPr="007241C5">
        <w:t xml:space="preserve">nna </w:t>
      </w:r>
      <w:r w:rsidR="005A6D86">
        <w:t>s</w:t>
      </w:r>
      <w:r w:rsidR="005A6D86" w:rsidRPr="007241C5">
        <w:t>tructure</w:t>
      </w:r>
      <w:r w:rsidR="005A6D86">
        <w:t xml:space="preserve"> numbers 1060088 and 1060090</w:t>
      </w:r>
      <w:r w:rsidR="005A6D86" w:rsidRPr="007241C5">
        <w:t xml:space="preserve"> until the </w:t>
      </w:r>
      <w:r w:rsidR="005A6D86">
        <w:t xml:space="preserve">necessary </w:t>
      </w:r>
      <w:r w:rsidR="005A6D86" w:rsidRPr="007241C5">
        <w:t xml:space="preserve">lights </w:t>
      </w:r>
      <w:r w:rsidR="005A6D86">
        <w:t xml:space="preserve">have been installed.  </w:t>
      </w:r>
      <w:r w:rsidR="005A6D86" w:rsidRPr="007241C5">
        <w:t xml:space="preserve">In addition, an officer or director of </w:t>
      </w:r>
      <w:r w:rsidR="005A6D86">
        <w:t>JTC</w:t>
      </w:r>
      <w:r w:rsidR="005A6D86" w:rsidRPr="007241C5">
        <w:t xml:space="preserve"> shall certify that</w:t>
      </w:r>
      <w:r w:rsidR="00582A6F">
        <w:t xml:space="preserve"> it has updated the ASR database:  (1) for antenna structure number 1060089 to reflect the structure’s dismantlement and (2) for antenna structure numbers 1060088 and 1060090 to reflect the requirements, including lighting, set forth in the FAA Studies issued on September 27, 2011.</w:t>
      </w:r>
      <w:r w:rsidR="00582A6F">
        <w:rPr>
          <w:rStyle w:val="FootnoteReference"/>
          <w:sz w:val="22"/>
          <w:szCs w:val="22"/>
        </w:rPr>
        <w:footnoteReference w:id="30"/>
      </w:r>
      <w:r w:rsidR="00582A6F">
        <w:t xml:space="preserve">  </w:t>
      </w:r>
      <w:r w:rsidRPr="00582A6F">
        <w:t>This statement</w:t>
      </w:r>
      <w:r w:rsidR="001040E1" w:rsidRPr="00582A6F">
        <w:t xml:space="preserve"> must be provided to the Tampa</w:t>
      </w:r>
      <w:r w:rsidRPr="00582A6F">
        <w:t xml:space="preserve"> Office at th</w:t>
      </w:r>
      <w:r w:rsidR="001040E1" w:rsidRPr="00582A6F">
        <w:t xml:space="preserve">e address listed in paragraph </w:t>
      </w:r>
      <w:r w:rsidR="00DD189C" w:rsidRPr="00582A6F">
        <w:t>2</w:t>
      </w:r>
      <w:r w:rsidR="007B66E4" w:rsidRPr="00582A6F">
        <w:t>0</w:t>
      </w:r>
      <w:r w:rsidR="00582A6F">
        <w:t xml:space="preserve"> within five (5</w:t>
      </w:r>
      <w:r w:rsidRPr="00582A6F">
        <w:t>) calendar days of the release date of this NAL.</w:t>
      </w:r>
      <w:bookmarkEnd w:id="5"/>
      <w:r w:rsidR="00582A6F">
        <w:t xml:space="preserve">  Failure to update the registrations in the ASR database for all three antenna structures may result in additional enforcement action.</w:t>
      </w:r>
    </w:p>
    <w:p w:rsidR="007B66E4" w:rsidRDefault="00582A6F" w:rsidP="00926B01">
      <w:pPr>
        <w:pStyle w:val="ParaNum"/>
      </w:pPr>
      <w:r>
        <w:t>We direct JTC</w:t>
      </w:r>
      <w:r w:rsidRPr="007241C5">
        <w:t xml:space="preserve"> to submit a written statement, pursuant to Section 1.16 of the Rules,</w:t>
      </w:r>
      <w:r w:rsidRPr="00D45176">
        <w:rPr>
          <w:rStyle w:val="FootnoteReference"/>
          <w:spacing w:val="-2"/>
          <w:sz w:val="22"/>
          <w:szCs w:val="22"/>
        </w:rPr>
        <w:footnoteReference w:id="31"/>
      </w:r>
      <w:r w:rsidRPr="007241C5">
        <w:t xml:space="preserve"> signed under penalty of perjury by an officer or director of </w:t>
      </w:r>
      <w:r>
        <w:t xml:space="preserve">JTC, stating that lights on antenna structure numbers </w:t>
      </w:r>
      <w:r w:rsidRPr="00D23B17">
        <w:t xml:space="preserve">1060088 and 1060090 </w:t>
      </w:r>
      <w:r>
        <w:t>have been installed and are being monitored as required.</w:t>
      </w:r>
      <w:r>
        <w:rPr>
          <w:rStyle w:val="FootnoteReference"/>
          <w:spacing w:val="-2"/>
          <w:sz w:val="22"/>
          <w:szCs w:val="22"/>
        </w:rPr>
        <w:footnoteReference w:id="32"/>
      </w:r>
      <w:r>
        <w:t xml:space="preserve">  </w:t>
      </w:r>
      <w:r w:rsidRPr="00582A6F">
        <w:t>This statement must be provided to the Tampa Office within thirty (30) calendar days of the release date of this NAL.</w:t>
      </w:r>
      <w:r w:rsidR="0053504A">
        <w:t xml:space="preserve"> </w:t>
      </w:r>
    </w:p>
    <w:p w:rsidR="00050854" w:rsidRPr="003F3CFD" w:rsidRDefault="00050854" w:rsidP="00926B01">
      <w:pPr>
        <w:pStyle w:val="Heading1"/>
      </w:pPr>
      <w:r w:rsidRPr="003F3CFD">
        <w:t>ORDERING CLAUSES</w:t>
      </w:r>
    </w:p>
    <w:p w:rsidR="001040E1" w:rsidRPr="001040E1" w:rsidRDefault="00050854" w:rsidP="00926B01">
      <w:pPr>
        <w:pStyle w:val="ParaNum"/>
      </w:pPr>
      <w:r w:rsidRPr="00E34AAE">
        <w:t>Accordingly</w:t>
      </w:r>
      <w:r w:rsidRPr="006C72D8">
        <w:t>,</w:t>
      </w:r>
      <w:r w:rsidRPr="00145224">
        <w:rPr>
          <w:b/>
        </w:rPr>
        <w:t xml:space="preserve"> IT IS ORDERED</w:t>
      </w:r>
      <w:r w:rsidR="003F3CFD">
        <w:t xml:space="preserve"> that</w:t>
      </w:r>
      <w:r w:rsidR="00D57AE2">
        <w:t>, pursuant to S</w:t>
      </w:r>
      <w:r w:rsidRPr="00E34AAE">
        <w:t>ection 503(b) of the Communication</w:t>
      </w:r>
      <w:r w:rsidR="00D57AE2">
        <w:t>s Act of 1934, as amended, and S</w:t>
      </w:r>
      <w:r w:rsidR="00410CFC">
        <w:t>ections 0.111</w:t>
      </w:r>
      <w:r w:rsidRPr="00E34AAE">
        <w:t xml:space="preserve"> </w:t>
      </w:r>
      <w:r w:rsidR="003E2AD5">
        <w:t>and 1.80 of the Commission’s r</w:t>
      </w:r>
      <w:r w:rsidRPr="00E34AAE">
        <w:t xml:space="preserve">ules, </w:t>
      </w:r>
      <w:r w:rsidR="00FF04A7">
        <w:t xml:space="preserve">Johnson Towers Corporation </w:t>
      </w:r>
      <w:r w:rsidRPr="00E34AAE">
        <w:t xml:space="preserve">is hereby </w:t>
      </w:r>
      <w:r w:rsidRPr="00145224">
        <w:rPr>
          <w:b/>
        </w:rPr>
        <w:t xml:space="preserve">NOTIFIED </w:t>
      </w:r>
      <w:r w:rsidRPr="00E34AAE">
        <w:t xml:space="preserve">of this </w:t>
      </w:r>
      <w:r w:rsidRPr="00145224">
        <w:rPr>
          <w:b/>
        </w:rPr>
        <w:t>APPARENT LIABILITY FOR A FORFEITURE</w:t>
      </w:r>
      <w:r w:rsidR="00484313">
        <w:rPr>
          <w:b/>
        </w:rPr>
        <w:t xml:space="preserve"> </w:t>
      </w:r>
      <w:r w:rsidRPr="00E34AAE">
        <w:t xml:space="preserve">in the amount of </w:t>
      </w:r>
      <w:r w:rsidR="00410CFC" w:rsidRPr="00D23B17">
        <w:t xml:space="preserve">two hundred </w:t>
      </w:r>
      <w:r w:rsidR="00410CFC">
        <w:t>and thirty-four</w:t>
      </w:r>
      <w:r w:rsidR="00410CFC" w:rsidRPr="00D23B17">
        <w:t xml:space="preserve"> thousand dollars </w:t>
      </w:r>
      <w:r w:rsidR="00776BD8" w:rsidRPr="00D23B17">
        <w:t>($</w:t>
      </w:r>
      <w:r w:rsidR="00776BD8">
        <w:t>234</w:t>
      </w:r>
      <w:r w:rsidR="00776BD8" w:rsidRPr="00D23B17">
        <w:t xml:space="preserve">,000) </w:t>
      </w:r>
      <w:r w:rsidRPr="00E34AAE">
        <w:t xml:space="preserve">for violations of </w:t>
      </w:r>
      <w:r w:rsidR="00D57AE2">
        <w:t>S</w:t>
      </w:r>
      <w:r w:rsidRPr="00E34AAE">
        <w:t>ection</w:t>
      </w:r>
      <w:r w:rsidR="001040E1">
        <w:t xml:space="preserve"> 303(q) of the Act and Sections</w:t>
      </w:r>
      <w:r w:rsidRPr="00E34AAE">
        <w:t xml:space="preserve"> </w:t>
      </w:r>
      <w:r w:rsidR="001040E1">
        <w:t>17.21(a)</w:t>
      </w:r>
      <w:r w:rsidR="00F33DC1">
        <w:t>, 17.23,</w:t>
      </w:r>
      <w:r w:rsidR="00FF04A7">
        <w:t xml:space="preserve"> and 17.57</w:t>
      </w:r>
      <w:r w:rsidRPr="00E34AAE">
        <w:t xml:space="preserve"> of the </w:t>
      </w:r>
      <w:r w:rsidR="001040E1">
        <w:t>Commission’s r</w:t>
      </w:r>
      <w:r w:rsidRPr="00E34AAE">
        <w:t>ules.</w:t>
      </w:r>
      <w:r w:rsidRPr="00E34AAE">
        <w:rPr>
          <w:rStyle w:val="FootnoteReference"/>
          <w:sz w:val="22"/>
          <w:szCs w:val="22"/>
        </w:rPr>
        <w:footnoteReference w:id="33"/>
      </w:r>
    </w:p>
    <w:p w:rsidR="001040E1" w:rsidRDefault="00050854" w:rsidP="00926B01">
      <w:pPr>
        <w:pStyle w:val="ParaNum"/>
      </w:pPr>
      <w:r w:rsidRPr="001040E1">
        <w:rPr>
          <w:b/>
        </w:rPr>
        <w:t>IT IS FURTHER ORDERED</w:t>
      </w:r>
      <w:r w:rsidRPr="001040E1">
        <w:t xml:space="preserve"> </w:t>
      </w:r>
      <w:r w:rsidR="003F3CFD" w:rsidRPr="001040E1">
        <w:t>that</w:t>
      </w:r>
      <w:r w:rsidR="00D57AE2" w:rsidRPr="001040E1">
        <w:t>, pursuant to S</w:t>
      </w:r>
      <w:r w:rsidR="003E2AD5" w:rsidRPr="001040E1">
        <w:t>ection 1.80 of the Commission’s r</w:t>
      </w:r>
      <w:r w:rsidRPr="001040E1">
        <w:t>ules</w:t>
      </w:r>
      <w:r w:rsidR="002C62DA" w:rsidRPr="001040E1">
        <w:t>,</w:t>
      </w:r>
      <w:r w:rsidRPr="001040E1">
        <w:t xml:space="preserve"> within thirty </w:t>
      </w:r>
      <w:r w:rsidR="003A7878" w:rsidRPr="001040E1">
        <w:t xml:space="preserve">(30) calendar </w:t>
      </w:r>
      <w:r w:rsidRPr="001040E1">
        <w:t>days of the release date of this Notice of Apparent Liability for Forfeiture</w:t>
      </w:r>
      <w:r w:rsidR="002C62DA" w:rsidRPr="001040E1">
        <w:t xml:space="preserve"> and Order</w:t>
      </w:r>
      <w:r w:rsidRPr="001040E1">
        <w:t xml:space="preserve">, </w:t>
      </w:r>
      <w:r w:rsidR="00FF04A7" w:rsidRPr="001040E1">
        <w:t>Johnson Towers Corporation</w:t>
      </w:r>
      <w:r w:rsidRPr="001040E1">
        <w:t xml:space="preserve"> </w:t>
      </w:r>
      <w:r w:rsidR="00145224" w:rsidRPr="001040E1">
        <w:rPr>
          <w:b/>
        </w:rPr>
        <w:t>SHALL PAY</w:t>
      </w:r>
      <w:r w:rsidRPr="001040E1">
        <w:t xml:space="preserve"> the full amount of the proposed forfeiture or </w:t>
      </w:r>
      <w:r w:rsidR="00145224" w:rsidRPr="001040E1">
        <w:rPr>
          <w:b/>
        </w:rPr>
        <w:t>SHALL FILE</w:t>
      </w:r>
      <w:r w:rsidRPr="001040E1">
        <w:t xml:space="preserve"> a written statement seeking reduction or cancellation of the proposed forfeiture.</w:t>
      </w:r>
    </w:p>
    <w:p w:rsidR="001040E1" w:rsidRPr="00582A6F" w:rsidRDefault="00A12D37" w:rsidP="00926B01">
      <w:pPr>
        <w:pStyle w:val="ParaNum"/>
        <w:rPr>
          <w:spacing w:val="-2"/>
        </w:rPr>
      </w:pPr>
      <w:bookmarkStart w:id="6" w:name="_Ref347509085"/>
      <w:r w:rsidRPr="001040E1">
        <w:rPr>
          <w:b/>
        </w:rPr>
        <w:t xml:space="preserve">IT IS FURTHER ORDERED </w:t>
      </w:r>
      <w:r w:rsidRPr="001040E1">
        <w:t xml:space="preserve">that </w:t>
      </w:r>
      <w:r w:rsidR="00FF04A7" w:rsidRPr="001040E1">
        <w:t>Johnson Towers Corporation</w:t>
      </w:r>
      <w:r w:rsidRPr="001040E1">
        <w:t xml:space="preserve"> </w:t>
      </w:r>
      <w:r w:rsidRPr="001040E1">
        <w:rPr>
          <w:b/>
        </w:rPr>
        <w:t>SHALL SUBMIT</w:t>
      </w:r>
      <w:r w:rsidRPr="001040E1">
        <w:t xml:space="preserve"> a written statem</w:t>
      </w:r>
      <w:r w:rsidR="00A20262">
        <w:t xml:space="preserve">ent, as described in paragraph </w:t>
      </w:r>
      <w:r w:rsidR="00DD189C">
        <w:t>1</w:t>
      </w:r>
      <w:r w:rsidR="007B66E4">
        <w:t>6</w:t>
      </w:r>
      <w:r w:rsidRPr="001040E1">
        <w:t xml:space="preserve">, </w:t>
      </w:r>
      <w:r w:rsidR="00582A6F">
        <w:t>within five (5</w:t>
      </w:r>
      <w:r w:rsidRPr="001040E1">
        <w:t>) calendar days of the release date of this Notice of Apparent Liability for Forfeiture and Order.  The statement must be mailed to Federal Communications Commission, Enforcement Bureau,</w:t>
      </w:r>
      <w:r w:rsidRPr="001040E1">
        <w:rPr>
          <w:spacing w:val="-2"/>
        </w:rPr>
        <w:t xml:space="preserve"> </w:t>
      </w:r>
      <w:r w:rsidR="00FF04A7" w:rsidRPr="001040E1">
        <w:rPr>
          <w:spacing w:val="-2"/>
        </w:rPr>
        <w:t>South Central</w:t>
      </w:r>
      <w:r w:rsidRPr="001040E1">
        <w:rPr>
          <w:spacing w:val="-2"/>
        </w:rPr>
        <w:t xml:space="preserve"> Region, </w:t>
      </w:r>
      <w:r w:rsidR="00FF04A7" w:rsidRPr="001040E1">
        <w:rPr>
          <w:spacing w:val="-2"/>
        </w:rPr>
        <w:t>Tampa Office, 4010 W Boy Scout Blvd., Suite 425, Tampa, FL 33607</w:t>
      </w:r>
      <w:r w:rsidR="001040E1">
        <w:rPr>
          <w:spacing w:val="-2"/>
        </w:rPr>
        <w:t>.</w:t>
      </w:r>
      <w:r w:rsidR="00FF04A7" w:rsidRPr="001040E1">
        <w:rPr>
          <w:b/>
          <w:spacing w:val="-2"/>
        </w:rPr>
        <w:t xml:space="preserve">  </w:t>
      </w:r>
      <w:r w:rsidR="00FF04A7" w:rsidRPr="001040E1">
        <w:rPr>
          <w:spacing w:val="-2"/>
        </w:rPr>
        <w:t>J</w:t>
      </w:r>
      <w:r w:rsidR="008B298C">
        <w:rPr>
          <w:spacing w:val="-2"/>
        </w:rPr>
        <w:t>ohnson Towers Corporation</w:t>
      </w:r>
      <w:r w:rsidR="00FF04A7" w:rsidRPr="001040E1">
        <w:rPr>
          <w:b/>
          <w:spacing w:val="-2"/>
        </w:rPr>
        <w:t xml:space="preserve"> </w:t>
      </w:r>
      <w:r w:rsidRPr="001040E1">
        <w:rPr>
          <w:spacing w:val="-2"/>
        </w:rPr>
        <w:t>shall also e</w:t>
      </w:r>
      <w:r w:rsidR="00F30E61" w:rsidRPr="001040E1">
        <w:rPr>
          <w:spacing w:val="-2"/>
        </w:rPr>
        <w:t>-</w:t>
      </w:r>
      <w:r w:rsidRPr="001040E1">
        <w:rPr>
          <w:spacing w:val="-2"/>
        </w:rPr>
        <w:t>mail the written statement to</w:t>
      </w:r>
      <w:r w:rsidRPr="001040E1">
        <w:t xml:space="preserve"> </w:t>
      </w:r>
      <w:r w:rsidR="00582A6F" w:rsidRPr="00582A6F">
        <w:t>SCR-Response@fcc.gov</w:t>
      </w:r>
      <w:r w:rsidR="005566EA" w:rsidRPr="001040E1">
        <w:t>.</w:t>
      </w:r>
      <w:bookmarkEnd w:id="6"/>
    </w:p>
    <w:p w:rsidR="00582A6F" w:rsidRPr="00582A6F" w:rsidRDefault="00582A6F" w:rsidP="00926B01">
      <w:pPr>
        <w:pStyle w:val="ParaNum"/>
        <w:rPr>
          <w:spacing w:val="-2"/>
        </w:rPr>
      </w:pPr>
      <w:r w:rsidRPr="001040E1">
        <w:rPr>
          <w:b/>
        </w:rPr>
        <w:t xml:space="preserve">IT IS FURTHER ORDERED </w:t>
      </w:r>
      <w:r w:rsidRPr="001040E1">
        <w:t xml:space="preserve">that Johnson Towers Corporation </w:t>
      </w:r>
      <w:r w:rsidRPr="001040E1">
        <w:rPr>
          <w:b/>
        </w:rPr>
        <w:t>SHALL SUBMIT</w:t>
      </w:r>
      <w:r w:rsidRPr="001040E1">
        <w:t xml:space="preserve"> a written statem</w:t>
      </w:r>
      <w:r>
        <w:t>ent, as described in paragraph 17</w:t>
      </w:r>
      <w:r w:rsidRPr="001040E1">
        <w:t xml:space="preserve">, </w:t>
      </w:r>
      <w:r>
        <w:t>within thirty (30</w:t>
      </w:r>
      <w:r w:rsidRPr="001040E1">
        <w:t>) calendar days of the release date of this Notice of Apparent Liability for Forfeiture and Order.  The statement must be mailed to Federal Communications Commission, Enforcement Bureau,</w:t>
      </w:r>
      <w:r w:rsidRPr="001040E1">
        <w:rPr>
          <w:spacing w:val="-2"/>
        </w:rPr>
        <w:t xml:space="preserve"> South Central Region, Tampa Office, 4010 W Boy Scout Blvd., Suite 425, Tampa, FL 33607</w:t>
      </w:r>
      <w:r>
        <w:rPr>
          <w:spacing w:val="-2"/>
        </w:rPr>
        <w:t>.</w:t>
      </w:r>
      <w:r w:rsidRPr="001040E1">
        <w:rPr>
          <w:b/>
          <w:spacing w:val="-2"/>
        </w:rPr>
        <w:t xml:space="preserve">  </w:t>
      </w:r>
      <w:r w:rsidRPr="001040E1">
        <w:rPr>
          <w:spacing w:val="-2"/>
        </w:rPr>
        <w:t>J</w:t>
      </w:r>
      <w:r>
        <w:rPr>
          <w:spacing w:val="-2"/>
        </w:rPr>
        <w:t>ohnson Towers Corporation</w:t>
      </w:r>
      <w:r w:rsidRPr="001040E1">
        <w:rPr>
          <w:b/>
          <w:spacing w:val="-2"/>
        </w:rPr>
        <w:t xml:space="preserve"> </w:t>
      </w:r>
      <w:r w:rsidRPr="001040E1">
        <w:rPr>
          <w:spacing w:val="-2"/>
        </w:rPr>
        <w:t>shall also e-mail the written statement to</w:t>
      </w:r>
      <w:r w:rsidRPr="001040E1">
        <w:t xml:space="preserve"> </w:t>
      </w:r>
      <w:r w:rsidRPr="00776BD8">
        <w:t>SCR-Response@fcc.gov</w:t>
      </w:r>
      <w:r w:rsidRPr="001040E1">
        <w:t>.</w:t>
      </w:r>
    </w:p>
    <w:p w:rsidR="006A5908" w:rsidRPr="00EE1248" w:rsidRDefault="006A5908" w:rsidP="00926B01">
      <w:pPr>
        <w:pStyle w:val="ParaNum"/>
        <w:rPr>
          <w:rFonts w:eastAsia="MS Mincho"/>
        </w:rPr>
      </w:pPr>
      <w:r w:rsidRPr="00EE1248">
        <w:rPr>
          <w:rFonts w:eastAsia="MS Mincho"/>
        </w:rPr>
        <w:t>Payment of the forfeiture must be made by check or similar instrument, wire transfer, or credit card, an</w:t>
      </w:r>
      <w:r w:rsidR="00377F5F">
        <w:rPr>
          <w:rFonts w:eastAsia="MS Mincho"/>
        </w:rPr>
        <w:t>d must include the NAL/Account N</w:t>
      </w:r>
      <w:r w:rsidRPr="00EE1248">
        <w:rPr>
          <w:rFonts w:eastAsia="MS Mincho"/>
        </w:rPr>
        <w:t xml:space="preserve">umber and FRN referenced </w:t>
      </w:r>
      <w:r>
        <w:rPr>
          <w:rFonts w:eastAsia="MS Mincho"/>
        </w:rPr>
        <w:t xml:space="preserve">above.  Johnson Towers Corporation </w:t>
      </w:r>
      <w:r w:rsidR="008B298C">
        <w:t>sha</w:t>
      </w:r>
      <w:r w:rsidRPr="00050100">
        <w:t xml:space="preserve">ll also send electronic notification </w:t>
      </w:r>
      <w:r w:rsidR="008B298C">
        <w:t>of</w:t>
      </w:r>
      <w:r w:rsidRPr="00050100">
        <w:t xml:space="preserve"> payment to</w:t>
      </w:r>
      <w:r>
        <w:t xml:space="preserve"> </w:t>
      </w:r>
      <w:r w:rsidRPr="00410CFC">
        <w:t>SCR-Response@fcc.gov</w:t>
      </w:r>
      <w:r w:rsidR="008B298C">
        <w:t xml:space="preserve"> on the date said payment is made</w:t>
      </w:r>
      <w:r w:rsidRPr="00910DA4">
        <w:t>.</w:t>
      </w:r>
      <w:r w:rsidRPr="00910DA4">
        <w:rPr>
          <w:rFonts w:eastAsia="MS Mincho"/>
        </w:rPr>
        <w:t xml:space="preserve">  </w:t>
      </w:r>
      <w:r w:rsidRPr="00050100">
        <w:rPr>
          <w:rFonts w:eastAsia="MS Mincho"/>
        </w:rPr>
        <w:t>Regardless of the form of payment, a completed FCC Form 159 (Remittance Advice) must be submitted.</w:t>
      </w:r>
      <w:r w:rsidRPr="00050100">
        <w:rPr>
          <w:rStyle w:val="FootnoteReference"/>
          <w:rFonts w:eastAsia="MS Mincho" w:cs="Arial"/>
          <w:sz w:val="22"/>
          <w:szCs w:val="22"/>
        </w:rPr>
        <w:footnoteReference w:id="34"/>
      </w:r>
      <w:r w:rsidRPr="00050100">
        <w:rPr>
          <w:rFonts w:eastAsia="MS Mincho"/>
        </w:rPr>
        <w:t xml:space="preserve">  When completing the FCC Form 159, enter the</w:t>
      </w:r>
      <w:r w:rsidRPr="00EE1248">
        <w:rPr>
          <w:rFonts w:eastAsia="MS Mincho"/>
        </w:rPr>
        <w:t xml:space="preserve"> Account Number in block number 23A (call sign/other ID) and enter the letters “FORF” in block number 24A (payment type code).  </w:t>
      </w:r>
      <w:r w:rsidRPr="00EE1248">
        <w:rPr>
          <w:color w:val="000000"/>
        </w:rPr>
        <w:t>Below are additional instructions you should follow based on the form of payment you select:</w:t>
      </w:r>
    </w:p>
    <w:p w:rsidR="006A5908" w:rsidRPr="00EE1248" w:rsidRDefault="006A5908" w:rsidP="006F126E">
      <w:pPr>
        <w:pStyle w:val="ParaNum"/>
        <w:widowControl/>
        <w:numPr>
          <w:ilvl w:val="0"/>
          <w:numId w:val="28"/>
        </w:numPr>
        <w:rPr>
          <w:rFonts w:eastAsia="MS Mincho"/>
          <w:szCs w:val="22"/>
        </w:rPr>
      </w:pPr>
      <w:r w:rsidRPr="00EE1248">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6A5908" w:rsidRPr="00EE1248" w:rsidRDefault="006A5908" w:rsidP="006F126E">
      <w:pPr>
        <w:pStyle w:val="ParaNum"/>
        <w:widowControl/>
        <w:numPr>
          <w:ilvl w:val="0"/>
          <w:numId w:val="28"/>
        </w:numPr>
        <w:rPr>
          <w:rFonts w:eastAsia="MS Mincho"/>
          <w:szCs w:val="22"/>
        </w:rPr>
      </w:pPr>
      <w:r w:rsidRPr="00EE1248">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6A5908" w:rsidRDefault="006A5908" w:rsidP="0060037B">
      <w:pPr>
        <w:pStyle w:val="ParaNum"/>
        <w:widowControl/>
        <w:numPr>
          <w:ilvl w:val="0"/>
          <w:numId w:val="28"/>
        </w:numPr>
        <w:rPr>
          <w:rFonts w:eastAsia="MS Mincho"/>
          <w:szCs w:val="22"/>
        </w:rPr>
      </w:pPr>
      <w:r w:rsidRPr="00EE1248">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1040E1" w:rsidRPr="001040E1" w:rsidRDefault="006A5908" w:rsidP="00926B01">
      <w:pPr>
        <w:pStyle w:val="ParaNum"/>
        <w:rPr>
          <w:spacing w:val="-2"/>
        </w:rPr>
      </w:pPr>
      <w:r w:rsidRPr="00C03BAF">
        <w:t xml:space="preserve">Any request for </w:t>
      </w:r>
      <w:r w:rsidR="001A4BB7">
        <w:t xml:space="preserve">making </w:t>
      </w:r>
      <w:r w:rsidRPr="00C03BAF">
        <w:t xml:space="preserve">full payment </w:t>
      </w:r>
      <w:r w:rsidR="001A4BB7">
        <w:t xml:space="preserve">over time </w:t>
      </w:r>
      <w:r w:rsidRPr="00C03BAF">
        <w:rPr>
          <w:rFonts w:cs="Arial"/>
        </w:rPr>
        <w:t>under</w:t>
      </w:r>
      <w:r w:rsidRPr="00C03BAF">
        <w:t xml:space="preserve"> an installment plan should be sent to:  Chief Financial Officer—Financial Operations, </w:t>
      </w:r>
      <w:r w:rsidRPr="00C03BAF">
        <w:rPr>
          <w:rFonts w:cs="Arial"/>
        </w:rPr>
        <w:t>Federal</w:t>
      </w:r>
      <w:r w:rsidRPr="00C03BAF">
        <w:t xml:space="preserve"> Communications Commission, 445 12th Street, S.W., Room 1-A625, Washington, D.C.  20554.</w:t>
      </w:r>
      <w:r w:rsidRPr="00C03BAF">
        <w:rPr>
          <w:rStyle w:val="FootnoteReference"/>
          <w:rFonts w:eastAsia="MS Mincho"/>
          <w:sz w:val="22"/>
          <w:szCs w:val="22"/>
        </w:rPr>
        <w:footnoteReference w:id="35"/>
      </w:r>
      <w:r w:rsidRPr="00C03BAF">
        <w:t>  If you have questions regarding payment procedures, please contact the Financial Operations Group Help Desk by phone, 1-877-480-3201, or by e</w:t>
      </w:r>
      <w:r w:rsidRPr="00C03BAF">
        <w:noBreakHyphen/>
        <w:t xml:space="preserve">mail, </w:t>
      </w:r>
      <w:r w:rsidRPr="00410CFC">
        <w:rPr>
          <w:rFonts w:cs="Arial"/>
        </w:rPr>
        <w:t>ARINQUIRIES@fcc.gov</w:t>
      </w:r>
      <w:r w:rsidRPr="00910DA4">
        <w:rPr>
          <w:rFonts w:cs="Arial"/>
        </w:rPr>
        <w:t>.</w:t>
      </w:r>
    </w:p>
    <w:p w:rsidR="001040E1" w:rsidRDefault="007E2E05" w:rsidP="00926B01">
      <w:pPr>
        <w:pStyle w:val="ParaNum"/>
        <w:rPr>
          <w:spacing w:val="-2"/>
        </w:rPr>
      </w:pPr>
      <w:r w:rsidRPr="001040E1">
        <w:t>The written statement seeking reduction or cancellation of the proposed forfeiture, if any, must include a detailed factual statement supported by appropriate documentat</w:t>
      </w:r>
      <w:r w:rsidR="00D57AE2" w:rsidRPr="001040E1">
        <w:t>ion and affidavits pursuant to S</w:t>
      </w:r>
      <w:r w:rsidRPr="001040E1">
        <w:t xml:space="preserve">ections </w:t>
      </w:r>
      <w:r w:rsidR="00F30E61" w:rsidRPr="001040E1">
        <w:t xml:space="preserve">1.16 and </w:t>
      </w:r>
      <w:r w:rsidRPr="001040E1">
        <w:t>1.80(f)(3) of the Rules.</w:t>
      </w:r>
      <w:r w:rsidR="003E2AD5">
        <w:rPr>
          <w:rStyle w:val="FootnoteReference"/>
          <w:sz w:val="22"/>
          <w:szCs w:val="22"/>
        </w:rPr>
        <w:footnoteReference w:id="36"/>
      </w:r>
      <w:r w:rsidRPr="001040E1">
        <w:t xml:space="preserve">  Mail the written statement to Federal Communications Commission, Enforcement Bureau,</w:t>
      </w:r>
      <w:r w:rsidR="00050854" w:rsidRPr="001040E1">
        <w:rPr>
          <w:spacing w:val="-2"/>
        </w:rPr>
        <w:t xml:space="preserve"> </w:t>
      </w:r>
      <w:r w:rsidR="00FF04A7" w:rsidRPr="001040E1">
        <w:rPr>
          <w:spacing w:val="-2"/>
        </w:rPr>
        <w:t xml:space="preserve">South Central Region, Tampa Office, 4010 W Boy Scout Blvd., Suite 425, Tampa, FL 33607, </w:t>
      </w:r>
      <w:r w:rsidR="00050854" w:rsidRPr="001040E1">
        <w:rPr>
          <w:spacing w:val="-2"/>
        </w:rPr>
        <w:t>and include the NAL/Acct. No. referenced in the caption.</w:t>
      </w:r>
      <w:r w:rsidR="00683F6F" w:rsidRPr="001040E1">
        <w:rPr>
          <w:spacing w:val="-2"/>
        </w:rPr>
        <w:t xml:space="preserve">  </w:t>
      </w:r>
      <w:r w:rsidR="00FF04A7" w:rsidRPr="001040E1">
        <w:rPr>
          <w:spacing w:val="-2"/>
        </w:rPr>
        <w:t>Johnson Tower</w:t>
      </w:r>
      <w:r w:rsidR="008B298C">
        <w:rPr>
          <w:spacing w:val="-2"/>
        </w:rPr>
        <w:t>s</w:t>
      </w:r>
      <w:r w:rsidR="00FF04A7" w:rsidRPr="001040E1">
        <w:rPr>
          <w:spacing w:val="-2"/>
        </w:rPr>
        <w:t xml:space="preserve"> Corporation</w:t>
      </w:r>
      <w:r w:rsidR="00683F6F" w:rsidRPr="001040E1">
        <w:rPr>
          <w:spacing w:val="-2"/>
        </w:rPr>
        <w:t xml:space="preserve"> </w:t>
      </w:r>
      <w:r w:rsidR="005F67D7" w:rsidRPr="001040E1">
        <w:rPr>
          <w:spacing w:val="-2"/>
        </w:rPr>
        <w:t xml:space="preserve">also </w:t>
      </w:r>
      <w:r w:rsidR="00683F6F" w:rsidRPr="001040E1">
        <w:rPr>
          <w:spacing w:val="-2"/>
        </w:rPr>
        <w:t>shall e</w:t>
      </w:r>
      <w:r w:rsidR="001040E1">
        <w:rPr>
          <w:spacing w:val="-2"/>
        </w:rPr>
        <w:t>-</w:t>
      </w:r>
      <w:r w:rsidR="00683F6F" w:rsidRPr="001040E1">
        <w:rPr>
          <w:spacing w:val="-2"/>
        </w:rPr>
        <w:t xml:space="preserve">mail the written response to </w:t>
      </w:r>
      <w:r w:rsidR="00683F6F" w:rsidRPr="00410CFC">
        <w:t>SCR-Response@fcc.gov</w:t>
      </w:r>
      <w:r w:rsidR="005566EA" w:rsidRPr="001040E1">
        <w:t>.</w:t>
      </w:r>
    </w:p>
    <w:p w:rsidR="005D110D" w:rsidRDefault="00050854" w:rsidP="00926B01">
      <w:pPr>
        <w:pStyle w:val="ParaNum"/>
      </w:pPr>
      <w:r w:rsidRPr="001040E1">
        <w:t xml:space="preserve">The Commission will not consider reducing or canceling a forfeiture in response to a claim of inability to pay unless the petitioner submits: </w:t>
      </w:r>
      <w:r w:rsidR="00F30E61" w:rsidRPr="001040E1">
        <w:t xml:space="preserve"> </w:t>
      </w:r>
      <w:r w:rsidRPr="001040E1">
        <w:t>(1) federal tax returns for the most recent three-year period; (2) financial statements prepared according to generally accepted accounting pr</w:t>
      </w:r>
      <w:r w:rsidR="00534203">
        <w:t>inciple</w:t>
      </w:r>
      <w:r w:rsidRPr="001040E1">
        <w:t>s (GAAP); or (3) some other reliable and objective documentation that accurately reflects the petitioner’s current financial status.  Any claim of inability to pay must specifically identify the basis for the claim by reference to the financial documentation submitted.</w:t>
      </w:r>
    </w:p>
    <w:p w:rsidR="00050854" w:rsidRPr="005D110D" w:rsidRDefault="00050854" w:rsidP="00926B01">
      <w:pPr>
        <w:pStyle w:val="ParaNum"/>
      </w:pPr>
      <w:r w:rsidRPr="005D110D">
        <w:rPr>
          <w:b/>
        </w:rPr>
        <w:t>IT IS FURTHER ORDERED</w:t>
      </w:r>
      <w:r w:rsidRPr="005D110D">
        <w:t xml:space="preserve"> </w:t>
      </w:r>
      <w:r w:rsidR="003F3CFD" w:rsidRPr="005D110D">
        <w:t>that</w:t>
      </w:r>
      <w:r w:rsidRPr="005D110D">
        <w:t xml:space="preserve"> a copy of this Notice of Apparent Liability for Forfeiture </w:t>
      </w:r>
      <w:r w:rsidR="001040E1" w:rsidRPr="005D110D">
        <w:t>and Order</w:t>
      </w:r>
      <w:r w:rsidR="00337B75" w:rsidRPr="005D110D">
        <w:t xml:space="preserve"> </w:t>
      </w:r>
      <w:r w:rsidRPr="005D110D">
        <w:t xml:space="preserve">shall be sent by </w:t>
      </w:r>
      <w:r w:rsidR="00683F6F" w:rsidRPr="005D110D">
        <w:t xml:space="preserve">both </w:t>
      </w:r>
      <w:r w:rsidRPr="005D110D">
        <w:t xml:space="preserve">Certified Mail, Return Receipt Requested, and </w:t>
      </w:r>
      <w:r w:rsidR="001040E1" w:rsidRPr="005D110D">
        <w:t>First Class M</w:t>
      </w:r>
      <w:r w:rsidRPr="005D110D">
        <w:t xml:space="preserve">ail to </w:t>
      </w:r>
      <w:r w:rsidR="00FF04A7" w:rsidRPr="005D110D">
        <w:t>Johnson Towers Corporation at 9661 82</w:t>
      </w:r>
      <w:r w:rsidR="00FF04A7" w:rsidRPr="005D110D">
        <w:rPr>
          <w:vertAlign w:val="superscript"/>
        </w:rPr>
        <w:t>nd</w:t>
      </w:r>
      <w:r w:rsidR="00FF04A7" w:rsidRPr="005D110D">
        <w:t xml:space="preserve"> Avenue North, Seminole, FL 33777-2736</w:t>
      </w:r>
      <w:r w:rsidR="001040E1" w:rsidRPr="005D110D">
        <w:t>.</w:t>
      </w:r>
      <w:r w:rsidRPr="005D110D">
        <w:rPr>
          <w:b/>
          <w:color w:val="FF00FF"/>
        </w:rPr>
        <w:t xml:space="preserve"> </w:t>
      </w:r>
    </w:p>
    <w:p w:rsidR="00050854" w:rsidRPr="00E34AAE" w:rsidRDefault="00050854" w:rsidP="00D23B17">
      <w:pPr>
        <w:keepNext/>
        <w:widowControl/>
        <w:tabs>
          <w:tab w:val="left" w:pos="0"/>
          <w:tab w:val="num" w:pos="1440"/>
        </w:tabs>
        <w:suppressAutoHyphens/>
        <w:spacing w:line="240" w:lineRule="atLeast"/>
        <w:jc w:val="both"/>
        <w:rPr>
          <w:spacing w:val="-2"/>
          <w:szCs w:val="22"/>
        </w:rPr>
      </w:pPr>
    </w:p>
    <w:p w:rsidR="00050854" w:rsidRPr="00E34AAE" w:rsidRDefault="00331410" w:rsidP="00D23B17">
      <w:pPr>
        <w:keepNext/>
        <w:widowControl/>
        <w:tabs>
          <w:tab w:val="left" w:pos="0"/>
          <w:tab w:val="num" w:pos="1440"/>
        </w:tabs>
        <w:suppressAutoHyphens/>
        <w:spacing w:line="240" w:lineRule="atLeast"/>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sidR="00050854" w:rsidRPr="00E34AAE">
        <w:rPr>
          <w:spacing w:val="-2"/>
          <w:szCs w:val="22"/>
        </w:rPr>
        <w:t>FEDERAL COMMUNICATIONS COMMISSION</w:t>
      </w:r>
    </w:p>
    <w:p w:rsidR="00050854" w:rsidRPr="00E34AAE" w:rsidRDefault="00050854" w:rsidP="00D23B17">
      <w:pPr>
        <w:keepNext/>
        <w:widowControl/>
        <w:tabs>
          <w:tab w:val="left" w:pos="0"/>
          <w:tab w:val="num" w:pos="1440"/>
        </w:tabs>
        <w:suppressAutoHyphens/>
        <w:spacing w:line="240" w:lineRule="atLeast"/>
        <w:jc w:val="both"/>
        <w:rPr>
          <w:spacing w:val="-2"/>
          <w:szCs w:val="22"/>
        </w:rPr>
      </w:pPr>
    </w:p>
    <w:p w:rsidR="00050854" w:rsidRDefault="00050854" w:rsidP="00D23B17">
      <w:pPr>
        <w:keepNext/>
        <w:widowControl/>
        <w:tabs>
          <w:tab w:val="left" w:pos="0"/>
          <w:tab w:val="num" w:pos="1440"/>
        </w:tabs>
        <w:suppressAutoHyphens/>
        <w:spacing w:line="240" w:lineRule="atLeast"/>
        <w:jc w:val="both"/>
        <w:rPr>
          <w:spacing w:val="-2"/>
          <w:szCs w:val="22"/>
        </w:rPr>
      </w:pPr>
    </w:p>
    <w:p w:rsidR="00050854" w:rsidRPr="00E34AAE" w:rsidRDefault="00050854" w:rsidP="00D23B17">
      <w:pPr>
        <w:keepNext/>
        <w:widowControl/>
        <w:tabs>
          <w:tab w:val="left" w:pos="0"/>
          <w:tab w:val="num" w:pos="1440"/>
        </w:tabs>
        <w:suppressAutoHyphens/>
        <w:spacing w:line="240" w:lineRule="atLeast"/>
        <w:jc w:val="both"/>
        <w:rPr>
          <w:spacing w:val="-2"/>
          <w:szCs w:val="22"/>
        </w:rPr>
      </w:pPr>
    </w:p>
    <w:p w:rsidR="00331410" w:rsidRPr="00937484" w:rsidRDefault="00050854" w:rsidP="00D23B17">
      <w:pPr>
        <w:keepNext/>
        <w:widowControl/>
        <w:tabs>
          <w:tab w:val="left" w:pos="0"/>
          <w:tab w:val="num" w:pos="1440"/>
        </w:tabs>
        <w:suppressAutoHyphens/>
        <w:spacing w:line="240" w:lineRule="atLeast"/>
        <w:jc w:val="both"/>
        <w:rPr>
          <w:spacing w:val="-2"/>
          <w:szCs w:val="22"/>
        </w:rPr>
      </w:pPr>
      <w:r w:rsidRPr="00937484">
        <w:rPr>
          <w:spacing w:val="-2"/>
          <w:szCs w:val="22"/>
        </w:rPr>
        <w:tab/>
      </w:r>
      <w:r w:rsidRPr="00937484">
        <w:rPr>
          <w:spacing w:val="-2"/>
          <w:szCs w:val="22"/>
        </w:rPr>
        <w:tab/>
      </w:r>
      <w:r w:rsidRPr="00937484">
        <w:rPr>
          <w:spacing w:val="-2"/>
          <w:szCs w:val="22"/>
        </w:rPr>
        <w:tab/>
      </w:r>
      <w:r w:rsidRPr="00937484">
        <w:rPr>
          <w:spacing w:val="-2"/>
          <w:szCs w:val="22"/>
        </w:rPr>
        <w:tab/>
      </w:r>
      <w:r w:rsidRPr="00937484">
        <w:rPr>
          <w:spacing w:val="-2"/>
          <w:szCs w:val="22"/>
        </w:rPr>
        <w:tab/>
      </w:r>
    </w:p>
    <w:p w:rsidR="009F6C24" w:rsidRDefault="00331410" w:rsidP="00D23B17">
      <w:pPr>
        <w:keepNext/>
        <w:widowControl/>
        <w:tabs>
          <w:tab w:val="left" w:pos="0"/>
          <w:tab w:val="num" w:pos="1440"/>
        </w:tabs>
        <w:suppressAutoHyphens/>
        <w:spacing w:line="240" w:lineRule="atLeast"/>
        <w:jc w:val="both"/>
        <w:rPr>
          <w:spacing w:val="-2"/>
          <w:szCs w:val="22"/>
        </w:rPr>
      </w:pPr>
      <w:r w:rsidRPr="00937484">
        <w:rPr>
          <w:spacing w:val="-2"/>
          <w:szCs w:val="22"/>
        </w:rPr>
        <w:tab/>
      </w:r>
      <w:r w:rsidRPr="00937484">
        <w:rPr>
          <w:spacing w:val="-2"/>
          <w:szCs w:val="22"/>
        </w:rPr>
        <w:tab/>
      </w:r>
      <w:r w:rsidRPr="00937484">
        <w:rPr>
          <w:spacing w:val="-2"/>
          <w:szCs w:val="22"/>
        </w:rPr>
        <w:tab/>
      </w:r>
      <w:r w:rsidRPr="00937484">
        <w:rPr>
          <w:spacing w:val="-2"/>
          <w:szCs w:val="22"/>
        </w:rPr>
        <w:tab/>
      </w:r>
      <w:r w:rsidR="00050854" w:rsidRPr="00937484">
        <w:rPr>
          <w:spacing w:val="-2"/>
          <w:szCs w:val="22"/>
        </w:rPr>
        <w:tab/>
      </w:r>
      <w:r w:rsidR="008B298C">
        <w:rPr>
          <w:spacing w:val="-2"/>
          <w:szCs w:val="22"/>
        </w:rPr>
        <w:t xml:space="preserve">Marlene </w:t>
      </w:r>
      <w:r w:rsidR="0095746D">
        <w:rPr>
          <w:spacing w:val="-2"/>
          <w:szCs w:val="22"/>
        </w:rPr>
        <w:t xml:space="preserve">H. </w:t>
      </w:r>
      <w:r w:rsidR="008B298C">
        <w:rPr>
          <w:spacing w:val="-2"/>
          <w:szCs w:val="22"/>
        </w:rPr>
        <w:t>Dortch</w:t>
      </w:r>
    </w:p>
    <w:p w:rsidR="0095746D" w:rsidRDefault="0095746D" w:rsidP="00BD6FBC">
      <w:pPr>
        <w:widowControl/>
        <w:tabs>
          <w:tab w:val="left" w:pos="0"/>
          <w:tab w:val="num" w:pos="1440"/>
        </w:tabs>
        <w:suppressAutoHyphens/>
        <w:spacing w:line="240" w:lineRule="atLeast"/>
        <w:jc w:val="both"/>
      </w:pPr>
      <w:r>
        <w:rPr>
          <w:spacing w:val="-2"/>
          <w:szCs w:val="22"/>
        </w:rPr>
        <w:tab/>
      </w:r>
      <w:r>
        <w:rPr>
          <w:spacing w:val="-2"/>
          <w:szCs w:val="22"/>
        </w:rPr>
        <w:tab/>
      </w:r>
      <w:r>
        <w:rPr>
          <w:spacing w:val="-2"/>
          <w:szCs w:val="22"/>
        </w:rPr>
        <w:tab/>
      </w:r>
      <w:r>
        <w:rPr>
          <w:spacing w:val="-2"/>
          <w:szCs w:val="22"/>
        </w:rPr>
        <w:tab/>
      </w:r>
      <w:r>
        <w:rPr>
          <w:spacing w:val="-2"/>
          <w:szCs w:val="22"/>
        </w:rPr>
        <w:tab/>
        <w:t>Secretary</w:t>
      </w:r>
    </w:p>
    <w:sectPr w:rsidR="0095746D" w:rsidSect="006C72D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5C" w:rsidRDefault="001F355C">
      <w:r>
        <w:separator/>
      </w:r>
    </w:p>
  </w:endnote>
  <w:endnote w:type="continuationSeparator" w:id="0">
    <w:p w:rsidR="001F355C" w:rsidRDefault="001F355C">
      <w:r>
        <w:continuationSeparator/>
      </w:r>
    </w:p>
  </w:endnote>
  <w:endnote w:type="continuationNotice" w:id="1">
    <w:p w:rsidR="001F355C" w:rsidRDefault="001F3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A1" w:rsidRDefault="00781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41" w:rsidRPr="004110FC" w:rsidRDefault="00362A41" w:rsidP="00937484">
    <w:pPr>
      <w:pStyle w:val="Footer"/>
      <w:jc w:val="center"/>
    </w:pPr>
    <w:r>
      <w:rPr>
        <w:rStyle w:val="PageNumber"/>
      </w:rPr>
      <w:fldChar w:fldCharType="begin"/>
    </w:r>
    <w:r>
      <w:rPr>
        <w:rStyle w:val="PageNumber"/>
      </w:rPr>
      <w:instrText xml:space="preserve"> PAGE </w:instrText>
    </w:r>
    <w:r>
      <w:rPr>
        <w:rStyle w:val="PageNumber"/>
      </w:rPr>
      <w:fldChar w:fldCharType="separate"/>
    </w:r>
    <w:r w:rsidR="006A00C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A1" w:rsidRDefault="00781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5C" w:rsidRDefault="001F355C">
      <w:r>
        <w:separator/>
      </w:r>
    </w:p>
  </w:footnote>
  <w:footnote w:type="continuationSeparator" w:id="0">
    <w:p w:rsidR="001F355C" w:rsidRDefault="001F355C">
      <w:r>
        <w:separator/>
      </w:r>
    </w:p>
    <w:p w:rsidR="001F355C" w:rsidRDefault="001F355C">
      <w:r>
        <w:t>(...continued from previous page)</w:t>
      </w:r>
    </w:p>
  </w:footnote>
  <w:footnote w:type="continuationNotice" w:id="1">
    <w:p w:rsidR="001F355C" w:rsidRDefault="001F355C">
      <w:pPr>
        <w:jc w:val="right"/>
      </w:pPr>
      <w:r>
        <w:t>(continued....)</w:t>
      </w:r>
    </w:p>
  </w:footnote>
  <w:footnote w:id="2">
    <w:p w:rsidR="00362A41" w:rsidRPr="00ED4E5F" w:rsidRDefault="00362A41" w:rsidP="004C6D99">
      <w:pPr>
        <w:pStyle w:val="FootnoteText"/>
      </w:pPr>
      <w:r w:rsidRPr="00ED4E5F">
        <w:rPr>
          <w:rStyle w:val="FootnoteReference"/>
        </w:rPr>
        <w:footnoteRef/>
      </w:r>
      <w:r w:rsidRPr="00ED4E5F">
        <w:t xml:space="preserve"> 47 </w:t>
      </w:r>
      <w:r w:rsidR="002E61E8" w:rsidRPr="00ED4E5F">
        <w:t xml:space="preserve">U.S.C. § 303(q); 47 </w:t>
      </w:r>
      <w:r w:rsidRPr="00ED4E5F">
        <w:t xml:space="preserve">C.F.R. </w:t>
      </w:r>
      <w:r w:rsidR="002E61E8" w:rsidRPr="00ED4E5F">
        <w:t>§</w:t>
      </w:r>
      <w:r w:rsidR="00CB4AF7" w:rsidRPr="00ED4E5F">
        <w:t>§</w:t>
      </w:r>
      <w:r w:rsidR="009F09C7" w:rsidRPr="00ED4E5F">
        <w:t xml:space="preserve"> </w:t>
      </w:r>
      <w:r w:rsidR="00872BBE" w:rsidRPr="00ED4E5F">
        <w:t>17.2</w:t>
      </w:r>
      <w:r w:rsidR="002E61E8" w:rsidRPr="00ED4E5F">
        <w:t>1</w:t>
      </w:r>
      <w:r w:rsidR="00872BBE" w:rsidRPr="00ED4E5F">
        <w:t>(a)</w:t>
      </w:r>
      <w:r w:rsidR="002E61E8" w:rsidRPr="00ED4E5F">
        <w:t xml:space="preserve">, </w:t>
      </w:r>
      <w:r w:rsidR="009F09C7" w:rsidRPr="00ED4E5F">
        <w:t xml:space="preserve">17.23, </w:t>
      </w:r>
      <w:r w:rsidRPr="00ED4E5F">
        <w:t>17.57.</w:t>
      </w:r>
    </w:p>
  </w:footnote>
  <w:footnote w:id="3">
    <w:p w:rsidR="00F71FE7" w:rsidRPr="00ED4E5F" w:rsidRDefault="00F71FE7" w:rsidP="004B6C04">
      <w:pPr>
        <w:pStyle w:val="FootnoteText"/>
      </w:pPr>
      <w:r w:rsidRPr="00ED4E5F">
        <w:rPr>
          <w:rStyle w:val="FootnoteReference"/>
        </w:rPr>
        <w:footnoteRef/>
      </w:r>
      <w:r w:rsidRPr="00ED4E5F">
        <w:t xml:space="preserve"> </w:t>
      </w:r>
      <w:r w:rsidR="004B6C04" w:rsidRPr="00ED4E5F">
        <w:rPr>
          <w:i/>
        </w:rPr>
        <w:t>See</w:t>
      </w:r>
      <w:r w:rsidR="004B6C04" w:rsidRPr="00ED4E5F">
        <w:t xml:space="preserve"> 47 C.F.R. §§</w:t>
      </w:r>
      <w:r w:rsidR="00CB4AF7" w:rsidRPr="00ED4E5F">
        <w:t xml:space="preserve"> 17.1–</w:t>
      </w:r>
      <w:r w:rsidR="004B6061">
        <w:t>17.58</w:t>
      </w:r>
      <w:r w:rsidR="004B6C04" w:rsidRPr="00ED4E5F">
        <w:t>.</w:t>
      </w:r>
    </w:p>
  </w:footnote>
  <w:footnote w:id="4">
    <w:p w:rsidR="00F71FE7" w:rsidRPr="00ED4E5F" w:rsidRDefault="00F71FE7">
      <w:pPr>
        <w:pStyle w:val="FootnoteText"/>
      </w:pPr>
      <w:r w:rsidRPr="00ED4E5F">
        <w:rPr>
          <w:rStyle w:val="FootnoteReference"/>
        </w:rPr>
        <w:footnoteRef/>
      </w:r>
      <w:r w:rsidRPr="00ED4E5F">
        <w:t xml:space="preserve"> </w:t>
      </w:r>
      <w:r w:rsidR="004B6C04" w:rsidRPr="00ED4E5F">
        <w:rPr>
          <w:i/>
        </w:rPr>
        <w:t xml:space="preserve">See </w:t>
      </w:r>
      <w:r w:rsidR="004B6C04" w:rsidRPr="00ED4E5F">
        <w:t>47 C.F.R. §§</w:t>
      </w:r>
      <w:r w:rsidR="001A4BB7" w:rsidRPr="00ED4E5F">
        <w:t xml:space="preserve"> </w:t>
      </w:r>
      <w:r w:rsidR="004B6C04" w:rsidRPr="00ED4E5F">
        <w:t>17.7, 17.21.</w:t>
      </w:r>
    </w:p>
  </w:footnote>
  <w:footnote w:id="5">
    <w:p w:rsidR="00F71FE7" w:rsidRPr="00ED4E5F" w:rsidRDefault="00F71FE7">
      <w:pPr>
        <w:pStyle w:val="FootnoteText"/>
      </w:pPr>
      <w:r w:rsidRPr="00ED4E5F">
        <w:rPr>
          <w:rStyle w:val="FootnoteReference"/>
        </w:rPr>
        <w:footnoteRef/>
      </w:r>
      <w:r w:rsidRPr="00ED4E5F">
        <w:t xml:space="preserve"> </w:t>
      </w:r>
      <w:r w:rsidR="004B6C04" w:rsidRPr="00ED4E5F">
        <w:rPr>
          <w:i/>
        </w:rPr>
        <w:t xml:space="preserve">See </w:t>
      </w:r>
      <w:r w:rsidR="004B6C04" w:rsidRPr="00ED4E5F">
        <w:t>47 C.F.R. § 17.4.</w:t>
      </w:r>
    </w:p>
  </w:footnote>
  <w:footnote w:id="6">
    <w:p w:rsidR="00BC4C76" w:rsidRPr="00ED4E5F" w:rsidRDefault="00BC4C76" w:rsidP="00BC4C76">
      <w:pPr>
        <w:pStyle w:val="FootnoteText"/>
      </w:pPr>
      <w:r w:rsidRPr="00ED4E5F">
        <w:rPr>
          <w:rStyle w:val="FootnoteReference"/>
        </w:rPr>
        <w:footnoteRef/>
      </w:r>
      <w:r w:rsidRPr="00ED4E5F">
        <w:t xml:space="preserve"> </w:t>
      </w:r>
      <w:r w:rsidRPr="00ED4E5F">
        <w:rPr>
          <w:i/>
        </w:rPr>
        <w:t xml:space="preserve">See </w:t>
      </w:r>
      <w:r w:rsidRPr="00ED4E5F">
        <w:t xml:space="preserve">Antenna Structure Registration database for antenna structure numbers </w:t>
      </w:r>
      <w:r w:rsidRPr="00ED4E5F">
        <w:rPr>
          <w:spacing w:val="-2"/>
        </w:rPr>
        <w:t>1060088 (104.5 meters), 1060089 (108.8 meters), and 1060090 (104.8 meters).</w:t>
      </w:r>
    </w:p>
  </w:footnote>
  <w:footnote w:id="7">
    <w:p w:rsidR="00BC4C76" w:rsidRPr="00ED4E5F" w:rsidRDefault="00BC4C76" w:rsidP="00BC4C76">
      <w:pPr>
        <w:pStyle w:val="FootnoteText"/>
        <w:rPr>
          <w:i/>
        </w:rPr>
      </w:pPr>
      <w:r w:rsidRPr="00ED4E5F">
        <w:rPr>
          <w:rStyle w:val="FootnoteReference"/>
        </w:rPr>
        <w:footnoteRef/>
      </w:r>
      <w:r w:rsidRPr="00ED4E5F">
        <w:t xml:space="preserve"> </w:t>
      </w:r>
      <w:r w:rsidRPr="00ED4E5F">
        <w:rPr>
          <w:i/>
        </w:rPr>
        <w:t xml:space="preserve">See </w:t>
      </w:r>
      <w:r w:rsidRPr="00ED4E5F">
        <w:t xml:space="preserve">Antenna Structure Registration database for antenna structure number 1060089; </w:t>
      </w:r>
      <w:r w:rsidRPr="00ED4E5F">
        <w:rPr>
          <w:i/>
        </w:rPr>
        <w:t>see also</w:t>
      </w:r>
      <w:r w:rsidRPr="00ED4E5F">
        <w:t xml:space="preserve"> FAA Study 97-ASO-5184-OE (Nov. 10, 1997) (summary on file in EB-11-TP-0038).  Antenna structure numbers 1060088 and 10600</w:t>
      </w:r>
      <w:r w:rsidR="000A223D" w:rsidRPr="00ED4E5F">
        <w:t xml:space="preserve">90 did not require </w:t>
      </w:r>
      <w:r w:rsidRPr="00ED4E5F">
        <w:t xml:space="preserve">lighting </w:t>
      </w:r>
      <w:r w:rsidR="000A223D" w:rsidRPr="00ED4E5F">
        <w:t xml:space="preserve">or painting </w:t>
      </w:r>
      <w:r w:rsidRPr="00ED4E5F">
        <w:t>pursuant to FAA Study 78-ASO-446-OE (March 15, 1978).  In an FAA Study, the FAA specifies the painting and lighting requirements it believes necessary to ensure that the antenna structure does not pose a hazard to air traffic.</w:t>
      </w:r>
    </w:p>
  </w:footnote>
  <w:footnote w:id="8">
    <w:p w:rsidR="003506D8" w:rsidRPr="00ED4E5F" w:rsidRDefault="003506D8" w:rsidP="003506D8">
      <w:pPr>
        <w:pStyle w:val="FootnoteText"/>
      </w:pPr>
      <w:r w:rsidRPr="00ED4E5F">
        <w:rPr>
          <w:rStyle w:val="FootnoteReference"/>
        </w:rPr>
        <w:footnoteRef/>
      </w:r>
      <w:r w:rsidRPr="00ED4E5F">
        <w:t xml:space="preserve"> On April 14, 2011, the agent from the Tampa Office notified the FAA that antenna structure numbers 1060088 and 1060090 were unlit.  The FAA issued NOTAMs for these two structures on April 14, 2011.</w:t>
      </w:r>
      <w:r w:rsidR="003F4A39" w:rsidRPr="00ED4E5F">
        <w:t xml:space="preserve">  NOTAMs alert aircraft pilots of potential hazards, including antenna structure light outages, which could affect flight safety.</w:t>
      </w:r>
      <w:r w:rsidR="008A72C7" w:rsidRPr="00ED4E5F">
        <w:t xml:space="preserve"> </w:t>
      </w:r>
    </w:p>
  </w:footnote>
  <w:footnote w:id="9">
    <w:p w:rsidR="000C565E" w:rsidRPr="00ED4E5F" w:rsidRDefault="000C565E" w:rsidP="000C565E">
      <w:pPr>
        <w:pStyle w:val="FootnoteText"/>
      </w:pPr>
      <w:r w:rsidRPr="00ED4E5F">
        <w:rPr>
          <w:rStyle w:val="FootnoteReference"/>
        </w:rPr>
        <w:footnoteRef/>
      </w:r>
      <w:r w:rsidRPr="00ED4E5F">
        <w:t xml:space="preserve"> </w:t>
      </w:r>
      <w:r w:rsidRPr="00ED4E5F">
        <w:rPr>
          <w:i/>
        </w:rPr>
        <w:t xml:space="preserve">See </w:t>
      </w:r>
      <w:r w:rsidRPr="00ED4E5F">
        <w:t>FAA Study 2011-ASO-5252-OE (Sept. 27, 2011) (on file in EB-11-TP-0038); FAA Study 2011-ASO-5253-OE (Sept. 27, 2011) (on file in EB-11-TP-0038).</w:t>
      </w:r>
      <w:r w:rsidR="00594C4A" w:rsidRPr="00ED4E5F">
        <w:t xml:space="preserve">  </w:t>
      </w:r>
    </w:p>
  </w:footnote>
  <w:footnote w:id="10">
    <w:p w:rsidR="000C565E" w:rsidRPr="00ED4E5F" w:rsidRDefault="000C565E">
      <w:pPr>
        <w:pStyle w:val="FootnoteText"/>
        <w:rPr>
          <w:i/>
        </w:rPr>
      </w:pPr>
      <w:r w:rsidRPr="00ED4E5F">
        <w:rPr>
          <w:rStyle w:val="FootnoteReference"/>
        </w:rPr>
        <w:footnoteRef/>
      </w:r>
      <w:r w:rsidRPr="00ED4E5F">
        <w:t xml:space="preserve"> </w:t>
      </w:r>
      <w:r w:rsidRPr="00ED4E5F">
        <w:rPr>
          <w:i/>
        </w:rPr>
        <w:t>Id.</w:t>
      </w:r>
    </w:p>
  </w:footnote>
  <w:footnote w:id="11">
    <w:p w:rsidR="00362A41" w:rsidRPr="00ED4E5F" w:rsidRDefault="00362A41" w:rsidP="009711A7">
      <w:pPr>
        <w:pStyle w:val="FootnoteText"/>
      </w:pPr>
      <w:r w:rsidRPr="00ED4E5F">
        <w:rPr>
          <w:rStyle w:val="FootnoteReference"/>
        </w:rPr>
        <w:footnoteRef/>
      </w:r>
      <w:r w:rsidRPr="00ED4E5F">
        <w:t xml:space="preserve"> 47 U.S.C. § 503(b).</w:t>
      </w:r>
    </w:p>
  </w:footnote>
  <w:footnote w:id="12">
    <w:p w:rsidR="00362A41" w:rsidRPr="00ED4E5F" w:rsidRDefault="00362A41">
      <w:pPr>
        <w:pStyle w:val="FootnoteText"/>
      </w:pPr>
      <w:r w:rsidRPr="00ED4E5F">
        <w:rPr>
          <w:rStyle w:val="FootnoteReference"/>
        </w:rPr>
        <w:footnoteRef/>
      </w:r>
      <w:r w:rsidRPr="00ED4E5F">
        <w:t xml:space="preserve"> 47 U.S.C. § 312(f)(1).</w:t>
      </w:r>
    </w:p>
  </w:footnote>
  <w:footnote w:id="13">
    <w:p w:rsidR="00362A41" w:rsidRPr="00ED4E5F" w:rsidRDefault="00362A41" w:rsidP="001665F5">
      <w:pPr>
        <w:pStyle w:val="FootnoteText"/>
      </w:pPr>
      <w:r w:rsidRPr="00ED4E5F">
        <w:rPr>
          <w:rStyle w:val="FootnoteReference"/>
        </w:rPr>
        <w:footnoteRef/>
      </w:r>
      <w:r w:rsidRPr="00ED4E5F">
        <w:t xml:space="preserve"> H.R. Rep. No. 97-765, 97</w:t>
      </w:r>
      <w:r w:rsidRPr="00ED4E5F">
        <w:rPr>
          <w:vertAlign w:val="superscript"/>
        </w:rPr>
        <w:t>th</w:t>
      </w:r>
      <w:r w:rsidRPr="00ED4E5F">
        <w:t xml:space="preserve"> Cong. 2d Sess. 51 (1982) (“</w:t>
      </w:r>
      <w:r w:rsidRPr="00ED4E5F">
        <w:rPr>
          <w:rStyle w:val="documentbody"/>
        </w:rPr>
        <w:t xml:space="preserve">This provision [inserted in Section 312] defines the terms ‘willful’ and ‘repeated’ for purposes of section </w:t>
      </w:r>
      <w:r w:rsidRPr="00ED4E5F">
        <w:rPr>
          <w:rStyle w:val="searchterm"/>
        </w:rPr>
        <w:t>312</w:t>
      </w:r>
      <w:r w:rsidRPr="00ED4E5F">
        <w:rPr>
          <w:rStyle w:val="documentbody"/>
        </w:rPr>
        <w:t xml:space="preserve">,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ED4E5F">
        <w:rPr>
          <w:rStyle w:val="searchterm"/>
        </w:rPr>
        <w:t>312</w:t>
      </w:r>
      <w:r w:rsidRPr="00ED4E5F">
        <w:rPr>
          <w:rStyle w:val="documentbody"/>
        </w:rPr>
        <w:t xml:space="preserve"> and 503, and are consistent with the Commission’s application of those terms . . . .”).</w:t>
      </w:r>
    </w:p>
  </w:footnote>
  <w:footnote w:id="14">
    <w:p w:rsidR="00362A41" w:rsidRPr="00ED4E5F" w:rsidRDefault="00362A41" w:rsidP="006C72D8">
      <w:pPr>
        <w:pStyle w:val="FootnoteText"/>
      </w:pPr>
      <w:r w:rsidRPr="00ED4E5F">
        <w:rPr>
          <w:rStyle w:val="FootnoteReference"/>
        </w:rPr>
        <w:footnoteRef/>
      </w:r>
      <w:r w:rsidRPr="00ED4E5F">
        <w:t xml:space="preserve"> </w:t>
      </w:r>
      <w:r w:rsidR="00CB4AF7" w:rsidRPr="00ED4E5F">
        <w:rPr>
          <w:i/>
        </w:rPr>
        <w:t>See, e.g.</w:t>
      </w:r>
      <w:r w:rsidR="00CB4AF7" w:rsidRPr="00ED4E5F">
        <w:t>,</w:t>
      </w:r>
      <w:r w:rsidRPr="00ED4E5F">
        <w:rPr>
          <w:i/>
        </w:rPr>
        <w:t xml:space="preserve"> Southern California Broadcasting Co.</w:t>
      </w:r>
      <w:r w:rsidRPr="00ED4E5F">
        <w:t>, Memorandum Opinion and Order, 6 FCC Rcd 4387, 4388</w:t>
      </w:r>
      <w:r w:rsidR="005065F9" w:rsidRPr="00ED4E5F">
        <w:t>, para. 5</w:t>
      </w:r>
      <w:r w:rsidRPr="00ED4E5F">
        <w:t xml:space="preserve"> (1991), </w:t>
      </w:r>
      <w:r w:rsidR="00536D21" w:rsidRPr="00ED4E5F">
        <w:rPr>
          <w:i/>
        </w:rPr>
        <w:t>recons. denied</w:t>
      </w:r>
      <w:r w:rsidR="00536D21" w:rsidRPr="00ED4E5F">
        <w:t>,</w:t>
      </w:r>
      <w:r w:rsidRPr="00ED4E5F">
        <w:rPr>
          <w:i/>
        </w:rPr>
        <w:t xml:space="preserve"> </w:t>
      </w:r>
      <w:r w:rsidRPr="00ED4E5F">
        <w:t>7 FCC Rcd 3454 (1992).</w:t>
      </w:r>
    </w:p>
  </w:footnote>
  <w:footnote w:id="15">
    <w:p w:rsidR="00362A41" w:rsidRPr="00ED4E5F" w:rsidRDefault="00362A41" w:rsidP="006C72D8">
      <w:pPr>
        <w:pStyle w:val="FootnoteText"/>
      </w:pPr>
      <w:r w:rsidRPr="00ED4E5F">
        <w:rPr>
          <w:rStyle w:val="FootnoteReference"/>
        </w:rPr>
        <w:footnoteRef/>
      </w:r>
      <w:r w:rsidRPr="00ED4E5F">
        <w:t xml:space="preserve"> </w:t>
      </w:r>
      <w:r w:rsidRPr="00ED4E5F">
        <w:rPr>
          <w:i/>
        </w:rPr>
        <w:t>See, e.g.</w:t>
      </w:r>
      <w:r w:rsidR="00CB4AF7" w:rsidRPr="00ED4E5F">
        <w:t>,</w:t>
      </w:r>
      <w:r w:rsidRPr="00ED4E5F">
        <w:t xml:space="preserve"> </w:t>
      </w:r>
      <w:r w:rsidRPr="00ED4E5F">
        <w:rPr>
          <w:i/>
        </w:rPr>
        <w:t>Callais Cablevision, Inc.</w:t>
      </w:r>
      <w:r w:rsidRPr="00ED4E5F">
        <w:t>, Notice of Apparent Liability for Monetary Forfeiture, 16 FCC Rcd 1359, 1362, para. 10 (2001) (</w:t>
      </w:r>
      <w:r w:rsidRPr="00ED4E5F">
        <w:rPr>
          <w:i/>
        </w:rPr>
        <w:t>Callais Cablevision, Inc.</w:t>
      </w:r>
      <w:r w:rsidRPr="00ED4E5F">
        <w:t xml:space="preserve">) (proposing a forfeiture for, </w:t>
      </w:r>
      <w:r w:rsidRPr="00ED4E5F">
        <w:rPr>
          <w:i/>
        </w:rPr>
        <w:t>inter alia</w:t>
      </w:r>
      <w:r w:rsidRPr="00ED4E5F">
        <w:t xml:space="preserve">, a cable television operator’s repeated signal leakage). </w:t>
      </w:r>
    </w:p>
  </w:footnote>
  <w:footnote w:id="16">
    <w:p w:rsidR="00362A41" w:rsidRPr="00ED4E5F" w:rsidRDefault="00362A41" w:rsidP="004C6D99">
      <w:pPr>
        <w:pStyle w:val="FootnoteText"/>
      </w:pPr>
      <w:r w:rsidRPr="00ED4E5F">
        <w:rPr>
          <w:rStyle w:val="FootnoteReference"/>
        </w:rPr>
        <w:footnoteRef/>
      </w:r>
      <w:r w:rsidRPr="00ED4E5F">
        <w:t xml:space="preserve"> Section 312(f)(2) of the Act, 47 U.S.C. § 312(f)(2), which also applies to violations for which forfeitures are assessed under Section 503(b) of the Act, provi</w:t>
      </w:r>
      <w:r w:rsidR="008F642C" w:rsidRPr="00ED4E5F">
        <w:t>des that “[t]he term ‘repeated’</w:t>
      </w:r>
      <w:r w:rsidRPr="00ED4E5F">
        <w:t xml:space="preserve">, when used with reference to the commission or omission of any act, means the commission or omission of such act more than once or, if such commission or omission is continuous, for more than one day.”  </w:t>
      </w:r>
      <w:r w:rsidRPr="00ED4E5F">
        <w:rPr>
          <w:i/>
        </w:rPr>
        <w:t>See Callais Cablevision, Inc.</w:t>
      </w:r>
      <w:r w:rsidRPr="00ED4E5F">
        <w:t>, 16 FCC Rcd</w:t>
      </w:r>
      <w:r w:rsidRPr="00ED4E5F">
        <w:rPr>
          <w:i/>
        </w:rPr>
        <w:t xml:space="preserve"> </w:t>
      </w:r>
      <w:r w:rsidRPr="00ED4E5F">
        <w:t>at 1362</w:t>
      </w:r>
      <w:r w:rsidR="005065F9" w:rsidRPr="00ED4E5F">
        <w:t>, para. 9</w:t>
      </w:r>
      <w:r w:rsidRPr="00ED4E5F">
        <w:t xml:space="preserve">. </w:t>
      </w:r>
    </w:p>
  </w:footnote>
  <w:footnote w:id="17">
    <w:p w:rsidR="00F71FE7" w:rsidRPr="00ED4E5F" w:rsidRDefault="00F71FE7" w:rsidP="00F71FE7">
      <w:pPr>
        <w:pStyle w:val="FootnoteText"/>
      </w:pPr>
      <w:r w:rsidRPr="00ED4E5F">
        <w:rPr>
          <w:rStyle w:val="FootnoteReference"/>
        </w:rPr>
        <w:footnoteRef/>
      </w:r>
      <w:r w:rsidRPr="00ED4E5F">
        <w:t xml:space="preserve"> 47 U.S.C. § 303(q).</w:t>
      </w:r>
    </w:p>
  </w:footnote>
  <w:footnote w:id="18">
    <w:p w:rsidR="00F71FE7" w:rsidRPr="00ED4E5F" w:rsidRDefault="00F71FE7" w:rsidP="00F71FE7">
      <w:pPr>
        <w:pStyle w:val="FootnoteText"/>
      </w:pPr>
      <w:r w:rsidRPr="00ED4E5F">
        <w:rPr>
          <w:rStyle w:val="FootnoteReference"/>
        </w:rPr>
        <w:footnoteRef/>
      </w:r>
      <w:r w:rsidRPr="00ED4E5F">
        <w:t xml:space="preserve"> 47 C.F.R. § 17.21(a).</w:t>
      </w:r>
    </w:p>
  </w:footnote>
  <w:footnote w:id="19">
    <w:p w:rsidR="009F09C7" w:rsidRPr="00ED4E5F" w:rsidRDefault="009F09C7">
      <w:pPr>
        <w:pStyle w:val="FootnoteText"/>
        <w:rPr>
          <w:caps/>
        </w:rPr>
      </w:pPr>
      <w:r w:rsidRPr="00ED4E5F">
        <w:rPr>
          <w:rStyle w:val="FootnoteReference"/>
        </w:rPr>
        <w:footnoteRef/>
      </w:r>
      <w:r w:rsidRPr="00ED4E5F">
        <w:t xml:space="preserve"> 47 C.F.R. </w:t>
      </w:r>
      <w:r w:rsidRPr="00ED4E5F">
        <w:rPr>
          <w:caps/>
        </w:rPr>
        <w:t>§ 17.23.</w:t>
      </w:r>
    </w:p>
  </w:footnote>
  <w:footnote w:id="20">
    <w:p w:rsidR="00F71FE7" w:rsidRPr="00ED4E5F" w:rsidRDefault="00F71FE7" w:rsidP="00F71FE7">
      <w:pPr>
        <w:pStyle w:val="FootnoteText"/>
      </w:pPr>
      <w:r w:rsidRPr="00ED4E5F">
        <w:rPr>
          <w:rStyle w:val="FootnoteReference"/>
        </w:rPr>
        <w:footnoteRef/>
      </w:r>
      <w:r w:rsidRPr="00ED4E5F">
        <w:t xml:space="preserve"> 47 C.F.R. § 17.57.</w:t>
      </w:r>
    </w:p>
  </w:footnote>
  <w:footnote w:id="21">
    <w:p w:rsidR="00797F2A" w:rsidRPr="00ED4E5F" w:rsidRDefault="00797F2A">
      <w:pPr>
        <w:pStyle w:val="FootnoteText"/>
      </w:pPr>
      <w:r w:rsidRPr="00ED4E5F">
        <w:rPr>
          <w:rStyle w:val="FootnoteReference"/>
        </w:rPr>
        <w:footnoteRef/>
      </w:r>
      <w:r w:rsidRPr="00ED4E5F">
        <w:t xml:space="preserve"> 47 U.S.C. </w:t>
      </w:r>
      <w:r w:rsidR="00282FAE" w:rsidRPr="00ED4E5F">
        <w:t>§ 503(b)(2)(D).</w:t>
      </w:r>
    </w:p>
  </w:footnote>
  <w:footnote w:id="22">
    <w:p w:rsidR="00282FAE" w:rsidRPr="00ED4E5F" w:rsidRDefault="00282FAE">
      <w:pPr>
        <w:pStyle w:val="FootnoteText"/>
      </w:pPr>
      <w:r w:rsidRPr="00ED4E5F">
        <w:rPr>
          <w:rStyle w:val="FootnoteReference"/>
        </w:rPr>
        <w:footnoteRef/>
      </w:r>
      <w:r w:rsidRPr="00ED4E5F">
        <w:t xml:space="preserve"> 47 C.F.R. § 1.80(b)(</w:t>
      </w:r>
      <w:r w:rsidR="00D87C7F" w:rsidRPr="00ED4E5F">
        <w:t>7</w:t>
      </w:r>
      <w:r w:rsidRPr="00ED4E5F">
        <w:t>).</w:t>
      </w:r>
    </w:p>
  </w:footnote>
  <w:footnote w:id="23">
    <w:p w:rsidR="00D23B17" w:rsidRPr="00ED4E5F" w:rsidRDefault="00D23B17" w:rsidP="00650263">
      <w:pPr>
        <w:spacing w:after="120"/>
      </w:pPr>
      <w:r w:rsidRPr="00ED4E5F">
        <w:rPr>
          <w:rStyle w:val="FootnoteReference"/>
        </w:rPr>
        <w:footnoteRef/>
      </w:r>
      <w:r w:rsidRPr="00ED4E5F">
        <w:t xml:space="preserve"> </w:t>
      </w:r>
      <w:r w:rsidR="00ED4E5F" w:rsidRPr="00FB3622">
        <w:t>On September 13, 2013, the statutory maximum forfeiture penalties for violations of Commission rules</w:t>
      </w:r>
      <w:r w:rsidR="00ED4E5F">
        <w:t xml:space="preserve"> were adjusted for inflation.  </w:t>
      </w:r>
      <w:r w:rsidR="00ED4E5F" w:rsidRPr="00FB3622">
        <w:rPr>
          <w:i/>
          <w:iCs/>
        </w:rPr>
        <w:t>See Amendment of Section 1.80(b) of the Commission’s Rules, Adjustment of Civil Monetary Penalties to Reflect Inflation</w:t>
      </w:r>
      <w:r w:rsidR="00ED4E5F" w:rsidRPr="00FB3622">
        <w:t>, Order, 28</w:t>
      </w:r>
      <w:r w:rsidR="00ED4E5F">
        <w:t xml:space="preserve"> FCC Rcd 10785 (Enf. Bur. 2013); </w:t>
      </w:r>
      <w:r w:rsidR="00ED4E5F">
        <w:rPr>
          <w:i/>
        </w:rPr>
        <w:t>s</w:t>
      </w:r>
      <w:r w:rsidR="00ED4E5F" w:rsidRPr="00FB3622">
        <w:rPr>
          <w:i/>
          <w:iCs/>
        </w:rPr>
        <w:t>ee also</w:t>
      </w:r>
      <w:r w:rsidR="00ED4E5F" w:rsidRPr="00FB3622">
        <w:t xml:space="preserve"> Inflation Adjustment of Monetary Penalties, 78 Fed. Reg. 49,</w:t>
      </w:r>
      <w:r w:rsidR="00ED4E5F">
        <w:t xml:space="preserve"> </w:t>
      </w:r>
      <w:r w:rsidR="00ED4E5F" w:rsidRPr="00FB3622">
        <w:t>370-01 (Aug. 14, 2013) (setting Sept. 13, 2013, as the effec</w:t>
      </w:r>
      <w:r w:rsidR="00ED4E5F">
        <w:t xml:space="preserve">tive date for the increases).  </w:t>
      </w:r>
      <w:r w:rsidR="00ED4E5F" w:rsidRPr="00FB3622">
        <w:t>The statutory maximum forfeiture for violations occurring after that date by non-licensees like JTC increased from $112,500 to $122,500.  Given, however, the continuing nature of JTC’s violations and the fact that all but a very small part of the violation period here occurred under the prior rule, we have used the previous statutory maximum figure in setting the forfeiture amount in this case.</w:t>
      </w:r>
    </w:p>
  </w:footnote>
  <w:footnote w:id="24">
    <w:p w:rsidR="00362A41" w:rsidRPr="00ED4E5F" w:rsidRDefault="00362A41" w:rsidP="004C6D99">
      <w:pPr>
        <w:pStyle w:val="FootnoteText"/>
      </w:pPr>
      <w:r w:rsidRPr="00ED4E5F">
        <w:rPr>
          <w:rStyle w:val="FootnoteReference"/>
        </w:rPr>
        <w:footnoteRef/>
      </w:r>
      <w:r w:rsidRPr="00ED4E5F">
        <w:t xml:space="preserve"> </w:t>
      </w:r>
      <w:r w:rsidRPr="00ED4E5F">
        <w:rPr>
          <w:i/>
        </w:rPr>
        <w:t>The Commission’s Forfeiture Policy Statement and Amendment of Section 1.80 of the Rules to Incorporate the Forfeiture Guidelines</w:t>
      </w:r>
      <w:r w:rsidRPr="00ED4E5F">
        <w:t>, Report and Order, 12 FCC Rcd 17087 (1997) (</w:t>
      </w:r>
      <w:r w:rsidRPr="00ED4E5F">
        <w:rPr>
          <w:i/>
        </w:rPr>
        <w:t>Forfeiture Policy Statement</w:t>
      </w:r>
      <w:r w:rsidRPr="00ED4E5F">
        <w:t xml:space="preserve">), </w:t>
      </w:r>
      <w:r w:rsidRPr="00ED4E5F">
        <w:rPr>
          <w:i/>
        </w:rPr>
        <w:t>recons. denied</w:t>
      </w:r>
      <w:r w:rsidRPr="00ED4E5F">
        <w:t>, 15 FCC Rcd 303 (1999); 47 C.F.R. § 1.80.</w:t>
      </w:r>
    </w:p>
  </w:footnote>
  <w:footnote w:id="25">
    <w:p w:rsidR="00362A41" w:rsidRPr="00ED4E5F" w:rsidRDefault="00362A41" w:rsidP="004C6D99">
      <w:pPr>
        <w:pStyle w:val="FootnoteText"/>
      </w:pPr>
      <w:r w:rsidRPr="00ED4E5F">
        <w:rPr>
          <w:rStyle w:val="FootnoteReference"/>
        </w:rPr>
        <w:footnoteRef/>
      </w:r>
      <w:r w:rsidRPr="00ED4E5F">
        <w:t xml:space="preserve"> 47 U.S.C. § 503(b)(2)(E).</w:t>
      </w:r>
    </w:p>
  </w:footnote>
  <w:footnote w:id="26">
    <w:p w:rsidR="00FB4A0A" w:rsidRPr="00ED4E5F" w:rsidRDefault="00FB4A0A" w:rsidP="00FB4A0A">
      <w:pPr>
        <w:pStyle w:val="FootnoteText"/>
      </w:pPr>
      <w:r w:rsidRPr="00ED4E5F">
        <w:rPr>
          <w:rStyle w:val="FootnoteReference"/>
        </w:rPr>
        <w:footnoteRef/>
      </w:r>
      <w:r w:rsidRPr="00ED4E5F">
        <w:t xml:space="preserve"> </w:t>
      </w:r>
      <w:r w:rsidR="004E43A1" w:rsidRPr="00ED4E5F">
        <w:rPr>
          <w:i/>
        </w:rPr>
        <w:t>See, e.g., Latin Broadcasting Co</w:t>
      </w:r>
      <w:r w:rsidR="00A7241A" w:rsidRPr="00ED4E5F">
        <w:rPr>
          <w:i/>
        </w:rPr>
        <w:t>.</w:t>
      </w:r>
      <w:r w:rsidR="004E43A1" w:rsidRPr="00ED4E5F">
        <w:t xml:space="preserve">, Notice of Apparent Liability for Forfeiture and Order, 28 FCC Rcd 2170 (Enf. Bur. 2013) (upwardly adjusting proposed forfeiture by thirty-three percent for failing to update antenna structure ownership information for more than three and a half years); </w:t>
      </w:r>
      <w:r w:rsidR="004E43A1" w:rsidRPr="00ED4E5F">
        <w:rPr>
          <w:i/>
        </w:rPr>
        <w:t>Quinn Broadcasting, Inc.</w:t>
      </w:r>
      <w:r w:rsidR="004E43A1" w:rsidRPr="00ED4E5F">
        <w:t>, Notice of Apparent Liability for Forfeiture and Order, 27 FCC Rcd 5787 (Enf. Bur. 2012) (upwardly adjusting proposed forfeiture by one hundred percent for failing to update antenna structure ownership informati</w:t>
      </w:r>
      <w:r w:rsidR="00715460" w:rsidRPr="00ED4E5F">
        <w:t>on for more than eight years).</w:t>
      </w:r>
    </w:p>
  </w:footnote>
  <w:footnote w:id="27">
    <w:p w:rsidR="009C64A7" w:rsidRPr="00ED4E5F" w:rsidRDefault="009C64A7" w:rsidP="00D87C7F">
      <w:pPr>
        <w:pStyle w:val="FootnoteText"/>
      </w:pPr>
      <w:r w:rsidRPr="00ED4E5F">
        <w:rPr>
          <w:rStyle w:val="FootnoteReference"/>
        </w:rPr>
        <w:footnoteRef/>
      </w:r>
      <w:r w:rsidR="004E7B99" w:rsidRPr="00ED4E5F">
        <w:t xml:space="preserve"> We note that this reporting violation is</w:t>
      </w:r>
      <w:r w:rsidRPr="00ED4E5F">
        <w:t xml:space="preserve"> continuing in nature, and as such, we could propose </w:t>
      </w:r>
      <w:r w:rsidR="004E7B99" w:rsidRPr="00ED4E5F">
        <w:t>a forfeiture</w:t>
      </w:r>
      <w:r w:rsidRPr="00ED4E5F">
        <w:t xml:space="preserve"> of $16,000 per day per violation, up to the statutory maximum of $112,500.  </w:t>
      </w:r>
      <w:r w:rsidRPr="00ED4E5F">
        <w:rPr>
          <w:i/>
        </w:rPr>
        <w:t xml:space="preserve">See </w:t>
      </w:r>
      <w:r w:rsidRPr="00ED4E5F">
        <w:t xml:space="preserve">47 C.F.R. § 1.80(b)(7).  However, we </w:t>
      </w:r>
      <w:r w:rsidR="00D87C7F" w:rsidRPr="00ED4E5F">
        <w:t>decline to propose t</w:t>
      </w:r>
      <w:r w:rsidR="004E7B99" w:rsidRPr="00ED4E5F">
        <w:t>he statutory maximum forfeiture</w:t>
      </w:r>
      <w:r w:rsidR="00D87C7F" w:rsidRPr="00ED4E5F">
        <w:t xml:space="preserve"> </w:t>
      </w:r>
      <w:r w:rsidR="006119F8" w:rsidRPr="00ED4E5F">
        <w:t xml:space="preserve">on a per day or per violation basis </w:t>
      </w:r>
      <w:r w:rsidR="00D87C7F" w:rsidRPr="00ED4E5F">
        <w:t>at this time</w:t>
      </w:r>
      <w:r w:rsidR="003F653D" w:rsidRPr="00ED4E5F">
        <w:t>.</w:t>
      </w:r>
      <w:r w:rsidR="006119F8" w:rsidRPr="00ED4E5F">
        <w:t xml:space="preserve">  We believe that</w:t>
      </w:r>
      <w:r w:rsidR="004E7B99" w:rsidRPr="00ED4E5F">
        <w:t>, while JTC’s violation was</w:t>
      </w:r>
      <w:r w:rsidR="007A65E0" w:rsidRPr="00ED4E5F">
        <w:t xml:space="preserve"> serious, this level of </w:t>
      </w:r>
      <w:r w:rsidR="003F653D" w:rsidRPr="00ED4E5F">
        <w:t xml:space="preserve">monetary penalty for </w:t>
      </w:r>
      <w:r w:rsidR="007A65E0" w:rsidRPr="00ED4E5F">
        <w:t>the</w:t>
      </w:r>
      <w:r w:rsidR="003F653D" w:rsidRPr="00ED4E5F">
        <w:t xml:space="preserve"> reporting </w:t>
      </w:r>
      <w:r w:rsidR="004E7B99" w:rsidRPr="00ED4E5F">
        <w:t>violation</w:t>
      </w:r>
      <w:r w:rsidR="003F653D" w:rsidRPr="00ED4E5F">
        <w:t xml:space="preserve"> </w:t>
      </w:r>
      <w:r w:rsidR="006F3776" w:rsidRPr="00ED4E5F">
        <w:t>is not</w:t>
      </w:r>
      <w:r w:rsidR="003F653D" w:rsidRPr="00ED4E5F">
        <w:t xml:space="preserve"> warranted in this instance and instea</w:t>
      </w:r>
      <w:r w:rsidR="004E7B99" w:rsidRPr="00ED4E5F">
        <w:t>d propose the upward adjustment</w:t>
      </w:r>
      <w:r w:rsidR="003F653D" w:rsidRPr="00ED4E5F">
        <w:t xml:space="preserve"> on a per violation basis contained herein.  </w:t>
      </w:r>
      <w:r w:rsidR="006119F8" w:rsidRPr="00ED4E5F">
        <w:t>We caution JTC and other potential violators that we will continue to evaluate the success of this approach and make any necessary changes in our forfeiture framework to promote greater compliance</w:t>
      </w:r>
      <w:r w:rsidR="003F653D" w:rsidRPr="00ED4E5F">
        <w:t xml:space="preserve"> going forward</w:t>
      </w:r>
      <w:r w:rsidR="006119F8" w:rsidRPr="00ED4E5F">
        <w:t xml:space="preserve">.  </w:t>
      </w:r>
    </w:p>
  </w:footnote>
  <w:footnote w:id="28">
    <w:p w:rsidR="006F3776" w:rsidRPr="00ED4E5F" w:rsidRDefault="006F3776">
      <w:pPr>
        <w:pStyle w:val="FootnoteText"/>
      </w:pPr>
      <w:r w:rsidRPr="00ED4E5F">
        <w:rPr>
          <w:rStyle w:val="FootnoteReference"/>
        </w:rPr>
        <w:footnoteRef/>
      </w:r>
      <w:r w:rsidRPr="00ED4E5F">
        <w:t xml:space="preserve"> </w:t>
      </w:r>
      <w:r w:rsidRPr="00ED4E5F">
        <w:rPr>
          <w:i/>
        </w:rPr>
        <w:t>See supra</w:t>
      </w:r>
      <w:r w:rsidRPr="00ED4E5F">
        <w:t xml:space="preserve"> para. 12.</w:t>
      </w:r>
    </w:p>
  </w:footnote>
  <w:footnote w:id="29">
    <w:p w:rsidR="007241C5" w:rsidRPr="00ED4E5F" w:rsidRDefault="007241C5" w:rsidP="007241C5">
      <w:pPr>
        <w:pStyle w:val="FootnoteText"/>
      </w:pPr>
      <w:r w:rsidRPr="00ED4E5F">
        <w:rPr>
          <w:rStyle w:val="FootnoteReference"/>
        </w:rPr>
        <w:footnoteRef/>
      </w:r>
      <w:r w:rsidRPr="00ED4E5F">
        <w:t xml:space="preserve"> 47 C.F.R. § 1.16.</w:t>
      </w:r>
    </w:p>
  </w:footnote>
  <w:footnote w:id="30">
    <w:p w:rsidR="00582A6F" w:rsidRPr="00ED4E5F" w:rsidRDefault="00582A6F" w:rsidP="00582A6F">
      <w:pPr>
        <w:pStyle w:val="FootnoteText"/>
      </w:pPr>
      <w:r w:rsidRPr="00ED4E5F">
        <w:rPr>
          <w:rStyle w:val="FootnoteReference"/>
        </w:rPr>
        <w:footnoteRef/>
      </w:r>
      <w:r w:rsidRPr="00ED4E5F">
        <w:t xml:space="preserve"> </w:t>
      </w:r>
      <w:r w:rsidRPr="00ED4E5F">
        <w:rPr>
          <w:i/>
        </w:rPr>
        <w:t xml:space="preserve">See </w:t>
      </w:r>
      <w:r w:rsidRPr="00ED4E5F">
        <w:t>FAA Study 2011-ASO-5252-OE (Sept. 27, 2011) (on file in EB-11-TP-0038); FAA Study 2011-ASO-5253-OE (Sept. 27, 2011) (on file in EB-11-TP-0038).</w:t>
      </w:r>
    </w:p>
  </w:footnote>
  <w:footnote w:id="31">
    <w:p w:rsidR="00582A6F" w:rsidRPr="00ED4E5F" w:rsidRDefault="00582A6F" w:rsidP="00582A6F">
      <w:pPr>
        <w:pStyle w:val="FootnoteText"/>
      </w:pPr>
      <w:r w:rsidRPr="00ED4E5F">
        <w:rPr>
          <w:rStyle w:val="FootnoteReference"/>
        </w:rPr>
        <w:footnoteRef/>
      </w:r>
      <w:r w:rsidRPr="00ED4E5F">
        <w:t xml:space="preserve"> 47 C.F.R. § 1.16.</w:t>
      </w:r>
    </w:p>
  </w:footnote>
  <w:footnote w:id="32">
    <w:p w:rsidR="00582A6F" w:rsidRPr="00ED4E5F" w:rsidRDefault="00582A6F">
      <w:pPr>
        <w:pStyle w:val="FootnoteText"/>
      </w:pPr>
      <w:r w:rsidRPr="00ED4E5F">
        <w:rPr>
          <w:rStyle w:val="FootnoteReference"/>
        </w:rPr>
        <w:footnoteRef/>
      </w:r>
      <w:r w:rsidRPr="00ED4E5F">
        <w:t xml:space="preserve"> </w:t>
      </w:r>
      <w:r w:rsidRPr="00ED4E5F">
        <w:rPr>
          <w:i/>
        </w:rPr>
        <w:t xml:space="preserve">See </w:t>
      </w:r>
      <w:r w:rsidRPr="00ED4E5F">
        <w:t>47 C.F.R. § 17.47.</w:t>
      </w:r>
    </w:p>
  </w:footnote>
  <w:footnote w:id="33">
    <w:p w:rsidR="00362A41" w:rsidRPr="00ED4E5F" w:rsidRDefault="00362A41" w:rsidP="004C6D99">
      <w:pPr>
        <w:pStyle w:val="FootnoteText"/>
      </w:pPr>
      <w:r w:rsidRPr="00ED4E5F">
        <w:rPr>
          <w:rStyle w:val="FootnoteReference"/>
        </w:rPr>
        <w:footnoteRef/>
      </w:r>
      <w:r w:rsidRPr="00ED4E5F">
        <w:t xml:space="preserve"> 47 U.S.C. §</w:t>
      </w:r>
      <w:r w:rsidR="00FF72B7" w:rsidRPr="00ED4E5F">
        <w:t>§</w:t>
      </w:r>
      <w:r w:rsidRPr="00ED4E5F">
        <w:t xml:space="preserve"> </w:t>
      </w:r>
      <w:r w:rsidR="00FF72B7" w:rsidRPr="00ED4E5F">
        <w:t xml:space="preserve">303(q), </w:t>
      </w:r>
      <w:r w:rsidRPr="00ED4E5F">
        <w:t>503(b); 47 C.F.R. §§ 0.111, 1.80, 17.</w:t>
      </w:r>
      <w:r w:rsidR="00FF72B7" w:rsidRPr="00ED4E5F">
        <w:t>21</w:t>
      </w:r>
      <w:r w:rsidR="00776BD8" w:rsidRPr="00ED4E5F">
        <w:t>(a)</w:t>
      </w:r>
      <w:r w:rsidR="00FF72B7" w:rsidRPr="00ED4E5F">
        <w:t>,</w:t>
      </w:r>
      <w:r w:rsidRPr="00ED4E5F">
        <w:t xml:space="preserve"> </w:t>
      </w:r>
      <w:r w:rsidR="00FE327B" w:rsidRPr="00ED4E5F">
        <w:t xml:space="preserve">17.23, </w:t>
      </w:r>
      <w:r w:rsidRPr="00ED4E5F">
        <w:t>17.57.</w:t>
      </w:r>
    </w:p>
  </w:footnote>
  <w:footnote w:id="34">
    <w:p w:rsidR="006A5908" w:rsidRPr="00ED4E5F" w:rsidRDefault="006A5908" w:rsidP="006A5908">
      <w:pPr>
        <w:pStyle w:val="FootnoteText"/>
      </w:pPr>
      <w:r w:rsidRPr="00ED4E5F">
        <w:rPr>
          <w:rStyle w:val="FootnoteReference"/>
        </w:rPr>
        <w:footnoteRef/>
      </w:r>
      <w:r w:rsidRPr="00ED4E5F">
        <w:t xml:space="preserve"> </w:t>
      </w:r>
      <w:r w:rsidRPr="00ED4E5F">
        <w:rPr>
          <w:rFonts w:eastAsia="MS Mincho" w:cs="Arial"/>
        </w:rPr>
        <w:t>An FCC Form 159 and detailed instructions for completing the form may be obtained at http://www.fcc.gov/Forms/Form159/159.pdf.</w:t>
      </w:r>
    </w:p>
  </w:footnote>
  <w:footnote w:id="35">
    <w:p w:rsidR="006A5908" w:rsidRPr="00ED4E5F" w:rsidRDefault="006A5908" w:rsidP="006A5908">
      <w:pPr>
        <w:pStyle w:val="FootnoteText"/>
      </w:pPr>
      <w:r w:rsidRPr="00ED4E5F">
        <w:rPr>
          <w:rStyle w:val="FootnoteReference"/>
        </w:rPr>
        <w:footnoteRef/>
      </w:r>
      <w:r w:rsidRPr="00ED4E5F">
        <w:t xml:space="preserve"> </w:t>
      </w:r>
      <w:r w:rsidRPr="00ED4E5F">
        <w:rPr>
          <w:i/>
        </w:rPr>
        <w:t>See</w:t>
      </w:r>
      <w:r w:rsidRPr="00ED4E5F">
        <w:t xml:space="preserve"> 47 C.F.R. § 1.1914.</w:t>
      </w:r>
    </w:p>
  </w:footnote>
  <w:footnote w:id="36">
    <w:p w:rsidR="00362A41" w:rsidRPr="00ED4E5F" w:rsidRDefault="00362A41">
      <w:pPr>
        <w:pStyle w:val="FootnoteText"/>
      </w:pPr>
      <w:r w:rsidRPr="00ED4E5F">
        <w:rPr>
          <w:rStyle w:val="FootnoteReference"/>
        </w:rPr>
        <w:footnoteRef/>
      </w:r>
      <w:r w:rsidRPr="00ED4E5F">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A1" w:rsidRDefault="00781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41" w:rsidRPr="00331410" w:rsidRDefault="00362A41">
    <w:pPr>
      <w:pStyle w:val="Header"/>
      <w:rPr>
        <w:b w:val="0"/>
        <w:szCs w:val="22"/>
      </w:rPr>
    </w:pPr>
    <w:r>
      <w:tab/>
    </w:r>
    <w:r w:rsidRPr="00331410">
      <w:rPr>
        <w:szCs w:val="22"/>
      </w:rPr>
      <w:t>Federal Communications Commission</w:t>
    </w:r>
    <w:r w:rsidRPr="00331410">
      <w:rPr>
        <w:szCs w:val="22"/>
      </w:rPr>
      <w:tab/>
    </w:r>
    <w:r w:rsidR="001A4BB7">
      <w:rPr>
        <w:szCs w:val="22"/>
      </w:rPr>
      <w:t>FCC</w:t>
    </w:r>
    <w:r w:rsidR="003506D8">
      <w:rPr>
        <w:szCs w:val="22"/>
      </w:rPr>
      <w:t xml:space="preserve"> 13</w:t>
    </w:r>
    <w:r w:rsidR="000D3EF2">
      <w:rPr>
        <w:szCs w:val="22"/>
      </w:rPr>
      <w:t>-142</w:t>
    </w:r>
  </w:p>
  <w:p w:rsidR="00362A41" w:rsidRDefault="006A00CE">
    <w:pPr>
      <w:pStyle w:val="Header"/>
    </w:pPr>
    <w:r>
      <w:rPr>
        <w:noProof/>
      </w:rPr>
      <w:pict>
        <v:line id="_x0000_s2053" style="position:absolute;z-index:251658240" from="0,1.75pt" to="468pt,1.75pt" o:allowincell="f" strokeweight="1.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41" w:rsidRPr="00331410" w:rsidRDefault="00362A41">
    <w:pPr>
      <w:pStyle w:val="Header"/>
      <w:rPr>
        <w:b w:val="0"/>
        <w:szCs w:val="22"/>
      </w:rPr>
    </w:pPr>
    <w:r>
      <w:tab/>
    </w:r>
    <w:r w:rsidRPr="00331410">
      <w:rPr>
        <w:szCs w:val="22"/>
      </w:rPr>
      <w:t>Federal Communications Commission</w:t>
    </w:r>
    <w:r w:rsidRPr="00331410">
      <w:rPr>
        <w:szCs w:val="22"/>
      </w:rPr>
      <w:tab/>
    </w:r>
    <w:r w:rsidR="001A4BB7">
      <w:rPr>
        <w:szCs w:val="22"/>
      </w:rPr>
      <w:t>FCC</w:t>
    </w:r>
    <w:r>
      <w:rPr>
        <w:szCs w:val="22"/>
      </w:rPr>
      <w:t xml:space="preserve"> 1</w:t>
    </w:r>
    <w:r w:rsidR="003506D8">
      <w:rPr>
        <w:szCs w:val="22"/>
      </w:rPr>
      <w:t>3</w:t>
    </w:r>
    <w:r w:rsidR="000D3EF2">
      <w:rPr>
        <w:szCs w:val="22"/>
      </w:rPr>
      <w:t>-142</w:t>
    </w:r>
  </w:p>
  <w:p w:rsidR="00362A41" w:rsidRDefault="006A00CE">
    <w:pPr>
      <w:pStyle w:val="Header"/>
    </w:pPr>
    <w:r>
      <w:rPr>
        <w:noProof/>
      </w:rPr>
      <w:pict>
        <v:line id="_x0000_s2052"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1C0C3CE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5">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9">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0">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21">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5">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7">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3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2">
    <w:nsid w:val="694F3B4A"/>
    <w:multiLevelType w:val="hybridMultilevel"/>
    <w:tmpl w:val="5C243B10"/>
    <w:lvl w:ilvl="0" w:tplc="3B7C9722">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1"/>
  </w:num>
  <w:num w:numId="2">
    <w:abstractNumId w:val="33"/>
  </w:num>
  <w:num w:numId="3">
    <w:abstractNumId w:val="5"/>
  </w:num>
  <w:num w:numId="4">
    <w:abstractNumId w:val="25"/>
  </w:num>
  <w:num w:numId="5">
    <w:abstractNumId w:val="9"/>
  </w:num>
  <w:num w:numId="6">
    <w:abstractNumId w:val="28"/>
  </w:num>
  <w:num w:numId="7">
    <w:abstractNumId w:val="21"/>
  </w:num>
  <w:num w:numId="8">
    <w:abstractNumId w:val="10"/>
  </w:num>
  <w:num w:numId="9">
    <w:abstractNumId w:val="27"/>
  </w:num>
  <w:num w:numId="10">
    <w:abstractNumId w:val="16"/>
  </w:num>
  <w:num w:numId="11">
    <w:abstractNumId w:val="14"/>
  </w:num>
  <w:num w:numId="12">
    <w:abstractNumId w:val="11"/>
  </w:num>
  <w:num w:numId="13">
    <w:abstractNumId w:val="18"/>
  </w:num>
  <w:num w:numId="14">
    <w:abstractNumId w:val="26"/>
  </w:num>
  <w:num w:numId="15">
    <w:abstractNumId w:val="2"/>
  </w:num>
  <w:num w:numId="16">
    <w:abstractNumId w:val="4"/>
  </w:num>
  <w:num w:numId="17">
    <w:abstractNumId w:val="12"/>
  </w:num>
  <w:num w:numId="18">
    <w:abstractNumId w:val="1"/>
  </w:num>
  <w:num w:numId="19">
    <w:abstractNumId w:val="13"/>
  </w:num>
  <w:num w:numId="20">
    <w:abstractNumId w:val="22"/>
  </w:num>
  <w:num w:numId="21">
    <w:abstractNumId w:val="24"/>
  </w:num>
  <w:num w:numId="22">
    <w:abstractNumId w:val="20"/>
  </w:num>
  <w:num w:numId="23">
    <w:abstractNumId w:val="15"/>
  </w:num>
  <w:num w:numId="24">
    <w:abstractNumId w:val="30"/>
  </w:num>
  <w:num w:numId="25">
    <w:abstractNumId w:val="17"/>
  </w:num>
  <w:num w:numId="26">
    <w:abstractNumId w:val="32"/>
  </w:num>
  <w:num w:numId="27">
    <w:abstractNumId w:val="3"/>
  </w:num>
  <w:num w:numId="28">
    <w:abstractNumId w:val="19"/>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9"/>
  </w:num>
  <w:num w:numId="32">
    <w:abstractNumId w:val="8"/>
  </w:num>
  <w:num w:numId="33">
    <w:abstractNumId w:val="23"/>
  </w:num>
  <w:num w:numId="34">
    <w:abstractNumId w:val="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47E3"/>
    <w:rsid w:val="000002F9"/>
    <w:rsid w:val="000008DB"/>
    <w:rsid w:val="00002146"/>
    <w:rsid w:val="00004020"/>
    <w:rsid w:val="000059F9"/>
    <w:rsid w:val="00014B14"/>
    <w:rsid w:val="00017CDA"/>
    <w:rsid w:val="00026B30"/>
    <w:rsid w:val="00037295"/>
    <w:rsid w:val="000374F4"/>
    <w:rsid w:val="00046A03"/>
    <w:rsid w:val="00050854"/>
    <w:rsid w:val="00064E89"/>
    <w:rsid w:val="00071785"/>
    <w:rsid w:val="00077F92"/>
    <w:rsid w:val="0008308C"/>
    <w:rsid w:val="00087045"/>
    <w:rsid w:val="000875B1"/>
    <w:rsid w:val="000913F0"/>
    <w:rsid w:val="000A0EEE"/>
    <w:rsid w:val="000A1911"/>
    <w:rsid w:val="000A223D"/>
    <w:rsid w:val="000A5F92"/>
    <w:rsid w:val="000A71AC"/>
    <w:rsid w:val="000B1F94"/>
    <w:rsid w:val="000B3C45"/>
    <w:rsid w:val="000C0AF8"/>
    <w:rsid w:val="000C565E"/>
    <w:rsid w:val="000C75E0"/>
    <w:rsid w:val="000D0954"/>
    <w:rsid w:val="000D3357"/>
    <w:rsid w:val="000D3EF2"/>
    <w:rsid w:val="000E0451"/>
    <w:rsid w:val="000E2560"/>
    <w:rsid w:val="0010111D"/>
    <w:rsid w:val="001040E1"/>
    <w:rsid w:val="00107879"/>
    <w:rsid w:val="0011114B"/>
    <w:rsid w:val="0011170C"/>
    <w:rsid w:val="00111B40"/>
    <w:rsid w:val="00112D0C"/>
    <w:rsid w:val="00120233"/>
    <w:rsid w:val="001253C3"/>
    <w:rsid w:val="00125A4D"/>
    <w:rsid w:val="00145224"/>
    <w:rsid w:val="0014786C"/>
    <w:rsid w:val="001526A2"/>
    <w:rsid w:val="00154417"/>
    <w:rsid w:val="001665F5"/>
    <w:rsid w:val="00174A12"/>
    <w:rsid w:val="00175E71"/>
    <w:rsid w:val="001873E6"/>
    <w:rsid w:val="0019168B"/>
    <w:rsid w:val="001A4608"/>
    <w:rsid w:val="001A4BB7"/>
    <w:rsid w:val="001B6454"/>
    <w:rsid w:val="001B7197"/>
    <w:rsid w:val="001C052F"/>
    <w:rsid w:val="001C0B1F"/>
    <w:rsid w:val="001D0696"/>
    <w:rsid w:val="001D1499"/>
    <w:rsid w:val="001E1928"/>
    <w:rsid w:val="001E2A65"/>
    <w:rsid w:val="001F355C"/>
    <w:rsid w:val="00206B4D"/>
    <w:rsid w:val="00211D85"/>
    <w:rsid w:val="00215EF5"/>
    <w:rsid w:val="002240BF"/>
    <w:rsid w:val="00224BA3"/>
    <w:rsid w:val="00230FC7"/>
    <w:rsid w:val="00237F81"/>
    <w:rsid w:val="002511FB"/>
    <w:rsid w:val="0025225F"/>
    <w:rsid w:val="00252D08"/>
    <w:rsid w:val="00255A8C"/>
    <w:rsid w:val="00256422"/>
    <w:rsid w:val="00260C08"/>
    <w:rsid w:val="00282FAE"/>
    <w:rsid w:val="00286036"/>
    <w:rsid w:val="002C62DA"/>
    <w:rsid w:val="002E1C17"/>
    <w:rsid w:val="002E3099"/>
    <w:rsid w:val="002E5504"/>
    <w:rsid w:val="002E61E8"/>
    <w:rsid w:val="003003E1"/>
    <w:rsid w:val="00321805"/>
    <w:rsid w:val="00323513"/>
    <w:rsid w:val="00331410"/>
    <w:rsid w:val="0033236F"/>
    <w:rsid w:val="00334463"/>
    <w:rsid w:val="0033797D"/>
    <w:rsid w:val="00337B75"/>
    <w:rsid w:val="003422DF"/>
    <w:rsid w:val="00347CA1"/>
    <w:rsid w:val="003506D8"/>
    <w:rsid w:val="00362A41"/>
    <w:rsid w:val="00371336"/>
    <w:rsid w:val="0037216B"/>
    <w:rsid w:val="0037402F"/>
    <w:rsid w:val="003740F2"/>
    <w:rsid w:val="00377F5F"/>
    <w:rsid w:val="00380968"/>
    <w:rsid w:val="00390E0F"/>
    <w:rsid w:val="00390F1B"/>
    <w:rsid w:val="003A2112"/>
    <w:rsid w:val="003A7878"/>
    <w:rsid w:val="003B7C4B"/>
    <w:rsid w:val="003C6C3C"/>
    <w:rsid w:val="003E2AD5"/>
    <w:rsid w:val="003E5DD0"/>
    <w:rsid w:val="003F3CFD"/>
    <w:rsid w:val="003F4A39"/>
    <w:rsid w:val="003F653D"/>
    <w:rsid w:val="004034D4"/>
    <w:rsid w:val="00410CFC"/>
    <w:rsid w:val="004110FC"/>
    <w:rsid w:val="0041443C"/>
    <w:rsid w:val="00422E17"/>
    <w:rsid w:val="004236DE"/>
    <w:rsid w:val="00425706"/>
    <w:rsid w:val="00432533"/>
    <w:rsid w:val="00437F16"/>
    <w:rsid w:val="00452342"/>
    <w:rsid w:val="00455AFB"/>
    <w:rsid w:val="00461386"/>
    <w:rsid w:val="00470499"/>
    <w:rsid w:val="004721D2"/>
    <w:rsid w:val="00474009"/>
    <w:rsid w:val="00480707"/>
    <w:rsid w:val="00481687"/>
    <w:rsid w:val="00484313"/>
    <w:rsid w:val="00492A3A"/>
    <w:rsid w:val="00492AC5"/>
    <w:rsid w:val="004930F5"/>
    <w:rsid w:val="004947A6"/>
    <w:rsid w:val="00495E50"/>
    <w:rsid w:val="004B1B95"/>
    <w:rsid w:val="004B5194"/>
    <w:rsid w:val="004B6061"/>
    <w:rsid w:val="004B6C04"/>
    <w:rsid w:val="004C6D99"/>
    <w:rsid w:val="004D5893"/>
    <w:rsid w:val="004D5FBB"/>
    <w:rsid w:val="004E00D3"/>
    <w:rsid w:val="004E43A1"/>
    <w:rsid w:val="004E7B99"/>
    <w:rsid w:val="004F184C"/>
    <w:rsid w:val="004F1AF1"/>
    <w:rsid w:val="004F3AD5"/>
    <w:rsid w:val="00502239"/>
    <w:rsid w:val="005037E1"/>
    <w:rsid w:val="005065F9"/>
    <w:rsid w:val="00510919"/>
    <w:rsid w:val="00512D71"/>
    <w:rsid w:val="00534203"/>
    <w:rsid w:val="0053504A"/>
    <w:rsid w:val="00536D21"/>
    <w:rsid w:val="005566EA"/>
    <w:rsid w:val="005570D9"/>
    <w:rsid w:val="00562443"/>
    <w:rsid w:val="00574A7A"/>
    <w:rsid w:val="00582A6F"/>
    <w:rsid w:val="00586470"/>
    <w:rsid w:val="00594C4A"/>
    <w:rsid w:val="00597571"/>
    <w:rsid w:val="005A6D86"/>
    <w:rsid w:val="005B4219"/>
    <w:rsid w:val="005D110D"/>
    <w:rsid w:val="005E587D"/>
    <w:rsid w:val="005F002F"/>
    <w:rsid w:val="005F3B93"/>
    <w:rsid w:val="005F483B"/>
    <w:rsid w:val="005F67D7"/>
    <w:rsid w:val="005F6CD3"/>
    <w:rsid w:val="0060037B"/>
    <w:rsid w:val="00607D4F"/>
    <w:rsid w:val="006119F8"/>
    <w:rsid w:val="00624E7D"/>
    <w:rsid w:val="00625960"/>
    <w:rsid w:val="0064037F"/>
    <w:rsid w:val="00645C12"/>
    <w:rsid w:val="00650263"/>
    <w:rsid w:val="00651DE2"/>
    <w:rsid w:val="006539EF"/>
    <w:rsid w:val="00667870"/>
    <w:rsid w:val="00682063"/>
    <w:rsid w:val="00683F6F"/>
    <w:rsid w:val="006852D5"/>
    <w:rsid w:val="006868B5"/>
    <w:rsid w:val="006A00CE"/>
    <w:rsid w:val="006A5908"/>
    <w:rsid w:val="006B49AA"/>
    <w:rsid w:val="006B50EA"/>
    <w:rsid w:val="006C0122"/>
    <w:rsid w:val="006C27D5"/>
    <w:rsid w:val="006C72D8"/>
    <w:rsid w:val="006C772D"/>
    <w:rsid w:val="006F126E"/>
    <w:rsid w:val="006F3776"/>
    <w:rsid w:val="00701244"/>
    <w:rsid w:val="00707426"/>
    <w:rsid w:val="007124A5"/>
    <w:rsid w:val="00715460"/>
    <w:rsid w:val="00716561"/>
    <w:rsid w:val="007241C5"/>
    <w:rsid w:val="00733EDE"/>
    <w:rsid w:val="007417E2"/>
    <w:rsid w:val="00747060"/>
    <w:rsid w:val="007504FD"/>
    <w:rsid w:val="0075317A"/>
    <w:rsid w:val="00766DFA"/>
    <w:rsid w:val="00772ACB"/>
    <w:rsid w:val="0077470C"/>
    <w:rsid w:val="00776469"/>
    <w:rsid w:val="00776BD8"/>
    <w:rsid w:val="00777E77"/>
    <w:rsid w:val="00780C18"/>
    <w:rsid w:val="00781BA1"/>
    <w:rsid w:val="00787C4B"/>
    <w:rsid w:val="007907B0"/>
    <w:rsid w:val="00794C59"/>
    <w:rsid w:val="0079650C"/>
    <w:rsid w:val="00797F2A"/>
    <w:rsid w:val="007A45F8"/>
    <w:rsid w:val="007A65E0"/>
    <w:rsid w:val="007B66E4"/>
    <w:rsid w:val="007D5D3C"/>
    <w:rsid w:val="007E0AE7"/>
    <w:rsid w:val="007E2E05"/>
    <w:rsid w:val="007E3681"/>
    <w:rsid w:val="007F1F4A"/>
    <w:rsid w:val="008024F6"/>
    <w:rsid w:val="008041B6"/>
    <w:rsid w:val="008049AC"/>
    <w:rsid w:val="00832D6C"/>
    <w:rsid w:val="00835BA3"/>
    <w:rsid w:val="008360C7"/>
    <w:rsid w:val="00840A6A"/>
    <w:rsid w:val="00843C66"/>
    <w:rsid w:val="00845A07"/>
    <w:rsid w:val="0084753E"/>
    <w:rsid w:val="00856437"/>
    <w:rsid w:val="00857A6E"/>
    <w:rsid w:val="00860682"/>
    <w:rsid w:val="00872BBE"/>
    <w:rsid w:val="00875DB2"/>
    <w:rsid w:val="00880697"/>
    <w:rsid w:val="00880ADE"/>
    <w:rsid w:val="00882028"/>
    <w:rsid w:val="008A2D9E"/>
    <w:rsid w:val="008A72C7"/>
    <w:rsid w:val="008B01FF"/>
    <w:rsid w:val="008B1602"/>
    <w:rsid w:val="008B179F"/>
    <w:rsid w:val="008B298C"/>
    <w:rsid w:val="008B58B7"/>
    <w:rsid w:val="008C0E48"/>
    <w:rsid w:val="008C1DB8"/>
    <w:rsid w:val="008C4978"/>
    <w:rsid w:val="008D235A"/>
    <w:rsid w:val="008D2C46"/>
    <w:rsid w:val="008D3B6D"/>
    <w:rsid w:val="008E43E6"/>
    <w:rsid w:val="008F642C"/>
    <w:rsid w:val="0090205C"/>
    <w:rsid w:val="0091686F"/>
    <w:rsid w:val="00920C19"/>
    <w:rsid w:val="009213D0"/>
    <w:rsid w:val="009216B9"/>
    <w:rsid w:val="00926B01"/>
    <w:rsid w:val="00937484"/>
    <w:rsid w:val="009423ED"/>
    <w:rsid w:val="0095684E"/>
    <w:rsid w:val="0095746D"/>
    <w:rsid w:val="009578B1"/>
    <w:rsid w:val="00961435"/>
    <w:rsid w:val="00963C35"/>
    <w:rsid w:val="00967758"/>
    <w:rsid w:val="009711A7"/>
    <w:rsid w:val="009712F4"/>
    <w:rsid w:val="00980DFC"/>
    <w:rsid w:val="0098428E"/>
    <w:rsid w:val="00986009"/>
    <w:rsid w:val="00990FB6"/>
    <w:rsid w:val="009919FD"/>
    <w:rsid w:val="009A04F9"/>
    <w:rsid w:val="009A2859"/>
    <w:rsid w:val="009A53EB"/>
    <w:rsid w:val="009A7D69"/>
    <w:rsid w:val="009B5798"/>
    <w:rsid w:val="009C277B"/>
    <w:rsid w:val="009C288F"/>
    <w:rsid w:val="009C64A7"/>
    <w:rsid w:val="009C65CC"/>
    <w:rsid w:val="009D2189"/>
    <w:rsid w:val="009D4974"/>
    <w:rsid w:val="009D6F07"/>
    <w:rsid w:val="009D7325"/>
    <w:rsid w:val="009E0209"/>
    <w:rsid w:val="009E4540"/>
    <w:rsid w:val="009F09C7"/>
    <w:rsid w:val="009F6370"/>
    <w:rsid w:val="009F6C24"/>
    <w:rsid w:val="00A03908"/>
    <w:rsid w:val="00A10DA6"/>
    <w:rsid w:val="00A12D37"/>
    <w:rsid w:val="00A16AF9"/>
    <w:rsid w:val="00A20262"/>
    <w:rsid w:val="00A25CF4"/>
    <w:rsid w:val="00A406CC"/>
    <w:rsid w:val="00A53F95"/>
    <w:rsid w:val="00A546FC"/>
    <w:rsid w:val="00A55430"/>
    <w:rsid w:val="00A618A2"/>
    <w:rsid w:val="00A7241A"/>
    <w:rsid w:val="00A76BC5"/>
    <w:rsid w:val="00A7744F"/>
    <w:rsid w:val="00A84588"/>
    <w:rsid w:val="00A90E29"/>
    <w:rsid w:val="00AA6CDD"/>
    <w:rsid w:val="00AB3F15"/>
    <w:rsid w:val="00AB6379"/>
    <w:rsid w:val="00AC22E9"/>
    <w:rsid w:val="00AC2EC0"/>
    <w:rsid w:val="00AC67BE"/>
    <w:rsid w:val="00AD1202"/>
    <w:rsid w:val="00AE3A0F"/>
    <w:rsid w:val="00B017CE"/>
    <w:rsid w:val="00B02B1C"/>
    <w:rsid w:val="00B04DF4"/>
    <w:rsid w:val="00B14B93"/>
    <w:rsid w:val="00B26EFA"/>
    <w:rsid w:val="00B30CF1"/>
    <w:rsid w:val="00B34188"/>
    <w:rsid w:val="00B44BF8"/>
    <w:rsid w:val="00B6730F"/>
    <w:rsid w:val="00B70009"/>
    <w:rsid w:val="00B711FC"/>
    <w:rsid w:val="00B8496B"/>
    <w:rsid w:val="00B9222B"/>
    <w:rsid w:val="00BA41F2"/>
    <w:rsid w:val="00BA6DFF"/>
    <w:rsid w:val="00BB34F3"/>
    <w:rsid w:val="00BB4E8D"/>
    <w:rsid w:val="00BB5A17"/>
    <w:rsid w:val="00BC4C76"/>
    <w:rsid w:val="00BD24E7"/>
    <w:rsid w:val="00BD6FBC"/>
    <w:rsid w:val="00BE33EC"/>
    <w:rsid w:val="00BF1745"/>
    <w:rsid w:val="00C133D6"/>
    <w:rsid w:val="00C31012"/>
    <w:rsid w:val="00C326BD"/>
    <w:rsid w:val="00C46609"/>
    <w:rsid w:val="00C46A39"/>
    <w:rsid w:val="00C55AF9"/>
    <w:rsid w:val="00C575D2"/>
    <w:rsid w:val="00C600C5"/>
    <w:rsid w:val="00C74DDE"/>
    <w:rsid w:val="00C8210C"/>
    <w:rsid w:val="00C90F48"/>
    <w:rsid w:val="00C91804"/>
    <w:rsid w:val="00C923EC"/>
    <w:rsid w:val="00CA02FA"/>
    <w:rsid w:val="00CB4AF7"/>
    <w:rsid w:val="00CD261F"/>
    <w:rsid w:val="00CD5AA2"/>
    <w:rsid w:val="00CE0C5A"/>
    <w:rsid w:val="00CE1311"/>
    <w:rsid w:val="00CF4AB3"/>
    <w:rsid w:val="00D02F61"/>
    <w:rsid w:val="00D05483"/>
    <w:rsid w:val="00D068BB"/>
    <w:rsid w:val="00D1588B"/>
    <w:rsid w:val="00D15A5F"/>
    <w:rsid w:val="00D23B17"/>
    <w:rsid w:val="00D24820"/>
    <w:rsid w:val="00D2678F"/>
    <w:rsid w:val="00D52690"/>
    <w:rsid w:val="00D5418F"/>
    <w:rsid w:val="00D57AE2"/>
    <w:rsid w:val="00D63308"/>
    <w:rsid w:val="00D73920"/>
    <w:rsid w:val="00D75D8D"/>
    <w:rsid w:val="00D82D5A"/>
    <w:rsid w:val="00D87C7F"/>
    <w:rsid w:val="00D97386"/>
    <w:rsid w:val="00D97C83"/>
    <w:rsid w:val="00DA6F52"/>
    <w:rsid w:val="00DB0774"/>
    <w:rsid w:val="00DC0A62"/>
    <w:rsid w:val="00DC3AC7"/>
    <w:rsid w:val="00DC7D2B"/>
    <w:rsid w:val="00DD189C"/>
    <w:rsid w:val="00DD21DF"/>
    <w:rsid w:val="00DD2637"/>
    <w:rsid w:val="00E16103"/>
    <w:rsid w:val="00E22544"/>
    <w:rsid w:val="00E458B2"/>
    <w:rsid w:val="00E46CD0"/>
    <w:rsid w:val="00E52C78"/>
    <w:rsid w:val="00E55CD6"/>
    <w:rsid w:val="00E6621A"/>
    <w:rsid w:val="00E71210"/>
    <w:rsid w:val="00E72B28"/>
    <w:rsid w:val="00E80AF9"/>
    <w:rsid w:val="00E847E3"/>
    <w:rsid w:val="00E90F23"/>
    <w:rsid w:val="00E92EAB"/>
    <w:rsid w:val="00EA4240"/>
    <w:rsid w:val="00EB57F9"/>
    <w:rsid w:val="00EC0A33"/>
    <w:rsid w:val="00ED27FD"/>
    <w:rsid w:val="00ED4E5F"/>
    <w:rsid w:val="00EE0CF5"/>
    <w:rsid w:val="00F228FF"/>
    <w:rsid w:val="00F25F9A"/>
    <w:rsid w:val="00F30E61"/>
    <w:rsid w:val="00F31F5A"/>
    <w:rsid w:val="00F33DC1"/>
    <w:rsid w:val="00F34257"/>
    <w:rsid w:val="00F4002B"/>
    <w:rsid w:val="00F4123C"/>
    <w:rsid w:val="00F42246"/>
    <w:rsid w:val="00F46870"/>
    <w:rsid w:val="00F6189B"/>
    <w:rsid w:val="00F634DD"/>
    <w:rsid w:val="00F71FE7"/>
    <w:rsid w:val="00F73345"/>
    <w:rsid w:val="00F7788B"/>
    <w:rsid w:val="00F8155A"/>
    <w:rsid w:val="00F824FB"/>
    <w:rsid w:val="00F82954"/>
    <w:rsid w:val="00F866C4"/>
    <w:rsid w:val="00F95EC6"/>
    <w:rsid w:val="00F97C89"/>
    <w:rsid w:val="00FA4A92"/>
    <w:rsid w:val="00FB0D07"/>
    <w:rsid w:val="00FB30D7"/>
    <w:rsid w:val="00FB4702"/>
    <w:rsid w:val="00FB4A0A"/>
    <w:rsid w:val="00FB5D2C"/>
    <w:rsid w:val="00FD787C"/>
    <w:rsid w:val="00FE0C77"/>
    <w:rsid w:val="00FE1DEB"/>
    <w:rsid w:val="00FE23FD"/>
    <w:rsid w:val="00FE327B"/>
    <w:rsid w:val="00FF04A7"/>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0CE"/>
    <w:pPr>
      <w:widowControl w:val="0"/>
    </w:pPr>
    <w:rPr>
      <w:snapToGrid w:val="0"/>
      <w:kern w:val="28"/>
      <w:sz w:val="22"/>
    </w:rPr>
  </w:style>
  <w:style w:type="paragraph" w:styleId="Heading1">
    <w:name w:val="heading 1"/>
    <w:basedOn w:val="Normal"/>
    <w:next w:val="ParaNum"/>
    <w:qFormat/>
    <w:rsid w:val="006A00CE"/>
    <w:pPr>
      <w:keepNext/>
      <w:numPr>
        <w:numId w:val="3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A00CE"/>
    <w:pPr>
      <w:keepNext/>
      <w:numPr>
        <w:ilvl w:val="1"/>
        <w:numId w:val="32"/>
      </w:numPr>
      <w:spacing w:after="120"/>
      <w:outlineLvl w:val="1"/>
    </w:pPr>
    <w:rPr>
      <w:b/>
    </w:rPr>
  </w:style>
  <w:style w:type="paragraph" w:styleId="Heading3">
    <w:name w:val="heading 3"/>
    <w:basedOn w:val="Normal"/>
    <w:next w:val="ParaNum"/>
    <w:qFormat/>
    <w:rsid w:val="006A00CE"/>
    <w:pPr>
      <w:keepNext/>
      <w:numPr>
        <w:ilvl w:val="2"/>
        <w:numId w:val="32"/>
      </w:numPr>
      <w:tabs>
        <w:tab w:val="left" w:pos="2160"/>
      </w:tabs>
      <w:spacing w:after="120"/>
      <w:outlineLvl w:val="2"/>
    </w:pPr>
    <w:rPr>
      <w:b/>
    </w:rPr>
  </w:style>
  <w:style w:type="paragraph" w:styleId="Heading4">
    <w:name w:val="heading 4"/>
    <w:basedOn w:val="Normal"/>
    <w:next w:val="ParaNum"/>
    <w:qFormat/>
    <w:rsid w:val="006A00CE"/>
    <w:pPr>
      <w:keepNext/>
      <w:numPr>
        <w:ilvl w:val="3"/>
        <w:numId w:val="32"/>
      </w:numPr>
      <w:tabs>
        <w:tab w:val="left" w:pos="2880"/>
      </w:tabs>
      <w:spacing w:after="120"/>
      <w:outlineLvl w:val="3"/>
    </w:pPr>
    <w:rPr>
      <w:b/>
    </w:rPr>
  </w:style>
  <w:style w:type="paragraph" w:styleId="Heading5">
    <w:name w:val="heading 5"/>
    <w:basedOn w:val="Normal"/>
    <w:next w:val="ParaNum"/>
    <w:qFormat/>
    <w:rsid w:val="006A00CE"/>
    <w:pPr>
      <w:keepNext/>
      <w:numPr>
        <w:ilvl w:val="4"/>
        <w:numId w:val="32"/>
      </w:numPr>
      <w:tabs>
        <w:tab w:val="left" w:pos="3600"/>
      </w:tabs>
      <w:suppressAutoHyphens/>
      <w:spacing w:after="120"/>
      <w:outlineLvl w:val="4"/>
    </w:pPr>
    <w:rPr>
      <w:b/>
    </w:rPr>
  </w:style>
  <w:style w:type="paragraph" w:styleId="Heading6">
    <w:name w:val="heading 6"/>
    <w:basedOn w:val="Normal"/>
    <w:next w:val="ParaNum"/>
    <w:qFormat/>
    <w:rsid w:val="006A00CE"/>
    <w:pPr>
      <w:numPr>
        <w:ilvl w:val="5"/>
        <w:numId w:val="32"/>
      </w:numPr>
      <w:tabs>
        <w:tab w:val="left" w:pos="4320"/>
      </w:tabs>
      <w:spacing w:after="120"/>
      <w:outlineLvl w:val="5"/>
    </w:pPr>
    <w:rPr>
      <w:b/>
    </w:rPr>
  </w:style>
  <w:style w:type="paragraph" w:styleId="Heading7">
    <w:name w:val="heading 7"/>
    <w:basedOn w:val="Normal"/>
    <w:next w:val="ParaNum"/>
    <w:qFormat/>
    <w:rsid w:val="006A00CE"/>
    <w:pPr>
      <w:numPr>
        <w:ilvl w:val="6"/>
        <w:numId w:val="32"/>
      </w:numPr>
      <w:tabs>
        <w:tab w:val="left" w:pos="5040"/>
      </w:tabs>
      <w:spacing w:after="120"/>
      <w:ind w:left="5040" w:hanging="720"/>
      <w:outlineLvl w:val="6"/>
    </w:pPr>
    <w:rPr>
      <w:b/>
    </w:rPr>
  </w:style>
  <w:style w:type="paragraph" w:styleId="Heading8">
    <w:name w:val="heading 8"/>
    <w:basedOn w:val="Normal"/>
    <w:next w:val="ParaNum"/>
    <w:qFormat/>
    <w:rsid w:val="006A00CE"/>
    <w:pPr>
      <w:numPr>
        <w:ilvl w:val="7"/>
        <w:numId w:val="32"/>
      </w:numPr>
      <w:tabs>
        <w:tab w:val="clear" w:pos="5400"/>
        <w:tab w:val="left" w:pos="5760"/>
      </w:tabs>
      <w:spacing w:after="120"/>
      <w:ind w:left="5760" w:hanging="720"/>
      <w:outlineLvl w:val="7"/>
    </w:pPr>
    <w:rPr>
      <w:b/>
    </w:rPr>
  </w:style>
  <w:style w:type="paragraph" w:styleId="Heading9">
    <w:name w:val="heading 9"/>
    <w:basedOn w:val="Normal"/>
    <w:next w:val="ParaNum"/>
    <w:qFormat/>
    <w:rsid w:val="006A00CE"/>
    <w:pPr>
      <w:numPr>
        <w:ilvl w:val="8"/>
        <w:numId w:val="3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A00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00CE"/>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6A00CE"/>
    <w:pPr>
      <w:numPr>
        <w:numId w:val="31"/>
      </w:numPr>
      <w:tabs>
        <w:tab w:val="clear" w:pos="1080"/>
        <w:tab w:val="num" w:pos="1440"/>
      </w:tabs>
      <w:spacing w:after="120"/>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rsid w:val="006A00CE"/>
    <w:pPr>
      <w:spacing w:after="120"/>
    </w:pPr>
  </w:style>
  <w:style w:type="paragraph" w:customStyle="1" w:styleId="Bullet">
    <w:name w:val="Bullet"/>
    <w:basedOn w:val="Normal"/>
    <w:rsid w:val="006A00CE"/>
    <w:pPr>
      <w:tabs>
        <w:tab w:val="left" w:pos="2160"/>
      </w:tabs>
      <w:spacing w:after="220"/>
      <w:ind w:left="2160" w:hanging="720"/>
    </w:pPr>
  </w:style>
  <w:style w:type="paragraph" w:styleId="BlockText">
    <w:name w:val="Block Text"/>
    <w:basedOn w:val="Normal"/>
    <w:rsid w:val="006A00CE"/>
    <w:pPr>
      <w:spacing w:after="240"/>
      <w:ind w:left="1440" w:right="1440"/>
    </w:pPr>
  </w:style>
  <w:style w:type="paragraph" w:customStyle="1" w:styleId="TableFormat">
    <w:name w:val="TableFormat"/>
    <w:basedOn w:val="Bullet"/>
    <w:rsid w:val="006A00CE"/>
    <w:pPr>
      <w:tabs>
        <w:tab w:val="clear" w:pos="2160"/>
        <w:tab w:val="left" w:pos="5040"/>
      </w:tabs>
      <w:ind w:left="5040" w:hanging="3600"/>
    </w:pPr>
  </w:style>
  <w:style w:type="character" w:styleId="FootnoteReference">
    <w:name w:val="footnote reference"/>
    <w:aliases w:val="Style 12,(NECG) Footnote Reference,Appel note de bas de p,Style 124,Style 4,Style 13,o,fr,Style 3"/>
    <w:rsid w:val="006A00CE"/>
    <w:rPr>
      <w:rFonts w:ascii="Times New Roman" w:hAnsi="Times New Roman"/>
      <w:dstrike w:val="0"/>
      <w:color w:val="auto"/>
      <w:sz w:val="20"/>
      <w:vertAlign w:val="superscript"/>
    </w:rPr>
  </w:style>
  <w:style w:type="paragraph" w:styleId="Header">
    <w:name w:val="header"/>
    <w:basedOn w:val="Normal"/>
    <w:autoRedefine/>
    <w:rsid w:val="006A00CE"/>
    <w:pPr>
      <w:tabs>
        <w:tab w:val="center" w:pos="4680"/>
        <w:tab w:val="right" w:pos="9360"/>
      </w:tabs>
    </w:pPr>
    <w:rPr>
      <w:b/>
    </w:rPr>
  </w:style>
  <w:style w:type="paragraph" w:styleId="Footer">
    <w:name w:val="footer"/>
    <w:basedOn w:val="Normal"/>
    <w:rsid w:val="006A00CE"/>
    <w:pPr>
      <w:tabs>
        <w:tab w:val="center" w:pos="4320"/>
        <w:tab w:val="right" w:pos="8640"/>
      </w:tabs>
    </w:pPr>
  </w:style>
  <w:style w:type="paragraph" w:styleId="TOC2">
    <w:name w:val="toc 2"/>
    <w:basedOn w:val="Normal"/>
    <w:next w:val="Normal"/>
    <w:semiHidden/>
    <w:rsid w:val="006A00CE"/>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6A00CE"/>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6A00C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A00C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A00C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A00C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A00C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A00C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A00CE"/>
    <w:pPr>
      <w:tabs>
        <w:tab w:val="left" w:pos="3240"/>
        <w:tab w:val="right" w:leader="dot" w:pos="9360"/>
      </w:tabs>
      <w:suppressAutoHyphens/>
      <w:ind w:left="3240" w:hanging="360"/>
    </w:pPr>
    <w:rPr>
      <w:noProof/>
    </w:rPr>
  </w:style>
  <w:style w:type="character" w:styleId="PageNumber">
    <w:name w:val="page number"/>
    <w:basedOn w:val="DefaultParagraphFont"/>
    <w:rsid w:val="006A00CE"/>
  </w:style>
  <w:style w:type="paragraph" w:styleId="Title">
    <w:name w:val="Title"/>
    <w:basedOn w:val="Normal"/>
    <w:qFormat/>
    <w:pPr>
      <w:jc w:val="center"/>
    </w:pPr>
    <w:rPr>
      <w:b/>
    </w:rPr>
  </w:style>
  <w:style w:type="character" w:styleId="Hyperlink">
    <w:name w:val="Hyperlink"/>
    <w:rsid w:val="006A00CE"/>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p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style>
  <w:style w:type="paragraph" w:styleId="ListParagraph">
    <w:name w:val="List Paragraph"/>
    <w:basedOn w:val="Normal"/>
    <w:uiPriority w:val="34"/>
    <w:qFormat/>
    <w:rsid w:val="00872BBE"/>
    <w:pPr>
      <w:ind w:left="720"/>
    </w:pPr>
  </w:style>
  <w:style w:type="character" w:customStyle="1" w:styleId="ParaNumChar">
    <w:name w:val="ParaNum Char"/>
    <w:link w:val="ParaNum"/>
    <w:rsid w:val="006A5908"/>
    <w:rPr>
      <w:snapToGrid w:val="0"/>
      <w:kern w:val="28"/>
      <w:sz w:val="22"/>
    </w:rPr>
  </w:style>
  <w:style w:type="character" w:customStyle="1" w:styleId="apple-converted-space">
    <w:name w:val="apple-converted-space"/>
    <w:rsid w:val="00797F2A"/>
  </w:style>
  <w:style w:type="paragraph" w:styleId="EndnoteText">
    <w:name w:val="endnote text"/>
    <w:basedOn w:val="Normal"/>
    <w:link w:val="EndnoteTextChar"/>
    <w:rsid w:val="006A00CE"/>
    <w:rPr>
      <w:sz w:val="20"/>
    </w:rPr>
  </w:style>
  <w:style w:type="character" w:customStyle="1" w:styleId="EndnoteTextChar">
    <w:name w:val="Endnote Text Char"/>
    <w:basedOn w:val="DefaultParagraphFont"/>
    <w:link w:val="EndnoteText"/>
    <w:rsid w:val="00D23B17"/>
    <w:rPr>
      <w:snapToGrid w:val="0"/>
      <w:kern w:val="28"/>
    </w:rPr>
  </w:style>
  <w:style w:type="character" w:styleId="EndnoteReference">
    <w:name w:val="endnote reference"/>
    <w:rsid w:val="006A00CE"/>
    <w:rPr>
      <w:vertAlign w:val="superscript"/>
    </w:rPr>
  </w:style>
  <w:style w:type="paragraph" w:styleId="TOAHeading">
    <w:name w:val="toa heading"/>
    <w:basedOn w:val="Normal"/>
    <w:next w:val="Normal"/>
    <w:rsid w:val="006A00CE"/>
    <w:pPr>
      <w:tabs>
        <w:tab w:val="right" w:pos="9360"/>
      </w:tabs>
      <w:suppressAutoHyphens/>
    </w:pPr>
  </w:style>
  <w:style w:type="character" w:customStyle="1" w:styleId="EquationCaption">
    <w:name w:val="_Equation Caption"/>
    <w:rsid w:val="006A00CE"/>
  </w:style>
  <w:style w:type="paragraph" w:customStyle="1" w:styleId="Paratitle">
    <w:name w:val="Para title"/>
    <w:basedOn w:val="Normal"/>
    <w:rsid w:val="006A00CE"/>
    <w:pPr>
      <w:tabs>
        <w:tab w:val="center" w:pos="9270"/>
      </w:tabs>
      <w:spacing w:after="240"/>
    </w:pPr>
    <w:rPr>
      <w:spacing w:val="-2"/>
    </w:rPr>
  </w:style>
  <w:style w:type="paragraph" w:customStyle="1" w:styleId="TOCTitle">
    <w:name w:val="TOC Title"/>
    <w:basedOn w:val="Normal"/>
    <w:rsid w:val="006A00C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A00CE"/>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0CE"/>
    <w:pPr>
      <w:widowControl w:val="0"/>
    </w:pPr>
    <w:rPr>
      <w:snapToGrid w:val="0"/>
      <w:kern w:val="28"/>
      <w:sz w:val="22"/>
    </w:rPr>
  </w:style>
  <w:style w:type="paragraph" w:styleId="Heading1">
    <w:name w:val="heading 1"/>
    <w:basedOn w:val="Normal"/>
    <w:next w:val="ParaNum"/>
    <w:qFormat/>
    <w:rsid w:val="006A00CE"/>
    <w:pPr>
      <w:keepNext/>
      <w:numPr>
        <w:numId w:val="3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A00CE"/>
    <w:pPr>
      <w:keepNext/>
      <w:numPr>
        <w:ilvl w:val="1"/>
        <w:numId w:val="32"/>
      </w:numPr>
      <w:spacing w:after="120"/>
      <w:outlineLvl w:val="1"/>
    </w:pPr>
    <w:rPr>
      <w:b/>
    </w:rPr>
  </w:style>
  <w:style w:type="paragraph" w:styleId="Heading3">
    <w:name w:val="heading 3"/>
    <w:basedOn w:val="Normal"/>
    <w:next w:val="ParaNum"/>
    <w:qFormat/>
    <w:rsid w:val="006A00CE"/>
    <w:pPr>
      <w:keepNext/>
      <w:numPr>
        <w:ilvl w:val="2"/>
        <w:numId w:val="32"/>
      </w:numPr>
      <w:tabs>
        <w:tab w:val="left" w:pos="2160"/>
      </w:tabs>
      <w:spacing w:after="120"/>
      <w:outlineLvl w:val="2"/>
    </w:pPr>
    <w:rPr>
      <w:b/>
    </w:rPr>
  </w:style>
  <w:style w:type="paragraph" w:styleId="Heading4">
    <w:name w:val="heading 4"/>
    <w:basedOn w:val="Normal"/>
    <w:next w:val="ParaNum"/>
    <w:qFormat/>
    <w:rsid w:val="006A00CE"/>
    <w:pPr>
      <w:keepNext/>
      <w:numPr>
        <w:ilvl w:val="3"/>
        <w:numId w:val="32"/>
      </w:numPr>
      <w:tabs>
        <w:tab w:val="left" w:pos="2880"/>
      </w:tabs>
      <w:spacing w:after="120"/>
      <w:outlineLvl w:val="3"/>
    </w:pPr>
    <w:rPr>
      <w:b/>
    </w:rPr>
  </w:style>
  <w:style w:type="paragraph" w:styleId="Heading5">
    <w:name w:val="heading 5"/>
    <w:basedOn w:val="Normal"/>
    <w:next w:val="ParaNum"/>
    <w:qFormat/>
    <w:rsid w:val="006A00CE"/>
    <w:pPr>
      <w:keepNext/>
      <w:numPr>
        <w:ilvl w:val="4"/>
        <w:numId w:val="32"/>
      </w:numPr>
      <w:tabs>
        <w:tab w:val="left" w:pos="3600"/>
      </w:tabs>
      <w:suppressAutoHyphens/>
      <w:spacing w:after="120"/>
      <w:outlineLvl w:val="4"/>
    </w:pPr>
    <w:rPr>
      <w:b/>
    </w:rPr>
  </w:style>
  <w:style w:type="paragraph" w:styleId="Heading6">
    <w:name w:val="heading 6"/>
    <w:basedOn w:val="Normal"/>
    <w:next w:val="ParaNum"/>
    <w:qFormat/>
    <w:rsid w:val="006A00CE"/>
    <w:pPr>
      <w:numPr>
        <w:ilvl w:val="5"/>
        <w:numId w:val="32"/>
      </w:numPr>
      <w:tabs>
        <w:tab w:val="left" w:pos="4320"/>
      </w:tabs>
      <w:spacing w:after="120"/>
      <w:outlineLvl w:val="5"/>
    </w:pPr>
    <w:rPr>
      <w:b/>
    </w:rPr>
  </w:style>
  <w:style w:type="paragraph" w:styleId="Heading7">
    <w:name w:val="heading 7"/>
    <w:basedOn w:val="Normal"/>
    <w:next w:val="ParaNum"/>
    <w:qFormat/>
    <w:rsid w:val="006A00CE"/>
    <w:pPr>
      <w:numPr>
        <w:ilvl w:val="6"/>
        <w:numId w:val="32"/>
      </w:numPr>
      <w:tabs>
        <w:tab w:val="left" w:pos="5040"/>
      </w:tabs>
      <w:spacing w:after="120"/>
      <w:ind w:left="5040" w:hanging="720"/>
      <w:outlineLvl w:val="6"/>
    </w:pPr>
    <w:rPr>
      <w:b/>
    </w:rPr>
  </w:style>
  <w:style w:type="paragraph" w:styleId="Heading8">
    <w:name w:val="heading 8"/>
    <w:basedOn w:val="Normal"/>
    <w:next w:val="ParaNum"/>
    <w:qFormat/>
    <w:rsid w:val="006A00CE"/>
    <w:pPr>
      <w:numPr>
        <w:ilvl w:val="7"/>
        <w:numId w:val="32"/>
      </w:numPr>
      <w:tabs>
        <w:tab w:val="clear" w:pos="5400"/>
        <w:tab w:val="left" w:pos="5760"/>
      </w:tabs>
      <w:spacing w:after="120"/>
      <w:ind w:left="5760" w:hanging="720"/>
      <w:outlineLvl w:val="7"/>
    </w:pPr>
    <w:rPr>
      <w:b/>
    </w:rPr>
  </w:style>
  <w:style w:type="paragraph" w:styleId="Heading9">
    <w:name w:val="heading 9"/>
    <w:basedOn w:val="Normal"/>
    <w:next w:val="ParaNum"/>
    <w:qFormat/>
    <w:rsid w:val="006A00CE"/>
    <w:pPr>
      <w:numPr>
        <w:ilvl w:val="8"/>
        <w:numId w:val="3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A00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00CE"/>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6A00CE"/>
    <w:pPr>
      <w:numPr>
        <w:numId w:val="31"/>
      </w:numPr>
      <w:tabs>
        <w:tab w:val="clear" w:pos="1080"/>
        <w:tab w:val="num" w:pos="1440"/>
      </w:tabs>
      <w:spacing w:after="120"/>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rsid w:val="006A00CE"/>
    <w:pPr>
      <w:spacing w:after="120"/>
    </w:pPr>
  </w:style>
  <w:style w:type="paragraph" w:customStyle="1" w:styleId="Bullet">
    <w:name w:val="Bullet"/>
    <w:basedOn w:val="Normal"/>
    <w:rsid w:val="006A00CE"/>
    <w:pPr>
      <w:tabs>
        <w:tab w:val="left" w:pos="2160"/>
      </w:tabs>
      <w:spacing w:after="220"/>
      <w:ind w:left="2160" w:hanging="720"/>
    </w:pPr>
  </w:style>
  <w:style w:type="paragraph" w:styleId="BlockText">
    <w:name w:val="Block Text"/>
    <w:basedOn w:val="Normal"/>
    <w:rsid w:val="006A00CE"/>
    <w:pPr>
      <w:spacing w:after="240"/>
      <w:ind w:left="1440" w:right="1440"/>
    </w:pPr>
  </w:style>
  <w:style w:type="paragraph" w:customStyle="1" w:styleId="TableFormat">
    <w:name w:val="TableFormat"/>
    <w:basedOn w:val="Bullet"/>
    <w:rsid w:val="006A00CE"/>
    <w:pPr>
      <w:tabs>
        <w:tab w:val="clear" w:pos="2160"/>
        <w:tab w:val="left" w:pos="5040"/>
      </w:tabs>
      <w:ind w:left="5040" w:hanging="3600"/>
    </w:pPr>
  </w:style>
  <w:style w:type="character" w:styleId="FootnoteReference">
    <w:name w:val="footnote reference"/>
    <w:aliases w:val="Style 12,(NECG) Footnote Reference,Appel note de bas de p,Style 124,Style 4,Style 13,o,fr,Style 3"/>
    <w:rsid w:val="006A00CE"/>
    <w:rPr>
      <w:rFonts w:ascii="Times New Roman" w:hAnsi="Times New Roman"/>
      <w:dstrike w:val="0"/>
      <w:color w:val="auto"/>
      <w:sz w:val="20"/>
      <w:vertAlign w:val="superscript"/>
    </w:rPr>
  </w:style>
  <w:style w:type="paragraph" w:styleId="Header">
    <w:name w:val="header"/>
    <w:basedOn w:val="Normal"/>
    <w:autoRedefine/>
    <w:rsid w:val="006A00CE"/>
    <w:pPr>
      <w:tabs>
        <w:tab w:val="center" w:pos="4680"/>
        <w:tab w:val="right" w:pos="9360"/>
      </w:tabs>
    </w:pPr>
    <w:rPr>
      <w:b/>
    </w:rPr>
  </w:style>
  <w:style w:type="paragraph" w:styleId="Footer">
    <w:name w:val="footer"/>
    <w:basedOn w:val="Normal"/>
    <w:rsid w:val="006A00CE"/>
    <w:pPr>
      <w:tabs>
        <w:tab w:val="center" w:pos="4320"/>
        <w:tab w:val="right" w:pos="8640"/>
      </w:tabs>
    </w:pPr>
  </w:style>
  <w:style w:type="paragraph" w:styleId="TOC2">
    <w:name w:val="toc 2"/>
    <w:basedOn w:val="Normal"/>
    <w:next w:val="Normal"/>
    <w:semiHidden/>
    <w:rsid w:val="006A00CE"/>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6A00CE"/>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6A00C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A00C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A00C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A00C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A00C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A00C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A00CE"/>
    <w:pPr>
      <w:tabs>
        <w:tab w:val="left" w:pos="3240"/>
        <w:tab w:val="right" w:leader="dot" w:pos="9360"/>
      </w:tabs>
      <w:suppressAutoHyphens/>
      <w:ind w:left="3240" w:hanging="360"/>
    </w:pPr>
    <w:rPr>
      <w:noProof/>
    </w:rPr>
  </w:style>
  <w:style w:type="character" w:styleId="PageNumber">
    <w:name w:val="page number"/>
    <w:basedOn w:val="DefaultParagraphFont"/>
    <w:rsid w:val="006A00CE"/>
  </w:style>
  <w:style w:type="paragraph" w:styleId="Title">
    <w:name w:val="Title"/>
    <w:basedOn w:val="Normal"/>
    <w:qFormat/>
    <w:pPr>
      <w:jc w:val="center"/>
    </w:pPr>
    <w:rPr>
      <w:b/>
    </w:rPr>
  </w:style>
  <w:style w:type="character" w:styleId="Hyperlink">
    <w:name w:val="Hyperlink"/>
    <w:rsid w:val="006A00CE"/>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p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style>
  <w:style w:type="paragraph" w:styleId="ListParagraph">
    <w:name w:val="List Paragraph"/>
    <w:basedOn w:val="Normal"/>
    <w:uiPriority w:val="34"/>
    <w:qFormat/>
    <w:rsid w:val="00872BBE"/>
    <w:pPr>
      <w:ind w:left="720"/>
    </w:pPr>
  </w:style>
  <w:style w:type="character" w:customStyle="1" w:styleId="ParaNumChar">
    <w:name w:val="ParaNum Char"/>
    <w:link w:val="ParaNum"/>
    <w:rsid w:val="006A5908"/>
    <w:rPr>
      <w:snapToGrid w:val="0"/>
      <w:kern w:val="28"/>
      <w:sz w:val="22"/>
    </w:rPr>
  </w:style>
  <w:style w:type="character" w:customStyle="1" w:styleId="apple-converted-space">
    <w:name w:val="apple-converted-space"/>
    <w:rsid w:val="00797F2A"/>
  </w:style>
  <w:style w:type="paragraph" w:styleId="EndnoteText">
    <w:name w:val="endnote text"/>
    <w:basedOn w:val="Normal"/>
    <w:link w:val="EndnoteTextChar"/>
    <w:rsid w:val="006A00CE"/>
    <w:rPr>
      <w:sz w:val="20"/>
    </w:rPr>
  </w:style>
  <w:style w:type="character" w:customStyle="1" w:styleId="EndnoteTextChar">
    <w:name w:val="Endnote Text Char"/>
    <w:basedOn w:val="DefaultParagraphFont"/>
    <w:link w:val="EndnoteText"/>
    <w:rsid w:val="00D23B17"/>
    <w:rPr>
      <w:snapToGrid w:val="0"/>
      <w:kern w:val="28"/>
    </w:rPr>
  </w:style>
  <w:style w:type="character" w:styleId="EndnoteReference">
    <w:name w:val="endnote reference"/>
    <w:rsid w:val="006A00CE"/>
    <w:rPr>
      <w:vertAlign w:val="superscript"/>
    </w:rPr>
  </w:style>
  <w:style w:type="paragraph" w:styleId="TOAHeading">
    <w:name w:val="toa heading"/>
    <w:basedOn w:val="Normal"/>
    <w:next w:val="Normal"/>
    <w:rsid w:val="006A00CE"/>
    <w:pPr>
      <w:tabs>
        <w:tab w:val="right" w:pos="9360"/>
      </w:tabs>
      <w:suppressAutoHyphens/>
    </w:pPr>
  </w:style>
  <w:style w:type="character" w:customStyle="1" w:styleId="EquationCaption">
    <w:name w:val="_Equation Caption"/>
    <w:rsid w:val="006A00CE"/>
  </w:style>
  <w:style w:type="paragraph" w:customStyle="1" w:styleId="Paratitle">
    <w:name w:val="Para title"/>
    <w:basedOn w:val="Normal"/>
    <w:rsid w:val="006A00CE"/>
    <w:pPr>
      <w:tabs>
        <w:tab w:val="center" w:pos="9270"/>
      </w:tabs>
      <w:spacing w:after="240"/>
    </w:pPr>
    <w:rPr>
      <w:spacing w:val="-2"/>
    </w:rPr>
  </w:style>
  <w:style w:type="paragraph" w:customStyle="1" w:styleId="TOCTitle">
    <w:name w:val="TOC Title"/>
    <w:basedOn w:val="Normal"/>
    <w:rsid w:val="006A00C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A00CE"/>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107">
      <w:bodyDiv w:val="1"/>
      <w:marLeft w:val="0"/>
      <w:marRight w:val="0"/>
      <w:marTop w:val="0"/>
      <w:marBottom w:val="0"/>
      <w:divBdr>
        <w:top w:val="none" w:sz="0" w:space="0" w:color="auto"/>
        <w:left w:val="none" w:sz="0" w:space="0" w:color="auto"/>
        <w:bottom w:val="none" w:sz="0" w:space="0" w:color="auto"/>
        <w:right w:val="none" w:sz="0" w:space="0" w:color="auto"/>
      </w:divBdr>
    </w:div>
    <w:div w:id="717515142">
      <w:bodyDiv w:val="1"/>
      <w:marLeft w:val="0"/>
      <w:marRight w:val="0"/>
      <w:marTop w:val="0"/>
      <w:marBottom w:val="0"/>
      <w:divBdr>
        <w:top w:val="none" w:sz="0" w:space="0" w:color="auto"/>
        <w:left w:val="none" w:sz="0" w:space="0" w:color="auto"/>
        <w:bottom w:val="none" w:sz="0" w:space="0" w:color="auto"/>
        <w:right w:val="none" w:sz="0" w:space="0" w:color="auto"/>
      </w:divBdr>
    </w:div>
    <w:div w:id="843518156">
      <w:bodyDiv w:val="1"/>
      <w:marLeft w:val="0"/>
      <w:marRight w:val="0"/>
      <w:marTop w:val="0"/>
      <w:marBottom w:val="0"/>
      <w:divBdr>
        <w:top w:val="none" w:sz="0" w:space="0" w:color="auto"/>
        <w:left w:val="none" w:sz="0" w:space="0" w:color="auto"/>
        <w:bottom w:val="none" w:sz="0" w:space="0" w:color="auto"/>
        <w:right w:val="none" w:sz="0" w:space="0" w:color="auto"/>
      </w:divBdr>
    </w:div>
    <w:div w:id="85708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3075</Words>
  <Characters>16648</Characters>
  <Application>Microsoft Office Word</Application>
  <DocSecurity>0</DocSecurity>
  <Lines>257</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19817</CharactersWithSpaces>
  <SharedDoc>false</SharedDoc>
  <HyperlinkBase> </HyperlinkBase>
  <HLinks>
    <vt:vector size="24" baseType="variant">
      <vt:variant>
        <vt:i4>1835128</vt:i4>
      </vt:variant>
      <vt:variant>
        <vt:i4>15</vt:i4>
      </vt:variant>
      <vt:variant>
        <vt:i4>0</vt:i4>
      </vt:variant>
      <vt:variant>
        <vt:i4>5</vt:i4>
      </vt:variant>
      <vt:variant>
        <vt:lpwstr>mailto:SCR-Response@fcc.gov</vt:lpwstr>
      </vt:variant>
      <vt:variant>
        <vt:lpwstr/>
      </vt:variant>
      <vt:variant>
        <vt:i4>8126550</vt:i4>
      </vt:variant>
      <vt:variant>
        <vt:i4>12</vt:i4>
      </vt:variant>
      <vt:variant>
        <vt:i4>0</vt:i4>
      </vt:variant>
      <vt:variant>
        <vt:i4>5</vt:i4>
      </vt:variant>
      <vt:variant>
        <vt:lpwstr>mailto:ARINQUIRIES@fcc.gov</vt:lpwstr>
      </vt:variant>
      <vt:variant>
        <vt:lpwstr/>
      </vt:variant>
      <vt:variant>
        <vt:i4>1835128</vt:i4>
      </vt:variant>
      <vt:variant>
        <vt:i4>9</vt:i4>
      </vt:variant>
      <vt:variant>
        <vt:i4>0</vt:i4>
      </vt:variant>
      <vt:variant>
        <vt:i4>5</vt:i4>
      </vt:variant>
      <vt:variant>
        <vt:lpwstr>mailto:SCR-Response@fcc.gov</vt:lpwstr>
      </vt:variant>
      <vt:variant>
        <vt:lpwstr/>
      </vt:variant>
      <vt:variant>
        <vt:i4>1835128</vt:i4>
      </vt:variant>
      <vt:variant>
        <vt:i4>6</vt:i4>
      </vt:variant>
      <vt:variant>
        <vt:i4>0</vt:i4>
      </vt:variant>
      <vt:variant>
        <vt:i4>5</vt:i4>
      </vt:variant>
      <vt:variant>
        <vt:lpwstr>mailto:SCR-Response@fcc.gov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2013-11-01T15:56:00Z</dcterms:created>
  <dcterms:modified xsi:type="dcterms:W3CDTF">2013-11-01T15:56:00Z</dcterms:modified>
  <cp:category> </cp:category>
  <cp:contentStatus> </cp:contentStatus>
</cp:coreProperties>
</file>