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6173" w14:textId="77777777" w:rsidR="0027094F" w:rsidRPr="008C6290" w:rsidRDefault="0027094F">
      <w:pPr>
        <w:tabs>
          <w:tab w:val="left" w:pos="1080"/>
          <w:tab w:val="left" w:pos="1440"/>
        </w:tabs>
        <w:jc w:val="center"/>
        <w:rPr>
          <w:b/>
          <w:sz w:val="22"/>
          <w:szCs w:val="22"/>
        </w:rPr>
      </w:pPr>
      <w:bookmarkStart w:id="0" w:name="_GoBack"/>
      <w:bookmarkEnd w:id="0"/>
      <w:r w:rsidRPr="008C6290">
        <w:rPr>
          <w:b/>
          <w:sz w:val="22"/>
          <w:szCs w:val="22"/>
        </w:rPr>
        <w:t>Before the</w:t>
      </w:r>
    </w:p>
    <w:p w14:paraId="0C5E6D85" w14:textId="77777777" w:rsidR="0027094F" w:rsidRPr="008C6290" w:rsidRDefault="0027094F">
      <w:pPr>
        <w:pStyle w:val="StyleBoldCentered"/>
        <w:rPr>
          <w:rFonts w:ascii="Times New Roman" w:hAnsi="Times New Roman"/>
          <w:sz w:val="22"/>
        </w:rPr>
      </w:pPr>
      <w:r w:rsidRPr="008C6290">
        <w:rPr>
          <w:rFonts w:ascii="Times New Roman" w:hAnsi="Times New Roman"/>
          <w:sz w:val="22"/>
        </w:rPr>
        <w:t>F</w:t>
      </w:r>
      <w:r w:rsidRPr="008C6290">
        <w:rPr>
          <w:rFonts w:ascii="Times New Roman" w:hAnsi="Times New Roman"/>
          <w:caps w:val="0"/>
          <w:sz w:val="22"/>
        </w:rPr>
        <w:t>ederal Communications Commission</w:t>
      </w:r>
    </w:p>
    <w:p w14:paraId="1D9C3ACB" w14:textId="77777777" w:rsidR="0027094F" w:rsidRPr="008C6290" w:rsidRDefault="0027094F">
      <w:pPr>
        <w:pStyle w:val="StyleBoldCentered"/>
        <w:rPr>
          <w:rFonts w:ascii="Times New Roman" w:hAnsi="Times New Roman"/>
          <w:caps w:val="0"/>
          <w:sz w:val="22"/>
        </w:rPr>
      </w:pPr>
      <w:r w:rsidRPr="008C6290">
        <w:rPr>
          <w:rFonts w:ascii="Times New Roman" w:hAnsi="Times New Roman"/>
          <w:caps w:val="0"/>
          <w:sz w:val="22"/>
        </w:rPr>
        <w:t>Washington, D.C. 20554</w:t>
      </w:r>
    </w:p>
    <w:p w14:paraId="0D884F6C" w14:textId="77777777" w:rsidR="0027094F" w:rsidRPr="008C6290" w:rsidRDefault="0027094F">
      <w:pPr>
        <w:rPr>
          <w:sz w:val="22"/>
          <w:szCs w:val="22"/>
        </w:rPr>
      </w:pPr>
    </w:p>
    <w:tbl>
      <w:tblPr>
        <w:tblW w:w="0" w:type="auto"/>
        <w:tblLayout w:type="fixed"/>
        <w:tblLook w:val="0000" w:firstRow="0" w:lastRow="0" w:firstColumn="0" w:lastColumn="0" w:noHBand="0" w:noVBand="0"/>
      </w:tblPr>
      <w:tblGrid>
        <w:gridCol w:w="4698"/>
        <w:gridCol w:w="630"/>
        <w:gridCol w:w="4248"/>
      </w:tblGrid>
      <w:tr w:rsidR="0027094F" w:rsidRPr="008C6290" w14:paraId="29E1FFC0" w14:textId="77777777">
        <w:tc>
          <w:tcPr>
            <w:tcW w:w="4698" w:type="dxa"/>
          </w:tcPr>
          <w:p w14:paraId="415B9543" w14:textId="77777777" w:rsidR="0027094F" w:rsidRPr="008C6290" w:rsidRDefault="0027094F">
            <w:pPr>
              <w:tabs>
                <w:tab w:val="center" w:pos="4680"/>
              </w:tabs>
              <w:rPr>
                <w:spacing w:val="-2"/>
                <w:sz w:val="22"/>
                <w:szCs w:val="22"/>
              </w:rPr>
            </w:pPr>
            <w:r w:rsidRPr="008C6290">
              <w:rPr>
                <w:spacing w:val="-2"/>
                <w:sz w:val="22"/>
                <w:szCs w:val="22"/>
              </w:rPr>
              <w:t>In the Matter of</w:t>
            </w:r>
          </w:p>
          <w:p w14:paraId="7179F990" w14:textId="77777777" w:rsidR="0027094F" w:rsidRPr="008C6290" w:rsidRDefault="0027094F">
            <w:pPr>
              <w:tabs>
                <w:tab w:val="center" w:pos="4680"/>
              </w:tabs>
              <w:rPr>
                <w:spacing w:val="-2"/>
                <w:sz w:val="22"/>
                <w:szCs w:val="22"/>
              </w:rPr>
            </w:pPr>
          </w:p>
          <w:p w14:paraId="6F67FB6D" w14:textId="77777777" w:rsidR="0027094F" w:rsidRPr="008C6290" w:rsidRDefault="0027094F">
            <w:pPr>
              <w:tabs>
                <w:tab w:val="left" w:pos="-720"/>
              </w:tabs>
              <w:rPr>
                <w:sz w:val="22"/>
                <w:szCs w:val="22"/>
              </w:rPr>
            </w:pPr>
            <w:r w:rsidRPr="008C6290">
              <w:rPr>
                <w:sz w:val="22"/>
                <w:szCs w:val="22"/>
              </w:rPr>
              <w:t>Petition of GCB Communications, Inc. d/b/a Pacific Communications and Lake Country Communications, Inc. for Declaratory Ruling</w:t>
            </w:r>
          </w:p>
          <w:p w14:paraId="03257704" w14:textId="77777777" w:rsidR="0027094F" w:rsidRPr="008C6290" w:rsidRDefault="0027094F">
            <w:pPr>
              <w:tabs>
                <w:tab w:val="left" w:pos="-720"/>
              </w:tabs>
              <w:rPr>
                <w:spacing w:val="-2"/>
                <w:sz w:val="22"/>
                <w:szCs w:val="22"/>
              </w:rPr>
            </w:pPr>
          </w:p>
        </w:tc>
        <w:tc>
          <w:tcPr>
            <w:tcW w:w="630" w:type="dxa"/>
          </w:tcPr>
          <w:p w14:paraId="4F539604" w14:textId="77777777" w:rsidR="0027094F" w:rsidRPr="008C6290" w:rsidRDefault="0027094F">
            <w:pPr>
              <w:tabs>
                <w:tab w:val="center" w:pos="4680"/>
              </w:tabs>
              <w:rPr>
                <w:b/>
                <w:spacing w:val="-2"/>
                <w:sz w:val="22"/>
                <w:szCs w:val="22"/>
              </w:rPr>
            </w:pPr>
            <w:r w:rsidRPr="008C6290">
              <w:rPr>
                <w:b/>
                <w:spacing w:val="-2"/>
                <w:sz w:val="22"/>
                <w:szCs w:val="22"/>
              </w:rPr>
              <w:t>)</w:t>
            </w:r>
          </w:p>
          <w:p w14:paraId="54AEEED2" w14:textId="77777777" w:rsidR="0027094F" w:rsidRPr="008C6290" w:rsidRDefault="0027094F">
            <w:pPr>
              <w:tabs>
                <w:tab w:val="center" w:pos="4680"/>
              </w:tabs>
              <w:rPr>
                <w:b/>
                <w:spacing w:val="-2"/>
                <w:sz w:val="22"/>
                <w:szCs w:val="22"/>
              </w:rPr>
            </w:pPr>
            <w:r w:rsidRPr="008C6290">
              <w:rPr>
                <w:b/>
                <w:spacing w:val="-2"/>
                <w:sz w:val="22"/>
                <w:szCs w:val="22"/>
              </w:rPr>
              <w:t>)</w:t>
            </w:r>
          </w:p>
          <w:p w14:paraId="560CD730" w14:textId="77777777" w:rsidR="0027094F" w:rsidRPr="008C6290" w:rsidRDefault="0027094F">
            <w:pPr>
              <w:tabs>
                <w:tab w:val="center" w:pos="4680"/>
              </w:tabs>
              <w:rPr>
                <w:b/>
                <w:spacing w:val="-2"/>
                <w:sz w:val="22"/>
                <w:szCs w:val="22"/>
              </w:rPr>
            </w:pPr>
            <w:r w:rsidRPr="008C6290">
              <w:rPr>
                <w:b/>
                <w:spacing w:val="-2"/>
                <w:sz w:val="22"/>
                <w:szCs w:val="22"/>
              </w:rPr>
              <w:t>)</w:t>
            </w:r>
          </w:p>
          <w:p w14:paraId="45A831AA" w14:textId="77777777" w:rsidR="0027094F" w:rsidRPr="008C6290" w:rsidRDefault="0027094F">
            <w:pPr>
              <w:tabs>
                <w:tab w:val="center" w:pos="4680"/>
              </w:tabs>
              <w:rPr>
                <w:b/>
                <w:spacing w:val="-2"/>
                <w:sz w:val="22"/>
                <w:szCs w:val="22"/>
              </w:rPr>
            </w:pPr>
            <w:r w:rsidRPr="008C6290">
              <w:rPr>
                <w:b/>
                <w:spacing w:val="-2"/>
                <w:sz w:val="22"/>
                <w:szCs w:val="22"/>
              </w:rPr>
              <w:t>)</w:t>
            </w:r>
          </w:p>
          <w:p w14:paraId="60862FCE" w14:textId="77777777" w:rsidR="0027094F" w:rsidRPr="008C6290" w:rsidRDefault="0027094F">
            <w:pPr>
              <w:tabs>
                <w:tab w:val="center" w:pos="4680"/>
              </w:tabs>
              <w:rPr>
                <w:b/>
                <w:spacing w:val="-2"/>
                <w:sz w:val="22"/>
                <w:szCs w:val="22"/>
              </w:rPr>
            </w:pPr>
            <w:r w:rsidRPr="008C6290">
              <w:rPr>
                <w:b/>
                <w:spacing w:val="-2"/>
                <w:sz w:val="22"/>
                <w:szCs w:val="22"/>
              </w:rPr>
              <w:t>)</w:t>
            </w:r>
          </w:p>
        </w:tc>
        <w:tc>
          <w:tcPr>
            <w:tcW w:w="4248" w:type="dxa"/>
          </w:tcPr>
          <w:p w14:paraId="16E4E501" w14:textId="77777777" w:rsidR="0027094F" w:rsidRPr="008C6290" w:rsidRDefault="0027094F">
            <w:pPr>
              <w:tabs>
                <w:tab w:val="center" w:pos="4680"/>
              </w:tabs>
              <w:rPr>
                <w:spacing w:val="-2"/>
                <w:sz w:val="22"/>
                <w:szCs w:val="22"/>
              </w:rPr>
            </w:pPr>
          </w:p>
          <w:p w14:paraId="663211CE" w14:textId="77777777" w:rsidR="0027094F" w:rsidRPr="008C6290" w:rsidRDefault="0027094F">
            <w:pPr>
              <w:tabs>
                <w:tab w:val="center" w:pos="4680"/>
              </w:tabs>
              <w:rPr>
                <w:spacing w:val="-2"/>
                <w:sz w:val="22"/>
                <w:szCs w:val="22"/>
              </w:rPr>
            </w:pPr>
            <w:r w:rsidRPr="008C6290">
              <w:rPr>
                <w:spacing w:val="-2"/>
                <w:sz w:val="22"/>
                <w:szCs w:val="22"/>
              </w:rPr>
              <w:t xml:space="preserve">WC Docket No. 11-141 </w:t>
            </w:r>
          </w:p>
        </w:tc>
      </w:tr>
    </w:tbl>
    <w:p w14:paraId="5E1D4283" w14:textId="77777777" w:rsidR="0027094F" w:rsidRPr="008C6290" w:rsidRDefault="0027094F">
      <w:pPr>
        <w:rPr>
          <w:sz w:val="22"/>
          <w:szCs w:val="22"/>
        </w:rPr>
      </w:pPr>
    </w:p>
    <w:p w14:paraId="238D8CA9" w14:textId="77777777" w:rsidR="0027094F" w:rsidRPr="008C6290" w:rsidRDefault="0027094F">
      <w:pPr>
        <w:pStyle w:val="StyleBoldCentered"/>
        <w:rPr>
          <w:rFonts w:ascii="Times New Roman" w:hAnsi="Times New Roman"/>
          <w:sz w:val="22"/>
        </w:rPr>
      </w:pPr>
      <w:r w:rsidRPr="008C6290">
        <w:rPr>
          <w:rFonts w:ascii="Times New Roman" w:hAnsi="Times New Roman"/>
          <w:sz w:val="22"/>
        </w:rPr>
        <w:t xml:space="preserve">Memorandum opinion and order ON REVIEW </w:t>
      </w:r>
    </w:p>
    <w:p w14:paraId="0859E68C" w14:textId="77777777" w:rsidR="0027094F" w:rsidRPr="008C6290" w:rsidRDefault="0027094F">
      <w:pPr>
        <w:rPr>
          <w:b/>
          <w:sz w:val="22"/>
          <w:szCs w:val="22"/>
        </w:rPr>
      </w:pPr>
    </w:p>
    <w:p w14:paraId="7BEE3058" w14:textId="5437F35C" w:rsidR="0027094F" w:rsidRPr="005F14A7" w:rsidRDefault="0027094F" w:rsidP="005F14A7">
      <w:pPr>
        <w:tabs>
          <w:tab w:val="right" w:pos="9360"/>
        </w:tabs>
        <w:rPr>
          <w:b/>
        </w:rPr>
      </w:pPr>
      <w:bookmarkStart w:id="1" w:name="_Toc266429578"/>
      <w:bookmarkStart w:id="2" w:name="_Toc266429735"/>
      <w:bookmarkStart w:id="3" w:name="_Toc266457954"/>
      <w:bookmarkStart w:id="4" w:name="_Toc266429579"/>
      <w:bookmarkStart w:id="5" w:name="_Toc266429736"/>
      <w:bookmarkStart w:id="6" w:name="_Toc266457955"/>
      <w:bookmarkStart w:id="7" w:name="_Toc266429580"/>
      <w:bookmarkStart w:id="8" w:name="_Toc266429737"/>
      <w:bookmarkStart w:id="9" w:name="_Toc266457956"/>
      <w:bookmarkStart w:id="10" w:name="_Toc266429581"/>
      <w:bookmarkStart w:id="11" w:name="_Toc266429738"/>
      <w:bookmarkStart w:id="12" w:name="_Toc266457957"/>
      <w:bookmarkStart w:id="13" w:name="_Toc266429582"/>
      <w:bookmarkStart w:id="14" w:name="_Toc266429739"/>
      <w:bookmarkStart w:id="15" w:name="_Toc266457958"/>
      <w:bookmarkStart w:id="16" w:name="_Toc266429583"/>
      <w:bookmarkStart w:id="17" w:name="_Toc266429740"/>
      <w:bookmarkStart w:id="18" w:name="_Toc266457959"/>
      <w:bookmarkStart w:id="19" w:name="_Toc266429584"/>
      <w:bookmarkStart w:id="20" w:name="_Toc266429741"/>
      <w:bookmarkStart w:id="21" w:name="_Toc266457960"/>
      <w:bookmarkStart w:id="22" w:name="_Toc266429585"/>
      <w:bookmarkStart w:id="23" w:name="_Toc266429742"/>
      <w:bookmarkStart w:id="24" w:name="_Toc266457961"/>
      <w:bookmarkStart w:id="25" w:name="_Toc266429586"/>
      <w:bookmarkStart w:id="26" w:name="_Toc266429743"/>
      <w:bookmarkStart w:id="27" w:name="_Toc266457962"/>
      <w:bookmarkStart w:id="28" w:name="_Toc266429587"/>
      <w:bookmarkStart w:id="29" w:name="_Toc266429744"/>
      <w:bookmarkStart w:id="30" w:name="_Toc266457963"/>
      <w:bookmarkStart w:id="31" w:name="_Toc266429588"/>
      <w:bookmarkStart w:id="32" w:name="_Toc266429745"/>
      <w:bookmarkStart w:id="33" w:name="_Toc266457964"/>
      <w:bookmarkStart w:id="34" w:name="_Toc266429589"/>
      <w:bookmarkStart w:id="35" w:name="_Toc266429746"/>
      <w:bookmarkStart w:id="36" w:name="_Toc266457965"/>
      <w:bookmarkStart w:id="37" w:name="_Toc266429590"/>
      <w:bookmarkStart w:id="38" w:name="_Toc266429747"/>
      <w:bookmarkStart w:id="39" w:name="_Toc266457966"/>
      <w:bookmarkStart w:id="40" w:name="_Toc266429591"/>
      <w:bookmarkStart w:id="41" w:name="_Toc266429748"/>
      <w:bookmarkStart w:id="42" w:name="_Toc266457967"/>
      <w:bookmarkStart w:id="43" w:name="_Toc266429592"/>
      <w:bookmarkStart w:id="44" w:name="_Toc266429749"/>
      <w:bookmarkStart w:id="45" w:name="_Toc266457968"/>
      <w:bookmarkStart w:id="46" w:name="_Toc266429594"/>
      <w:bookmarkStart w:id="47" w:name="_Toc266429751"/>
      <w:bookmarkStart w:id="48" w:name="_Toc266457970"/>
      <w:bookmarkStart w:id="49" w:name="_Toc266429595"/>
      <w:bookmarkStart w:id="50" w:name="_Toc266429752"/>
      <w:bookmarkStart w:id="51" w:name="_Toc266457971"/>
      <w:bookmarkStart w:id="52" w:name="_Toc266344804"/>
      <w:bookmarkStart w:id="53" w:name="_Toc266344835"/>
      <w:bookmarkStart w:id="54" w:name="_Toc266344805"/>
      <w:bookmarkStart w:id="55" w:name="_Toc266344836"/>
      <w:bookmarkStart w:id="56" w:name="_Toc266344806"/>
      <w:bookmarkStart w:id="57" w:name="_Toc266344837"/>
      <w:bookmarkStart w:id="58" w:name="_Toc266344807"/>
      <w:bookmarkStart w:id="59" w:name="_Toc266344838"/>
      <w:bookmarkStart w:id="60" w:name="_Toc266344808"/>
      <w:bookmarkStart w:id="61" w:name="_Toc266344839"/>
      <w:bookmarkStart w:id="62" w:name="_Toc266344809"/>
      <w:bookmarkStart w:id="63" w:name="_Toc266344840"/>
      <w:bookmarkStart w:id="64" w:name="_Toc266344810"/>
      <w:bookmarkStart w:id="65" w:name="_Toc266344841"/>
      <w:bookmarkStart w:id="66" w:name="_Toc266344811"/>
      <w:bookmarkStart w:id="67" w:name="_Toc266344842"/>
      <w:bookmarkStart w:id="68" w:name="_Toc266344812"/>
      <w:bookmarkStart w:id="69" w:name="_Toc266344843"/>
      <w:bookmarkStart w:id="70" w:name="_Toc266344813"/>
      <w:bookmarkStart w:id="71" w:name="_Toc266344844"/>
      <w:bookmarkStart w:id="72" w:name="_Toc266344814"/>
      <w:bookmarkStart w:id="73" w:name="_Toc266344845"/>
      <w:bookmarkStart w:id="74" w:name="_Toc266344815"/>
      <w:bookmarkStart w:id="75" w:name="_Toc266344846"/>
      <w:bookmarkStart w:id="76" w:name="_Toc266344816"/>
      <w:bookmarkStart w:id="77" w:name="_Toc266344847"/>
      <w:bookmarkStart w:id="78" w:name="_Toc266344817"/>
      <w:bookmarkStart w:id="79" w:name="_Toc266344848"/>
      <w:bookmarkStart w:id="80" w:name="_Toc266344818"/>
      <w:bookmarkStart w:id="81" w:name="_Toc266344849"/>
      <w:bookmarkStart w:id="82" w:name="_Toc266344819"/>
      <w:bookmarkStart w:id="83" w:name="_Toc266344850"/>
      <w:bookmarkStart w:id="84" w:name="_Toc266429596"/>
      <w:bookmarkStart w:id="85" w:name="_Toc266429639"/>
      <w:bookmarkStart w:id="86" w:name="_Toc266429677"/>
      <w:bookmarkStart w:id="87" w:name="_Toc266429753"/>
      <w:bookmarkStart w:id="88" w:name="_Toc266429832"/>
      <w:bookmarkStart w:id="89" w:name="_Toc266429869"/>
      <w:bookmarkStart w:id="90" w:name="_Toc266429924"/>
      <w:bookmarkStart w:id="91" w:name="_Toc266457972"/>
      <w:bookmarkStart w:id="92" w:name="_Toc263683897"/>
      <w:bookmarkStart w:id="93" w:name="_Toc265853510"/>
      <w:bookmarkStart w:id="94" w:name="_Toc266344851"/>
      <w:bookmarkStart w:id="95" w:name="_Toc266429597"/>
      <w:bookmarkStart w:id="96" w:name="_Toc266429640"/>
      <w:bookmarkStart w:id="97" w:name="_Toc266429678"/>
      <w:bookmarkStart w:id="98" w:name="_Toc266429754"/>
      <w:bookmarkStart w:id="99" w:name="_Toc266429833"/>
      <w:bookmarkStart w:id="100" w:name="_Toc266429870"/>
      <w:bookmarkStart w:id="101" w:name="_Toc266429925"/>
      <w:bookmarkStart w:id="102" w:name="_Toc266457973"/>
      <w:bookmarkStart w:id="103" w:name="_Toc266460077"/>
      <w:bookmarkStart w:id="104" w:name="TOCher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5F14A7">
        <w:rPr>
          <w:b/>
        </w:rPr>
        <w:t xml:space="preserve">Adopted:  </w:t>
      </w:r>
      <w:r w:rsidR="00DE72B0" w:rsidRPr="005F14A7">
        <w:rPr>
          <w:b/>
        </w:rPr>
        <w:t>February</w:t>
      </w:r>
      <w:r w:rsidRPr="005F14A7">
        <w:rPr>
          <w:b/>
        </w:rPr>
        <w:t xml:space="preserve"> </w:t>
      </w:r>
      <w:r w:rsidR="00940139">
        <w:rPr>
          <w:b/>
        </w:rPr>
        <w:t>22</w:t>
      </w:r>
      <w:r w:rsidR="0040781E" w:rsidRPr="00D94AA6">
        <w:rPr>
          <w:b/>
        </w:rPr>
        <w:t>,</w:t>
      </w:r>
      <w:r w:rsidRPr="005F14A7">
        <w:rPr>
          <w:b/>
        </w:rPr>
        <w:t xml:space="preserve"> 201</w:t>
      </w:r>
      <w:r w:rsidR="00DE72B0" w:rsidRPr="005F14A7">
        <w:rPr>
          <w:b/>
        </w:rPr>
        <w:t>3</w:t>
      </w:r>
      <w:r w:rsidR="00D94AA6" w:rsidRPr="005F14A7">
        <w:rPr>
          <w:b/>
        </w:rPr>
        <w:tab/>
      </w:r>
      <w:r w:rsidRPr="005F14A7">
        <w:rPr>
          <w:b/>
        </w:rPr>
        <w:t xml:space="preserve">Released:  </w:t>
      </w:r>
      <w:r w:rsidR="00DE72B0" w:rsidRPr="005F14A7">
        <w:rPr>
          <w:b/>
        </w:rPr>
        <w:t>February</w:t>
      </w:r>
      <w:r w:rsidRPr="005F14A7">
        <w:rPr>
          <w:b/>
        </w:rPr>
        <w:t xml:space="preserve"> </w:t>
      </w:r>
      <w:r w:rsidR="00662205">
        <w:rPr>
          <w:b/>
        </w:rPr>
        <w:t>27</w:t>
      </w:r>
      <w:r w:rsidR="0040781E" w:rsidRPr="00D94AA6">
        <w:rPr>
          <w:b/>
        </w:rPr>
        <w:t>,</w:t>
      </w:r>
      <w:r w:rsidRPr="005F14A7">
        <w:rPr>
          <w:b/>
        </w:rPr>
        <w:t xml:space="preserve"> 201</w:t>
      </w:r>
      <w:r w:rsidR="00DE72B0" w:rsidRPr="005F14A7">
        <w:rPr>
          <w:b/>
        </w:rPr>
        <w:t>3</w:t>
      </w:r>
    </w:p>
    <w:p w14:paraId="7BC1959A" w14:textId="77777777" w:rsidR="0027094F" w:rsidRPr="005F14A7" w:rsidRDefault="0027094F">
      <w:pPr>
        <w:tabs>
          <w:tab w:val="left" w:pos="5760"/>
        </w:tabs>
        <w:rPr>
          <w:b/>
          <w:sz w:val="22"/>
        </w:rPr>
      </w:pPr>
    </w:p>
    <w:bookmarkEnd w:id="92"/>
    <w:bookmarkEnd w:id="93"/>
    <w:bookmarkEnd w:id="94"/>
    <w:bookmarkEnd w:id="95"/>
    <w:bookmarkEnd w:id="96"/>
    <w:bookmarkEnd w:id="97"/>
    <w:bookmarkEnd w:id="98"/>
    <w:bookmarkEnd w:id="99"/>
    <w:bookmarkEnd w:id="100"/>
    <w:bookmarkEnd w:id="101"/>
    <w:bookmarkEnd w:id="102"/>
    <w:bookmarkEnd w:id="103"/>
    <w:bookmarkEnd w:id="104"/>
    <w:p w14:paraId="4C953C0A" w14:textId="4D6F461D" w:rsidR="0027094F" w:rsidRPr="008C6290" w:rsidRDefault="0027094F">
      <w:pPr>
        <w:snapToGrid w:val="0"/>
        <w:rPr>
          <w:sz w:val="22"/>
          <w:szCs w:val="22"/>
        </w:rPr>
      </w:pPr>
      <w:r w:rsidRPr="008C6290">
        <w:rPr>
          <w:sz w:val="22"/>
          <w:szCs w:val="22"/>
        </w:rPr>
        <w:t xml:space="preserve">By the Commission:  </w:t>
      </w:r>
      <w:r w:rsidR="0020438F" w:rsidRPr="0020438F">
        <w:rPr>
          <w:sz w:val="22"/>
          <w:szCs w:val="22"/>
        </w:rPr>
        <w:t>Commissioner Pai issuing a statement.</w:t>
      </w:r>
    </w:p>
    <w:p w14:paraId="142D38A8" w14:textId="77777777" w:rsidR="0027094F" w:rsidRPr="008C6290" w:rsidRDefault="0027094F">
      <w:pPr>
        <w:snapToGrid w:val="0"/>
        <w:rPr>
          <w:sz w:val="22"/>
          <w:szCs w:val="22"/>
        </w:rPr>
      </w:pPr>
    </w:p>
    <w:p w14:paraId="25E34386" w14:textId="748A6A32" w:rsidR="0027094F" w:rsidRPr="008C6290" w:rsidRDefault="0027094F">
      <w:pPr>
        <w:numPr>
          <w:ilvl w:val="0"/>
          <w:numId w:val="4"/>
        </w:numPr>
        <w:spacing w:after="200"/>
        <w:ind w:left="0" w:firstLine="720"/>
        <w:rPr>
          <w:sz w:val="22"/>
          <w:szCs w:val="22"/>
        </w:rPr>
      </w:pPr>
      <w:r w:rsidRPr="008C6290">
        <w:rPr>
          <w:sz w:val="22"/>
          <w:szCs w:val="22"/>
        </w:rPr>
        <w:t>The Commission has before it an Application for Review filed on July 30, 2012, by U.S. South Communications, Inc. (U.S. South).</w:t>
      </w:r>
      <w:r w:rsidRPr="008C6290">
        <w:rPr>
          <w:rStyle w:val="FootnoteReference"/>
          <w:szCs w:val="22"/>
        </w:rPr>
        <w:footnoteReference w:id="2"/>
      </w:r>
      <w:r w:rsidRPr="008C6290">
        <w:rPr>
          <w:sz w:val="22"/>
          <w:szCs w:val="22"/>
        </w:rPr>
        <w:t xml:space="preserve">  U.S. South seeks review of a June 29, 2012 </w:t>
      </w:r>
      <w:r w:rsidRPr="008C6290">
        <w:rPr>
          <w:i/>
          <w:sz w:val="22"/>
          <w:szCs w:val="22"/>
        </w:rPr>
        <w:t xml:space="preserve">Declaratory Ruling </w:t>
      </w:r>
      <w:r w:rsidRPr="008C6290">
        <w:rPr>
          <w:sz w:val="22"/>
          <w:szCs w:val="22"/>
        </w:rPr>
        <w:t xml:space="preserve">by the Chief of the Wireline Competition Bureau (the Bureau) </w:t>
      </w:r>
      <w:r w:rsidR="00DE72B0">
        <w:rPr>
          <w:sz w:val="22"/>
          <w:szCs w:val="22"/>
        </w:rPr>
        <w:t xml:space="preserve">addressing </w:t>
      </w:r>
      <w:r w:rsidRPr="008C6290">
        <w:rPr>
          <w:sz w:val="22"/>
          <w:szCs w:val="22"/>
        </w:rPr>
        <w:t>a petition for declaratory ruling filed by GCB Communications, Inc. d/b/a Pacific Communications and Lake Country Communications, Inc. (GCB) in connection with a primary jurisdiction referral from the United States District Court for the District of Arizona.</w:t>
      </w:r>
      <w:r w:rsidRPr="008C6290">
        <w:rPr>
          <w:rStyle w:val="FootnoteReference"/>
          <w:szCs w:val="22"/>
        </w:rPr>
        <w:footnoteReference w:id="3"/>
      </w:r>
      <w:r w:rsidRPr="008C6290">
        <w:rPr>
          <w:sz w:val="22"/>
          <w:szCs w:val="22"/>
        </w:rPr>
        <w:t xml:space="preserve">  In the </w:t>
      </w:r>
      <w:r w:rsidRPr="008C6290">
        <w:rPr>
          <w:i/>
          <w:sz w:val="22"/>
          <w:szCs w:val="22"/>
        </w:rPr>
        <w:t>Declaratory Ruling</w:t>
      </w:r>
      <w:r w:rsidRPr="008C6290">
        <w:rPr>
          <w:sz w:val="22"/>
          <w:szCs w:val="22"/>
        </w:rPr>
        <w:t>, the Bureau clarified that under section 276 of the Communications Act of 1934, as amended, (the Act)</w:t>
      </w:r>
      <w:r w:rsidR="0045675C">
        <w:rPr>
          <w:rStyle w:val="FootnoteReference"/>
          <w:szCs w:val="22"/>
        </w:rPr>
        <w:footnoteReference w:id="4"/>
      </w:r>
      <w:r w:rsidRPr="008C6290">
        <w:rPr>
          <w:sz w:val="22"/>
          <w:szCs w:val="22"/>
        </w:rPr>
        <w:t xml:space="preserve"> and our implementing orders and rules, a Completing Carrier’s obligation to pay per-call payphone compensation is not contingent on whether it receives payphone-specific coding digits.</w:t>
      </w:r>
      <w:r w:rsidRPr="008C6290">
        <w:rPr>
          <w:rStyle w:val="FootnoteReference"/>
          <w:szCs w:val="22"/>
        </w:rPr>
        <w:footnoteReference w:id="5"/>
      </w:r>
      <w:r w:rsidRPr="008C6290">
        <w:rPr>
          <w:sz w:val="22"/>
          <w:szCs w:val="22"/>
        </w:rPr>
        <w:t xml:space="preserve">  </w:t>
      </w:r>
      <w:r w:rsidR="008C6290" w:rsidRPr="008C6290">
        <w:rPr>
          <w:sz w:val="22"/>
          <w:szCs w:val="22"/>
        </w:rPr>
        <w:t xml:space="preserve">With the exception of the </w:t>
      </w:r>
      <w:r w:rsidR="00066BF9">
        <w:rPr>
          <w:sz w:val="22"/>
          <w:szCs w:val="22"/>
        </w:rPr>
        <w:t xml:space="preserve">issues </w:t>
      </w:r>
      <w:r w:rsidR="00CE65A0">
        <w:rPr>
          <w:sz w:val="22"/>
          <w:szCs w:val="22"/>
        </w:rPr>
        <w:t xml:space="preserve">we believe warrant </w:t>
      </w:r>
      <w:r w:rsidR="00066BF9">
        <w:rPr>
          <w:sz w:val="22"/>
          <w:szCs w:val="22"/>
        </w:rPr>
        <w:lastRenderedPageBreak/>
        <w:t xml:space="preserve">further discussion, </w:t>
      </w:r>
      <w:r w:rsidR="00CE65A0">
        <w:rPr>
          <w:sz w:val="22"/>
          <w:szCs w:val="22"/>
        </w:rPr>
        <w:t xml:space="preserve">which we address below, </w:t>
      </w:r>
      <w:r w:rsidR="008C6290" w:rsidRPr="008C6290">
        <w:rPr>
          <w:sz w:val="22"/>
          <w:szCs w:val="22"/>
        </w:rPr>
        <w:t xml:space="preserve">petitioner either fails to persuade us </w:t>
      </w:r>
      <w:r w:rsidR="00363C4D">
        <w:rPr>
          <w:sz w:val="22"/>
          <w:szCs w:val="22"/>
        </w:rPr>
        <w:t>that</w:t>
      </w:r>
      <w:r w:rsidR="008C6290" w:rsidRPr="008C6290">
        <w:rPr>
          <w:sz w:val="22"/>
          <w:szCs w:val="22"/>
        </w:rPr>
        <w:t xml:space="preserve"> the </w:t>
      </w:r>
      <w:r w:rsidR="008C6290" w:rsidRPr="008C6290">
        <w:rPr>
          <w:i/>
          <w:sz w:val="22"/>
          <w:szCs w:val="22"/>
        </w:rPr>
        <w:t>Declaratory Ruling</w:t>
      </w:r>
      <w:r w:rsidR="008C6290" w:rsidRPr="008C6290">
        <w:rPr>
          <w:sz w:val="22"/>
          <w:szCs w:val="22"/>
        </w:rPr>
        <w:t xml:space="preserve"> was wrong or improperly raises new issues that were not first presented to the Bureau.</w:t>
      </w:r>
      <w:r w:rsidR="008C6290" w:rsidRPr="008C6290">
        <w:rPr>
          <w:rStyle w:val="FootnoteReference"/>
          <w:szCs w:val="22"/>
        </w:rPr>
        <w:footnoteReference w:id="6"/>
      </w:r>
    </w:p>
    <w:p w14:paraId="1AA231E4" w14:textId="57696CFF" w:rsidR="008C3DF8" w:rsidRPr="008C6290" w:rsidRDefault="0027094F" w:rsidP="00FA451B">
      <w:pPr>
        <w:numPr>
          <w:ilvl w:val="0"/>
          <w:numId w:val="4"/>
        </w:numPr>
        <w:spacing w:after="200"/>
        <w:ind w:left="0" w:firstLine="720"/>
        <w:rPr>
          <w:sz w:val="22"/>
          <w:szCs w:val="22"/>
        </w:rPr>
      </w:pPr>
      <w:r w:rsidRPr="008C6290">
        <w:rPr>
          <w:color w:val="000000"/>
          <w:sz w:val="22"/>
          <w:szCs w:val="22"/>
        </w:rPr>
        <w:t xml:space="preserve">U.S. South argues that the </w:t>
      </w:r>
      <w:r w:rsidRPr="008C6290">
        <w:rPr>
          <w:i/>
          <w:color w:val="000000"/>
          <w:sz w:val="22"/>
          <w:szCs w:val="22"/>
        </w:rPr>
        <w:t>Declaratory Ruling</w:t>
      </w:r>
      <w:r w:rsidRPr="008C6290">
        <w:rPr>
          <w:color w:val="000000"/>
          <w:sz w:val="22"/>
          <w:szCs w:val="22"/>
        </w:rPr>
        <w:t xml:space="preserve"> interprets the Commission’s payphone compensation rules in such a way as to overrule the Commission’s settled decisions by making payphone compensation a matter of strict liability for carriers.</w:t>
      </w:r>
      <w:r w:rsidRPr="008C6290">
        <w:rPr>
          <w:rStyle w:val="FootnoteReference"/>
          <w:szCs w:val="22"/>
        </w:rPr>
        <w:footnoteReference w:id="7"/>
      </w:r>
      <w:r w:rsidRPr="008C6290">
        <w:rPr>
          <w:color w:val="000000"/>
          <w:sz w:val="22"/>
          <w:szCs w:val="22"/>
        </w:rPr>
        <w:t xml:space="preserve">  We disagree</w:t>
      </w:r>
      <w:r w:rsidR="0037328B" w:rsidRPr="008C6290">
        <w:rPr>
          <w:color w:val="000000"/>
          <w:sz w:val="22"/>
          <w:szCs w:val="22"/>
        </w:rPr>
        <w:t>.  The Bureau properly articulated existing requirements</w:t>
      </w:r>
      <w:r w:rsidRPr="008C6290">
        <w:rPr>
          <w:color w:val="000000"/>
          <w:sz w:val="22"/>
          <w:szCs w:val="22"/>
        </w:rPr>
        <w:t>.</w:t>
      </w:r>
      <w:r w:rsidRPr="008C6290">
        <w:rPr>
          <w:rStyle w:val="FootnoteReference"/>
          <w:szCs w:val="22"/>
        </w:rPr>
        <w:footnoteReference w:id="8"/>
      </w:r>
      <w:r w:rsidRPr="008C6290">
        <w:rPr>
          <w:color w:val="000000"/>
          <w:sz w:val="22"/>
          <w:szCs w:val="22"/>
        </w:rPr>
        <w:t xml:space="preserve">  </w:t>
      </w:r>
      <w:r w:rsidR="000F77E4" w:rsidRPr="008C6290">
        <w:rPr>
          <w:color w:val="000000"/>
          <w:sz w:val="22"/>
          <w:szCs w:val="22"/>
        </w:rPr>
        <w:t>In 1996, when Congress enacted section 276, the Commission began implementing policies to “establish a per call compensation plan to ensure that all payphone service providers are fairly compensated for each and every completed intrastate and interstate call using their payphone</w:t>
      </w:r>
      <w:r w:rsidR="00E4506B" w:rsidRPr="008C6290">
        <w:rPr>
          <w:color w:val="000000"/>
          <w:sz w:val="22"/>
          <w:szCs w:val="22"/>
        </w:rPr>
        <w:t xml:space="preserve"> . . . .</w:t>
      </w:r>
      <w:r w:rsidR="000F77E4" w:rsidRPr="008C6290">
        <w:rPr>
          <w:color w:val="000000"/>
          <w:sz w:val="22"/>
          <w:szCs w:val="22"/>
        </w:rPr>
        <w:t>”</w:t>
      </w:r>
      <w:r w:rsidR="000F77E4" w:rsidRPr="008C6290">
        <w:rPr>
          <w:rStyle w:val="FootnoteReference"/>
          <w:szCs w:val="22"/>
        </w:rPr>
        <w:footnoteReference w:id="9"/>
      </w:r>
      <w:r w:rsidR="000F77E4" w:rsidRPr="008C6290">
        <w:rPr>
          <w:color w:val="000000"/>
          <w:sz w:val="22"/>
          <w:szCs w:val="22"/>
        </w:rPr>
        <w:t xml:space="preserve">  The Commission defined a completed call as one </w:t>
      </w:r>
      <w:r w:rsidR="00214FA5">
        <w:rPr>
          <w:color w:val="000000"/>
          <w:sz w:val="22"/>
          <w:szCs w:val="22"/>
        </w:rPr>
        <w:t>“</w:t>
      </w:r>
      <w:r w:rsidR="000F77E4" w:rsidRPr="008C6290">
        <w:rPr>
          <w:color w:val="000000"/>
          <w:sz w:val="22"/>
          <w:szCs w:val="22"/>
        </w:rPr>
        <w:t>that is answered by the called party.”</w:t>
      </w:r>
      <w:r w:rsidR="000F77E4" w:rsidRPr="008C6290">
        <w:rPr>
          <w:rStyle w:val="FootnoteReference"/>
          <w:szCs w:val="22"/>
        </w:rPr>
        <w:footnoteReference w:id="10"/>
      </w:r>
      <w:r w:rsidR="000F77E4" w:rsidRPr="008C6290">
        <w:rPr>
          <w:color w:val="000000"/>
          <w:sz w:val="22"/>
          <w:szCs w:val="22"/>
        </w:rPr>
        <w:t xml:space="preserve">  </w:t>
      </w:r>
      <w:r w:rsidRPr="008C6290">
        <w:rPr>
          <w:color w:val="000000"/>
          <w:sz w:val="22"/>
          <w:szCs w:val="22"/>
        </w:rPr>
        <w:t xml:space="preserve">We recognize, as do the parties in this proceeding, that failures in Flex ANI transmission </w:t>
      </w:r>
      <w:r w:rsidR="00596FFF" w:rsidRPr="008C6290">
        <w:rPr>
          <w:color w:val="000000"/>
          <w:sz w:val="22"/>
          <w:szCs w:val="22"/>
        </w:rPr>
        <w:t>may</w:t>
      </w:r>
      <w:r w:rsidRPr="008C6290">
        <w:rPr>
          <w:color w:val="000000"/>
          <w:sz w:val="22"/>
          <w:szCs w:val="22"/>
        </w:rPr>
        <w:t xml:space="preserve"> sometimes occur</w:t>
      </w:r>
      <w:r w:rsidR="00294CA6" w:rsidRPr="008C6290">
        <w:rPr>
          <w:color w:val="000000"/>
          <w:sz w:val="22"/>
          <w:szCs w:val="22"/>
        </w:rPr>
        <w:t>.</w:t>
      </w:r>
      <w:r w:rsidRPr="008C6290">
        <w:rPr>
          <w:rStyle w:val="FootnoteReference"/>
          <w:szCs w:val="22"/>
        </w:rPr>
        <w:footnoteReference w:id="11"/>
      </w:r>
      <w:r w:rsidRPr="008C6290">
        <w:rPr>
          <w:color w:val="000000"/>
          <w:sz w:val="22"/>
          <w:szCs w:val="22"/>
        </w:rPr>
        <w:t xml:space="preserve"> </w:t>
      </w:r>
      <w:r w:rsidR="00E4506B" w:rsidRPr="008C6290">
        <w:rPr>
          <w:color w:val="000000"/>
          <w:sz w:val="22"/>
          <w:szCs w:val="22"/>
        </w:rPr>
        <w:t xml:space="preserve"> </w:t>
      </w:r>
      <w:r w:rsidR="008C3DF8" w:rsidRPr="008C6290">
        <w:rPr>
          <w:color w:val="000000"/>
          <w:sz w:val="22"/>
          <w:szCs w:val="22"/>
        </w:rPr>
        <w:t xml:space="preserve">U.S. South argues that it should not </w:t>
      </w:r>
      <w:r w:rsidR="00E4506B" w:rsidRPr="008C6290">
        <w:rPr>
          <w:color w:val="000000"/>
          <w:sz w:val="22"/>
          <w:szCs w:val="22"/>
        </w:rPr>
        <w:t>owe compensation</w:t>
      </w:r>
      <w:r w:rsidR="008C3DF8" w:rsidRPr="008C6290">
        <w:rPr>
          <w:color w:val="000000"/>
          <w:sz w:val="22"/>
          <w:szCs w:val="22"/>
        </w:rPr>
        <w:t xml:space="preserve"> </w:t>
      </w:r>
      <w:r w:rsidR="00294CA6" w:rsidRPr="008C6290">
        <w:rPr>
          <w:color w:val="000000"/>
          <w:sz w:val="22"/>
          <w:szCs w:val="22"/>
        </w:rPr>
        <w:t xml:space="preserve">in those instances </w:t>
      </w:r>
      <w:r w:rsidR="00890046" w:rsidRPr="008C6290">
        <w:rPr>
          <w:color w:val="000000"/>
          <w:sz w:val="22"/>
          <w:szCs w:val="22"/>
        </w:rPr>
        <w:t xml:space="preserve">because </w:t>
      </w:r>
      <w:r w:rsidR="00EE14CE" w:rsidRPr="008C6290">
        <w:rPr>
          <w:color w:val="000000"/>
          <w:sz w:val="22"/>
          <w:szCs w:val="22"/>
        </w:rPr>
        <w:t>i</w:t>
      </w:r>
      <w:r w:rsidR="000F77E4" w:rsidRPr="008C6290">
        <w:rPr>
          <w:color w:val="000000"/>
          <w:sz w:val="22"/>
          <w:szCs w:val="22"/>
        </w:rPr>
        <w:t xml:space="preserve">t would be </w:t>
      </w:r>
      <w:r w:rsidR="008C3DF8" w:rsidRPr="008C6290">
        <w:rPr>
          <w:color w:val="000000"/>
          <w:sz w:val="22"/>
          <w:szCs w:val="22"/>
        </w:rPr>
        <w:t>without “fault, notice or knowledge”</w:t>
      </w:r>
      <w:r w:rsidR="00FE55FB" w:rsidRPr="008C6290">
        <w:rPr>
          <w:color w:val="000000"/>
          <w:sz w:val="22"/>
          <w:szCs w:val="22"/>
        </w:rPr>
        <w:t xml:space="preserve"> concerning liability for those amounts.</w:t>
      </w:r>
      <w:r w:rsidR="00686A68" w:rsidRPr="008C6290">
        <w:rPr>
          <w:rStyle w:val="FootnoteReference"/>
          <w:szCs w:val="22"/>
        </w:rPr>
        <w:footnoteReference w:id="12"/>
      </w:r>
      <w:r w:rsidR="008C3DF8" w:rsidRPr="008C6290">
        <w:t xml:space="preserve">  </w:t>
      </w:r>
      <w:r w:rsidR="000F77E4" w:rsidRPr="008C6290">
        <w:rPr>
          <w:color w:val="000000"/>
          <w:sz w:val="22"/>
          <w:szCs w:val="22"/>
        </w:rPr>
        <w:t xml:space="preserve">However, </w:t>
      </w:r>
      <w:r w:rsidR="00294CA6" w:rsidRPr="008C6290">
        <w:rPr>
          <w:color w:val="000000"/>
          <w:sz w:val="22"/>
          <w:szCs w:val="22"/>
        </w:rPr>
        <w:t>even in instances of Flex ANI transmission failure, a service was rendered and liability incurred when the Completing Carrier’s customer made a call from a payphone.</w:t>
      </w:r>
      <w:r w:rsidR="00294CA6" w:rsidRPr="008C6290">
        <w:rPr>
          <w:rStyle w:val="FootnoteReference"/>
          <w:szCs w:val="22"/>
        </w:rPr>
        <w:footnoteReference w:id="13"/>
      </w:r>
      <w:r w:rsidR="00294CA6" w:rsidRPr="008C6290">
        <w:rPr>
          <w:color w:val="000000"/>
          <w:sz w:val="22"/>
          <w:szCs w:val="22"/>
        </w:rPr>
        <w:t xml:space="preserve">  A</w:t>
      </w:r>
      <w:r w:rsidR="008C3DF8" w:rsidRPr="008C6290">
        <w:rPr>
          <w:sz w:val="22"/>
          <w:szCs w:val="22"/>
        </w:rPr>
        <w:t xml:space="preserve"> Completing Carrier is the only </w:t>
      </w:r>
      <w:r w:rsidR="00CF4FFF" w:rsidRPr="008C6290">
        <w:rPr>
          <w:sz w:val="22"/>
          <w:szCs w:val="22"/>
        </w:rPr>
        <w:t>entity with knowledge</w:t>
      </w:r>
      <w:r w:rsidR="006E04A4">
        <w:rPr>
          <w:sz w:val="22"/>
          <w:szCs w:val="22"/>
        </w:rPr>
        <w:t>—</w:t>
      </w:r>
      <w:r w:rsidR="00FA451B" w:rsidRPr="008C6290">
        <w:rPr>
          <w:sz w:val="22"/>
          <w:szCs w:val="22"/>
        </w:rPr>
        <w:t>or the ability to obtain information</w:t>
      </w:r>
      <w:r w:rsidR="006E04A4">
        <w:rPr>
          <w:sz w:val="22"/>
          <w:szCs w:val="22"/>
        </w:rPr>
        <w:t>—</w:t>
      </w:r>
      <w:r w:rsidR="00CF4FFF" w:rsidRPr="008C6290">
        <w:rPr>
          <w:sz w:val="22"/>
          <w:szCs w:val="22"/>
        </w:rPr>
        <w:t xml:space="preserve">as to whether its customer made a call from a payphone and whether </w:t>
      </w:r>
      <w:r w:rsidR="00FA451B" w:rsidRPr="008C6290">
        <w:rPr>
          <w:sz w:val="22"/>
          <w:szCs w:val="22"/>
        </w:rPr>
        <w:t xml:space="preserve">the call was </w:t>
      </w:r>
      <w:r w:rsidR="00CF4FFF" w:rsidRPr="008C6290">
        <w:rPr>
          <w:sz w:val="22"/>
          <w:szCs w:val="22"/>
        </w:rPr>
        <w:t>“completed and therefore compensable</w:t>
      </w:r>
      <w:r w:rsidR="00D12ED9">
        <w:rPr>
          <w:sz w:val="22"/>
          <w:szCs w:val="22"/>
        </w:rPr>
        <w:t xml:space="preserve"> </w:t>
      </w:r>
      <w:r w:rsidR="00D12ED9" w:rsidRPr="008C6290">
        <w:rPr>
          <w:sz w:val="22"/>
          <w:szCs w:val="22"/>
        </w:rPr>
        <w:t>(via answer supervision</w:t>
      </w:r>
      <w:r w:rsidR="00D12ED9">
        <w:rPr>
          <w:sz w:val="22"/>
          <w:szCs w:val="22"/>
        </w:rPr>
        <w:t>)</w:t>
      </w:r>
      <w:r w:rsidR="00FE55FB" w:rsidRPr="008C6290">
        <w:rPr>
          <w:sz w:val="22"/>
          <w:szCs w:val="22"/>
        </w:rPr>
        <w:t>.</w:t>
      </w:r>
      <w:r w:rsidR="00CF4FFF" w:rsidRPr="008C6290">
        <w:rPr>
          <w:sz w:val="22"/>
          <w:szCs w:val="22"/>
        </w:rPr>
        <w:t>”</w:t>
      </w:r>
      <w:r w:rsidR="00686A68" w:rsidRPr="008C6290">
        <w:rPr>
          <w:rStyle w:val="FootnoteReference"/>
          <w:szCs w:val="22"/>
        </w:rPr>
        <w:footnoteReference w:id="14"/>
      </w:r>
      <w:r w:rsidR="00CF4FFF" w:rsidRPr="008C6290">
        <w:rPr>
          <w:sz w:val="22"/>
          <w:szCs w:val="22"/>
        </w:rPr>
        <w:t xml:space="preserve">  </w:t>
      </w:r>
    </w:p>
    <w:p w14:paraId="5B60B2DF" w14:textId="1CE98659" w:rsidR="008C3DF8" w:rsidRPr="008C6290" w:rsidRDefault="008C3DF8">
      <w:pPr>
        <w:numPr>
          <w:ilvl w:val="0"/>
          <w:numId w:val="4"/>
        </w:numPr>
        <w:spacing w:after="200"/>
        <w:ind w:left="0" w:firstLine="720"/>
        <w:rPr>
          <w:sz w:val="22"/>
          <w:szCs w:val="22"/>
        </w:rPr>
      </w:pPr>
      <w:r w:rsidRPr="008C6290">
        <w:rPr>
          <w:color w:val="000000"/>
          <w:sz w:val="22"/>
          <w:szCs w:val="22"/>
        </w:rPr>
        <w:t xml:space="preserve">U.S. South </w:t>
      </w:r>
      <w:r w:rsidR="00FE55FB" w:rsidRPr="008C6290">
        <w:rPr>
          <w:color w:val="000000"/>
          <w:sz w:val="22"/>
          <w:szCs w:val="22"/>
        </w:rPr>
        <w:t xml:space="preserve">incorrectly </w:t>
      </w:r>
      <w:r w:rsidRPr="008C6290">
        <w:rPr>
          <w:color w:val="000000"/>
          <w:sz w:val="22"/>
          <w:szCs w:val="22"/>
        </w:rPr>
        <w:t>asserts that there are no legal or factual defenses available to Completing Carriers facing claims for compensation.</w:t>
      </w:r>
      <w:r w:rsidRPr="008C6290">
        <w:rPr>
          <w:rStyle w:val="FootnoteReference"/>
          <w:szCs w:val="22"/>
        </w:rPr>
        <w:footnoteReference w:id="15"/>
      </w:r>
      <w:r w:rsidRPr="008C6290">
        <w:rPr>
          <w:color w:val="000000"/>
          <w:sz w:val="22"/>
          <w:szCs w:val="22"/>
        </w:rPr>
        <w:t xml:space="preserve">  </w:t>
      </w:r>
      <w:r w:rsidR="0027094F" w:rsidRPr="008C6290">
        <w:rPr>
          <w:color w:val="000000"/>
          <w:sz w:val="22"/>
          <w:szCs w:val="22"/>
        </w:rPr>
        <w:t xml:space="preserve">Completing Carriers </w:t>
      </w:r>
      <w:r w:rsidR="00FE55FB" w:rsidRPr="008C6290">
        <w:rPr>
          <w:color w:val="000000"/>
          <w:sz w:val="22"/>
          <w:szCs w:val="22"/>
        </w:rPr>
        <w:t xml:space="preserve">do </w:t>
      </w:r>
      <w:r w:rsidR="0027094F" w:rsidRPr="008C6290">
        <w:rPr>
          <w:color w:val="000000"/>
          <w:sz w:val="22"/>
          <w:szCs w:val="22"/>
        </w:rPr>
        <w:t xml:space="preserve">have the ability to raise </w:t>
      </w:r>
      <w:r w:rsidR="0027094F" w:rsidRPr="008C6290">
        <w:rPr>
          <w:color w:val="000000"/>
          <w:sz w:val="22"/>
          <w:szCs w:val="22"/>
        </w:rPr>
        <w:lastRenderedPageBreak/>
        <w:t xml:space="preserve">legal and/or factual defenses to claims for compensation for </w:t>
      </w:r>
      <w:r w:rsidR="00FE55FB" w:rsidRPr="008C6290">
        <w:rPr>
          <w:color w:val="000000"/>
          <w:sz w:val="22"/>
          <w:szCs w:val="22"/>
        </w:rPr>
        <w:t xml:space="preserve">dial-around </w:t>
      </w:r>
      <w:r w:rsidR="0027094F" w:rsidRPr="008C6290">
        <w:rPr>
          <w:color w:val="000000"/>
          <w:sz w:val="22"/>
          <w:szCs w:val="22"/>
        </w:rPr>
        <w:t>calls</w:t>
      </w:r>
      <w:r w:rsidR="0046004D" w:rsidRPr="008C6290">
        <w:rPr>
          <w:color w:val="000000"/>
          <w:sz w:val="22"/>
          <w:szCs w:val="22"/>
        </w:rPr>
        <w:t xml:space="preserve"> or to otherwise protect </w:t>
      </w:r>
      <w:r w:rsidR="003E118E" w:rsidRPr="008C6290">
        <w:rPr>
          <w:color w:val="000000"/>
          <w:sz w:val="22"/>
          <w:szCs w:val="22"/>
        </w:rPr>
        <w:t>their</w:t>
      </w:r>
      <w:r w:rsidR="0046004D" w:rsidRPr="008C6290">
        <w:rPr>
          <w:color w:val="000000"/>
          <w:sz w:val="22"/>
          <w:szCs w:val="22"/>
        </w:rPr>
        <w:t xml:space="preserve"> interests</w:t>
      </w:r>
      <w:r w:rsidR="0027094F" w:rsidRPr="008C6290">
        <w:rPr>
          <w:color w:val="000000"/>
          <w:sz w:val="22"/>
          <w:szCs w:val="22"/>
        </w:rPr>
        <w:t>.  For example, a Completing Carrier could examine its records and determine that those calls were not “completed” (</w:t>
      </w:r>
      <w:r w:rsidR="0027094F" w:rsidRPr="008C6290">
        <w:rPr>
          <w:i/>
          <w:color w:val="000000"/>
          <w:sz w:val="22"/>
          <w:szCs w:val="22"/>
        </w:rPr>
        <w:t>i.e.</w:t>
      </w:r>
      <w:r w:rsidR="0027094F" w:rsidRPr="008C6290">
        <w:rPr>
          <w:color w:val="000000"/>
          <w:sz w:val="22"/>
          <w:szCs w:val="22"/>
        </w:rPr>
        <w:t>, not answered by the called party).</w:t>
      </w:r>
      <w:r w:rsidR="0027094F" w:rsidRPr="008C6290">
        <w:rPr>
          <w:rStyle w:val="FootnoteReference"/>
          <w:szCs w:val="22"/>
        </w:rPr>
        <w:footnoteReference w:id="16"/>
      </w:r>
      <w:r w:rsidR="0027094F" w:rsidRPr="008C6290">
        <w:rPr>
          <w:color w:val="000000"/>
          <w:sz w:val="22"/>
          <w:szCs w:val="22"/>
        </w:rPr>
        <w:t xml:space="preserve">  Under section 64.1310</w:t>
      </w:r>
      <w:r w:rsidR="00294CA6" w:rsidRPr="008C6290">
        <w:rPr>
          <w:color w:val="000000"/>
          <w:sz w:val="22"/>
          <w:szCs w:val="22"/>
        </w:rPr>
        <w:t xml:space="preserve"> of the Commission’s rules</w:t>
      </w:r>
      <w:r w:rsidR="0027094F" w:rsidRPr="008C6290">
        <w:rPr>
          <w:color w:val="000000"/>
          <w:sz w:val="22"/>
          <w:szCs w:val="22"/>
        </w:rPr>
        <w:t xml:space="preserve">, Completing Carriers have the </w:t>
      </w:r>
      <w:r w:rsidR="00A24AF8" w:rsidRPr="008C6290">
        <w:rPr>
          <w:color w:val="000000"/>
          <w:sz w:val="22"/>
          <w:szCs w:val="22"/>
        </w:rPr>
        <w:t xml:space="preserve">right </w:t>
      </w:r>
      <w:r w:rsidR="0027094F" w:rsidRPr="008C6290">
        <w:rPr>
          <w:color w:val="000000"/>
          <w:sz w:val="22"/>
          <w:szCs w:val="22"/>
        </w:rPr>
        <w:t xml:space="preserve">to verify </w:t>
      </w:r>
      <w:r w:rsidR="00A33DB1">
        <w:rPr>
          <w:color w:val="000000"/>
          <w:sz w:val="22"/>
          <w:szCs w:val="22"/>
        </w:rPr>
        <w:t xml:space="preserve">payphone ANIs </w:t>
      </w:r>
      <w:r w:rsidR="0027094F" w:rsidRPr="008C6290">
        <w:rPr>
          <w:color w:val="000000"/>
          <w:sz w:val="22"/>
          <w:szCs w:val="22"/>
        </w:rPr>
        <w:t>by requesting information from the LEC.</w:t>
      </w:r>
      <w:r w:rsidR="0027094F" w:rsidRPr="008C6290">
        <w:rPr>
          <w:rStyle w:val="FootnoteReference"/>
          <w:szCs w:val="22"/>
        </w:rPr>
        <w:footnoteReference w:id="17"/>
      </w:r>
      <w:r w:rsidR="0027094F" w:rsidRPr="008C6290">
        <w:rPr>
          <w:color w:val="000000"/>
          <w:sz w:val="22"/>
          <w:szCs w:val="22"/>
        </w:rPr>
        <w:t xml:space="preserve">  </w:t>
      </w:r>
      <w:r w:rsidR="00AE749F" w:rsidRPr="008C6290">
        <w:rPr>
          <w:color w:val="000000"/>
          <w:sz w:val="22"/>
          <w:szCs w:val="22"/>
        </w:rPr>
        <w:t>A</w:t>
      </w:r>
      <w:r w:rsidR="0027094F" w:rsidRPr="008C6290">
        <w:rPr>
          <w:color w:val="000000"/>
          <w:sz w:val="22"/>
          <w:szCs w:val="22"/>
        </w:rPr>
        <w:t xml:space="preserve">s explained in the </w:t>
      </w:r>
      <w:r w:rsidR="0027094F" w:rsidRPr="008C6290">
        <w:rPr>
          <w:i/>
          <w:color w:val="000000"/>
          <w:sz w:val="22"/>
          <w:szCs w:val="22"/>
        </w:rPr>
        <w:t>Declaratory Ruling</w:t>
      </w:r>
      <w:r w:rsidR="0027094F" w:rsidRPr="008C6290">
        <w:rPr>
          <w:color w:val="000000"/>
          <w:sz w:val="22"/>
          <w:szCs w:val="22"/>
        </w:rPr>
        <w:t xml:space="preserve">, if the Flex ANI </w:t>
      </w:r>
      <w:r w:rsidR="00A24AF8" w:rsidRPr="008C6290">
        <w:rPr>
          <w:color w:val="000000"/>
          <w:sz w:val="22"/>
          <w:szCs w:val="22"/>
        </w:rPr>
        <w:t xml:space="preserve">transmission </w:t>
      </w:r>
      <w:r w:rsidR="0027094F" w:rsidRPr="008C6290">
        <w:rPr>
          <w:color w:val="000000"/>
          <w:sz w:val="22"/>
          <w:szCs w:val="22"/>
        </w:rPr>
        <w:t xml:space="preserve">failure occurred at either the LEC or the Intermediate Carrier level, the Completing Carrier </w:t>
      </w:r>
      <w:r w:rsidR="009723B7" w:rsidRPr="008C6290">
        <w:rPr>
          <w:color w:val="000000"/>
          <w:sz w:val="22"/>
          <w:szCs w:val="22"/>
        </w:rPr>
        <w:t>has a business relationship with those carriers through which i</w:t>
      </w:r>
      <w:r w:rsidR="00263798" w:rsidRPr="008C6290">
        <w:rPr>
          <w:color w:val="000000"/>
          <w:sz w:val="22"/>
          <w:szCs w:val="22"/>
        </w:rPr>
        <w:t>t</w:t>
      </w:r>
      <w:r w:rsidR="009723B7" w:rsidRPr="008C6290">
        <w:rPr>
          <w:color w:val="000000"/>
          <w:sz w:val="22"/>
          <w:szCs w:val="22"/>
        </w:rPr>
        <w:t xml:space="preserve"> can protect its interest</w:t>
      </w:r>
      <w:r w:rsidR="00A23F0B" w:rsidRPr="008C6290">
        <w:rPr>
          <w:color w:val="000000"/>
          <w:sz w:val="22"/>
          <w:szCs w:val="22"/>
        </w:rPr>
        <w:t>s</w:t>
      </w:r>
      <w:r w:rsidR="009723B7" w:rsidRPr="008C6290">
        <w:rPr>
          <w:color w:val="000000"/>
          <w:sz w:val="22"/>
          <w:szCs w:val="22"/>
        </w:rPr>
        <w:t xml:space="preserve">, including the ability to </w:t>
      </w:r>
      <w:r w:rsidR="0027094F" w:rsidRPr="008C6290">
        <w:rPr>
          <w:color w:val="000000"/>
          <w:sz w:val="22"/>
          <w:szCs w:val="22"/>
        </w:rPr>
        <w:t>seek compensation from those carriers for the failure to transmit Flex ANI.</w:t>
      </w:r>
      <w:r w:rsidR="0027094F" w:rsidRPr="008C6290">
        <w:rPr>
          <w:rStyle w:val="FootnoteReference"/>
          <w:szCs w:val="22"/>
        </w:rPr>
        <w:footnoteReference w:id="18"/>
      </w:r>
      <w:r w:rsidR="0027094F" w:rsidRPr="008C6290">
        <w:rPr>
          <w:color w:val="000000"/>
          <w:sz w:val="22"/>
          <w:szCs w:val="22"/>
        </w:rPr>
        <w:t xml:space="preserve">  </w:t>
      </w:r>
      <w:r w:rsidR="00294CA6" w:rsidRPr="008C6290">
        <w:rPr>
          <w:color w:val="000000"/>
          <w:sz w:val="22"/>
          <w:szCs w:val="22"/>
        </w:rPr>
        <w:t>A Completing Carrier is also protected against late-filed claims for payphone compensation by the two-year statute of limitations in section 415 of the Act.</w:t>
      </w:r>
      <w:r w:rsidR="00294CA6" w:rsidRPr="008C6290">
        <w:rPr>
          <w:rStyle w:val="FootnoteReference"/>
          <w:szCs w:val="22"/>
        </w:rPr>
        <w:footnoteReference w:id="19"/>
      </w:r>
      <w:r w:rsidR="00294CA6" w:rsidRPr="008C6290">
        <w:rPr>
          <w:color w:val="000000"/>
          <w:sz w:val="22"/>
          <w:szCs w:val="22"/>
        </w:rPr>
        <w:t xml:space="preserve">  </w:t>
      </w:r>
    </w:p>
    <w:p w14:paraId="27BAF3F3" w14:textId="19AE40F0" w:rsidR="00E05D84" w:rsidRPr="00AE3142" w:rsidRDefault="00E60907">
      <w:pPr>
        <w:numPr>
          <w:ilvl w:val="0"/>
          <w:numId w:val="4"/>
        </w:numPr>
        <w:spacing w:after="200"/>
        <w:ind w:left="0" w:firstLine="720"/>
        <w:rPr>
          <w:sz w:val="22"/>
          <w:szCs w:val="22"/>
        </w:rPr>
      </w:pPr>
      <w:r w:rsidRPr="008C6290">
        <w:rPr>
          <w:color w:val="000000"/>
          <w:sz w:val="22"/>
          <w:szCs w:val="22"/>
        </w:rPr>
        <w:t xml:space="preserve">U.S. South’s argument amounts to a request that PSPs bear the cost of </w:t>
      </w:r>
      <w:r w:rsidR="00235C4D" w:rsidRPr="008C6290">
        <w:rPr>
          <w:color w:val="000000"/>
          <w:sz w:val="22"/>
          <w:szCs w:val="22"/>
        </w:rPr>
        <w:t xml:space="preserve">completed </w:t>
      </w:r>
      <w:r w:rsidRPr="008C6290">
        <w:rPr>
          <w:color w:val="000000"/>
          <w:sz w:val="22"/>
          <w:szCs w:val="22"/>
        </w:rPr>
        <w:t xml:space="preserve">calls when Flex ANI digits are not transmitted.  </w:t>
      </w:r>
      <w:r w:rsidR="00235C4D" w:rsidRPr="008C6290">
        <w:rPr>
          <w:color w:val="000000"/>
          <w:sz w:val="22"/>
          <w:szCs w:val="22"/>
        </w:rPr>
        <w:t xml:space="preserve">For reasons detailed in the </w:t>
      </w:r>
      <w:r w:rsidR="00235C4D" w:rsidRPr="008C6290">
        <w:rPr>
          <w:i/>
          <w:color w:val="000000"/>
          <w:sz w:val="22"/>
          <w:szCs w:val="22"/>
        </w:rPr>
        <w:t>Declaratory Ruling</w:t>
      </w:r>
      <w:r w:rsidR="00235C4D" w:rsidRPr="008C6290">
        <w:rPr>
          <w:color w:val="000000"/>
          <w:sz w:val="22"/>
          <w:szCs w:val="22"/>
        </w:rPr>
        <w:t>, w</w:t>
      </w:r>
      <w:r w:rsidRPr="008C6290">
        <w:rPr>
          <w:color w:val="000000"/>
          <w:sz w:val="22"/>
          <w:szCs w:val="22"/>
        </w:rPr>
        <w:t>e reject that position.</w:t>
      </w:r>
      <w:r w:rsidR="00235C4D" w:rsidRPr="008C6290">
        <w:rPr>
          <w:rStyle w:val="FootnoteReference"/>
          <w:szCs w:val="22"/>
        </w:rPr>
        <w:footnoteReference w:id="20"/>
      </w:r>
      <w:r w:rsidRPr="008C6290">
        <w:rPr>
          <w:color w:val="000000"/>
          <w:sz w:val="22"/>
          <w:szCs w:val="22"/>
        </w:rPr>
        <w:t xml:space="preserve">  First, it is inconsistent with Commission decisions</w:t>
      </w:r>
      <w:r w:rsidR="00235C4D" w:rsidRPr="008C6290">
        <w:rPr>
          <w:color w:val="000000"/>
          <w:sz w:val="22"/>
          <w:szCs w:val="22"/>
        </w:rPr>
        <w:t>.</w:t>
      </w:r>
      <w:r w:rsidR="00FA451B" w:rsidRPr="008C6290">
        <w:rPr>
          <w:rStyle w:val="FootnoteReference"/>
          <w:szCs w:val="22"/>
        </w:rPr>
        <w:footnoteReference w:id="21"/>
      </w:r>
      <w:r w:rsidR="00235C4D" w:rsidRPr="008C6290">
        <w:rPr>
          <w:color w:val="000000"/>
          <w:sz w:val="22"/>
          <w:szCs w:val="22"/>
        </w:rPr>
        <w:t xml:space="preserve">  </w:t>
      </w:r>
      <w:r w:rsidRPr="008C6290">
        <w:rPr>
          <w:color w:val="000000"/>
          <w:sz w:val="22"/>
          <w:szCs w:val="22"/>
        </w:rPr>
        <w:t>Second, it would shift the burden onto the party that has no ability to track calls and away from the only party that has such ability.</w:t>
      </w:r>
      <w:r w:rsidR="0027094F" w:rsidRPr="008C6290">
        <w:rPr>
          <w:rStyle w:val="FootnoteReference"/>
          <w:szCs w:val="22"/>
        </w:rPr>
        <w:footnoteReference w:id="22"/>
      </w:r>
      <w:r w:rsidR="0027094F" w:rsidRPr="008C6290">
        <w:rPr>
          <w:color w:val="000000"/>
          <w:sz w:val="22"/>
          <w:szCs w:val="22"/>
        </w:rPr>
        <w:t xml:space="preserve">  A Completing Carrier that want</w:t>
      </w:r>
      <w:r w:rsidR="00632AA6" w:rsidRPr="008C6290">
        <w:rPr>
          <w:color w:val="000000"/>
          <w:sz w:val="22"/>
          <w:szCs w:val="22"/>
        </w:rPr>
        <w:t>s</w:t>
      </w:r>
      <w:r w:rsidR="0027094F" w:rsidRPr="008C6290">
        <w:rPr>
          <w:color w:val="000000"/>
          <w:sz w:val="22"/>
          <w:szCs w:val="22"/>
        </w:rPr>
        <w:t xml:space="preserve"> to guard against claims for payphone compensation based on Flex ANI transmission failures</w:t>
      </w:r>
      <w:r w:rsidR="00235C4D" w:rsidRPr="008C6290">
        <w:rPr>
          <w:color w:val="000000"/>
          <w:sz w:val="22"/>
          <w:szCs w:val="22"/>
        </w:rPr>
        <w:t xml:space="preserve"> </w:t>
      </w:r>
      <w:r w:rsidR="00A24AF8" w:rsidRPr="008C6290">
        <w:rPr>
          <w:color w:val="000000"/>
          <w:sz w:val="22"/>
          <w:szCs w:val="22"/>
        </w:rPr>
        <w:t xml:space="preserve">could, for example, </w:t>
      </w:r>
      <w:r w:rsidR="0027094F" w:rsidRPr="008C6290">
        <w:rPr>
          <w:color w:val="000000"/>
          <w:sz w:val="22"/>
          <w:szCs w:val="22"/>
        </w:rPr>
        <w:t xml:space="preserve">establish a tracking system that </w:t>
      </w:r>
      <w:r w:rsidR="00632AA6" w:rsidRPr="008C6290">
        <w:rPr>
          <w:color w:val="000000"/>
          <w:sz w:val="22"/>
          <w:szCs w:val="22"/>
        </w:rPr>
        <w:t xml:space="preserve">relies </w:t>
      </w:r>
      <w:r w:rsidR="0027094F" w:rsidRPr="008C6290">
        <w:rPr>
          <w:color w:val="000000"/>
          <w:sz w:val="22"/>
          <w:szCs w:val="22"/>
        </w:rPr>
        <w:t xml:space="preserve">not only on Flex ANI but also checks its call records against the lists of payphone ANIs to determine whether </w:t>
      </w:r>
      <w:r w:rsidR="00FA451B" w:rsidRPr="008C6290">
        <w:rPr>
          <w:color w:val="000000"/>
          <w:sz w:val="22"/>
          <w:szCs w:val="22"/>
        </w:rPr>
        <w:t xml:space="preserve">the Completing Carrier </w:t>
      </w:r>
      <w:r w:rsidR="0027094F" w:rsidRPr="008C6290">
        <w:rPr>
          <w:color w:val="000000"/>
          <w:sz w:val="22"/>
          <w:szCs w:val="22"/>
        </w:rPr>
        <w:t>is completing calls from payphones that are not being tracked by Flex ANI.</w:t>
      </w:r>
      <w:r w:rsidR="0027094F" w:rsidRPr="008C6290">
        <w:rPr>
          <w:rStyle w:val="FootnoteReference"/>
          <w:szCs w:val="22"/>
        </w:rPr>
        <w:footnoteReference w:id="23"/>
      </w:r>
      <w:r w:rsidR="0027094F" w:rsidRPr="008C6290">
        <w:rPr>
          <w:color w:val="000000"/>
          <w:sz w:val="22"/>
          <w:szCs w:val="22"/>
        </w:rPr>
        <w:t xml:space="preserve">  A Completing Carrier </w:t>
      </w:r>
      <w:r w:rsidR="00632AA6" w:rsidRPr="008C6290">
        <w:rPr>
          <w:color w:val="000000"/>
          <w:sz w:val="22"/>
          <w:szCs w:val="22"/>
        </w:rPr>
        <w:t xml:space="preserve">is </w:t>
      </w:r>
      <w:r w:rsidR="0027094F" w:rsidRPr="008C6290">
        <w:rPr>
          <w:color w:val="000000"/>
          <w:sz w:val="22"/>
          <w:szCs w:val="22"/>
        </w:rPr>
        <w:t>not required to pay for uncompleted calls</w:t>
      </w:r>
      <w:r w:rsidR="005C6C14">
        <w:rPr>
          <w:color w:val="000000"/>
          <w:sz w:val="22"/>
          <w:szCs w:val="22"/>
        </w:rPr>
        <w:t>;</w:t>
      </w:r>
      <w:r w:rsidR="0027094F" w:rsidRPr="008C6290">
        <w:rPr>
          <w:color w:val="000000"/>
          <w:sz w:val="22"/>
          <w:szCs w:val="22"/>
        </w:rPr>
        <w:t xml:space="preserve"> but</w:t>
      </w:r>
      <w:r w:rsidR="00FA451B" w:rsidRPr="008C6290">
        <w:rPr>
          <w:color w:val="000000"/>
          <w:sz w:val="22"/>
          <w:szCs w:val="22"/>
        </w:rPr>
        <w:t>,</w:t>
      </w:r>
      <w:r w:rsidR="00367730" w:rsidRPr="008C6290">
        <w:rPr>
          <w:color w:val="000000"/>
          <w:sz w:val="22"/>
          <w:szCs w:val="22"/>
        </w:rPr>
        <w:t xml:space="preserve"> when </w:t>
      </w:r>
      <w:r w:rsidR="00FA451B" w:rsidRPr="008C6290">
        <w:rPr>
          <w:color w:val="000000"/>
          <w:sz w:val="22"/>
          <w:szCs w:val="22"/>
        </w:rPr>
        <w:t xml:space="preserve">presented </w:t>
      </w:r>
      <w:r w:rsidR="00367730" w:rsidRPr="008C6290">
        <w:rPr>
          <w:color w:val="000000"/>
          <w:sz w:val="22"/>
          <w:szCs w:val="22"/>
        </w:rPr>
        <w:t xml:space="preserve">with </w:t>
      </w:r>
      <w:r w:rsidR="00436704" w:rsidRPr="008C6290">
        <w:rPr>
          <w:color w:val="000000"/>
          <w:sz w:val="22"/>
          <w:szCs w:val="22"/>
        </w:rPr>
        <w:t xml:space="preserve">a claim </w:t>
      </w:r>
      <w:r w:rsidR="00367730" w:rsidRPr="008C6290">
        <w:rPr>
          <w:color w:val="000000"/>
          <w:sz w:val="22"/>
          <w:szCs w:val="22"/>
        </w:rPr>
        <w:t>th</w:t>
      </w:r>
      <w:r w:rsidR="00702C78" w:rsidRPr="008C6290">
        <w:rPr>
          <w:color w:val="000000"/>
          <w:sz w:val="22"/>
          <w:szCs w:val="22"/>
        </w:rPr>
        <w:t>at it has failed to pay required compensation,</w:t>
      </w:r>
      <w:r w:rsidR="0027094F" w:rsidRPr="008C6290">
        <w:rPr>
          <w:color w:val="000000"/>
          <w:sz w:val="22"/>
          <w:szCs w:val="22"/>
        </w:rPr>
        <w:t xml:space="preserve"> </w:t>
      </w:r>
      <w:r w:rsidR="005C6C14">
        <w:rPr>
          <w:color w:val="000000"/>
          <w:sz w:val="22"/>
          <w:szCs w:val="22"/>
        </w:rPr>
        <w:t>a Completing Carrier</w:t>
      </w:r>
      <w:r w:rsidR="00632AA6" w:rsidRPr="008C6290">
        <w:rPr>
          <w:color w:val="000000"/>
          <w:sz w:val="22"/>
          <w:szCs w:val="22"/>
        </w:rPr>
        <w:t xml:space="preserve"> has the ability and the obligation to show </w:t>
      </w:r>
      <w:r w:rsidR="00A24AF8" w:rsidRPr="008C6290">
        <w:rPr>
          <w:color w:val="000000"/>
          <w:sz w:val="22"/>
          <w:szCs w:val="22"/>
        </w:rPr>
        <w:t>when a</w:t>
      </w:r>
      <w:r w:rsidR="00632AA6" w:rsidRPr="008C6290">
        <w:rPr>
          <w:color w:val="000000"/>
          <w:sz w:val="22"/>
          <w:szCs w:val="22"/>
        </w:rPr>
        <w:t xml:space="preserve"> call was not completed.  T</w:t>
      </w:r>
      <w:r w:rsidR="0027094F" w:rsidRPr="008C6290">
        <w:rPr>
          <w:color w:val="000000"/>
          <w:sz w:val="22"/>
          <w:szCs w:val="22"/>
        </w:rPr>
        <w:t>he mere fact that the Flex ANI digits were not transmitted does not absolve the Completed Carrier’s obligation to compensate for completed calls.</w:t>
      </w:r>
      <w:r w:rsidR="003C6323" w:rsidRPr="008C6290">
        <w:rPr>
          <w:rStyle w:val="FootnoteReference"/>
          <w:szCs w:val="22"/>
        </w:rPr>
        <w:footnoteReference w:id="24"/>
      </w:r>
    </w:p>
    <w:p w14:paraId="4A2D6A13" w14:textId="77777777" w:rsidR="007B4902" w:rsidRPr="007B4902" w:rsidRDefault="0027094F" w:rsidP="006F7F5A">
      <w:pPr>
        <w:numPr>
          <w:ilvl w:val="0"/>
          <w:numId w:val="4"/>
        </w:numPr>
        <w:spacing w:after="200"/>
        <w:ind w:left="0" w:firstLine="720"/>
        <w:rPr>
          <w:sz w:val="22"/>
          <w:szCs w:val="22"/>
        </w:rPr>
      </w:pPr>
      <w:r w:rsidRPr="002105EC">
        <w:rPr>
          <w:sz w:val="22"/>
        </w:rPr>
        <w:t xml:space="preserve">Upon review of the remainder of the </w:t>
      </w:r>
      <w:r w:rsidRPr="002105EC">
        <w:rPr>
          <w:i/>
          <w:sz w:val="22"/>
        </w:rPr>
        <w:t>Application for Review</w:t>
      </w:r>
      <w:r w:rsidRPr="002105EC">
        <w:rPr>
          <w:sz w:val="22"/>
        </w:rPr>
        <w:t xml:space="preserve"> and the entire record, </w:t>
      </w:r>
      <w:r w:rsidRPr="007E563B">
        <w:rPr>
          <w:sz w:val="22"/>
          <w:szCs w:val="22"/>
        </w:rPr>
        <w:t xml:space="preserve">with respect to the issues previously presented to the Bureau, </w:t>
      </w:r>
      <w:r w:rsidRPr="002105EC">
        <w:rPr>
          <w:sz w:val="22"/>
        </w:rPr>
        <w:t xml:space="preserve">we conclude that U.S. South has failed to demonstrate any error in the </w:t>
      </w:r>
      <w:r w:rsidRPr="002105EC">
        <w:rPr>
          <w:i/>
          <w:sz w:val="22"/>
        </w:rPr>
        <w:t>Declaratory Ruling</w:t>
      </w:r>
      <w:r w:rsidRPr="002105EC">
        <w:rPr>
          <w:sz w:val="22"/>
        </w:rPr>
        <w:t xml:space="preserve">.  </w:t>
      </w:r>
      <w:r w:rsidRPr="007E563B">
        <w:rPr>
          <w:sz w:val="22"/>
          <w:szCs w:val="22"/>
        </w:rPr>
        <w:t xml:space="preserve">The Bureau properly decided the matters raised, and we uphold the decision for the reasons stated in its </w:t>
      </w:r>
      <w:r w:rsidRPr="007E563B">
        <w:rPr>
          <w:i/>
          <w:sz w:val="22"/>
          <w:szCs w:val="22"/>
        </w:rPr>
        <w:t>Declaratory Ruling</w:t>
      </w:r>
      <w:r w:rsidRPr="007E563B">
        <w:rPr>
          <w:sz w:val="22"/>
          <w:szCs w:val="22"/>
        </w:rPr>
        <w:t xml:space="preserve">. </w:t>
      </w:r>
      <w:r w:rsidR="002105EC">
        <w:rPr>
          <w:sz w:val="22"/>
          <w:szCs w:val="22"/>
        </w:rPr>
        <w:t xml:space="preserve"> </w:t>
      </w:r>
      <w:r w:rsidRPr="007E563B">
        <w:rPr>
          <w:sz w:val="22"/>
          <w:szCs w:val="22"/>
        </w:rPr>
        <w:t>To the extent that U.S. South argues that the Bureau lacked authority</w:t>
      </w:r>
      <w:r w:rsidRPr="007E563B">
        <w:rPr>
          <w:rStyle w:val="FootnoteReference"/>
          <w:szCs w:val="22"/>
        </w:rPr>
        <w:footnoteReference w:id="25"/>
      </w:r>
      <w:r w:rsidRPr="007E563B">
        <w:rPr>
          <w:sz w:val="22"/>
          <w:szCs w:val="22"/>
        </w:rPr>
        <w:t xml:space="preserve"> to issue the </w:t>
      </w:r>
      <w:r w:rsidRPr="007E563B">
        <w:rPr>
          <w:i/>
          <w:sz w:val="22"/>
          <w:szCs w:val="22"/>
        </w:rPr>
        <w:t>Declaratory Ruling</w:t>
      </w:r>
      <w:r w:rsidR="00E9447B" w:rsidRPr="009F7B7F">
        <w:rPr>
          <w:i/>
          <w:sz w:val="22"/>
        </w:rPr>
        <w:t>,</w:t>
      </w:r>
      <w:r w:rsidRPr="007E563B">
        <w:rPr>
          <w:sz w:val="22"/>
          <w:szCs w:val="22"/>
        </w:rPr>
        <w:t xml:space="preserve"> our affirmation of the decision renders such objection moot</w:t>
      </w:r>
      <w:r w:rsidRPr="001D53AF">
        <w:rPr>
          <w:sz w:val="22"/>
          <w:szCs w:val="22"/>
        </w:rPr>
        <w:t>.</w:t>
      </w:r>
      <w:r w:rsidRPr="00C1697D">
        <w:rPr>
          <w:rStyle w:val="FootnoteReference"/>
          <w:szCs w:val="22"/>
        </w:rPr>
        <w:footnoteReference w:id="26"/>
      </w:r>
      <w:r w:rsidRPr="00C1697D">
        <w:rPr>
          <w:rStyle w:val="FootnoteReference"/>
        </w:rPr>
        <w:t xml:space="preserve">  </w:t>
      </w:r>
    </w:p>
    <w:p w14:paraId="4B4B289A" w14:textId="5C8FDD17" w:rsidR="005812C3" w:rsidRPr="001D53AF" w:rsidRDefault="0027094F" w:rsidP="006F7F5A">
      <w:pPr>
        <w:numPr>
          <w:ilvl w:val="0"/>
          <w:numId w:val="4"/>
        </w:numPr>
        <w:spacing w:after="200"/>
        <w:ind w:left="0" w:firstLine="720"/>
        <w:rPr>
          <w:sz w:val="22"/>
          <w:szCs w:val="22"/>
        </w:rPr>
      </w:pPr>
      <w:r w:rsidRPr="001D53AF">
        <w:rPr>
          <w:sz w:val="22"/>
          <w:szCs w:val="22"/>
        </w:rPr>
        <w:t xml:space="preserve">To the extent that the </w:t>
      </w:r>
      <w:r w:rsidRPr="005F3089">
        <w:rPr>
          <w:i/>
          <w:sz w:val="22"/>
          <w:szCs w:val="22"/>
        </w:rPr>
        <w:t>Application for Review</w:t>
      </w:r>
      <w:r w:rsidRPr="002105EC">
        <w:rPr>
          <w:sz w:val="22"/>
        </w:rPr>
        <w:t xml:space="preserve"> </w:t>
      </w:r>
      <w:r w:rsidRPr="001D53AF">
        <w:rPr>
          <w:sz w:val="22"/>
          <w:szCs w:val="22"/>
        </w:rPr>
        <w:t>and supporting comments raise new arguments not previously presented to the Bureau, those arguments are barred by 47 C.F.R. § 1.115(c).</w:t>
      </w:r>
      <w:r w:rsidRPr="00C1697D">
        <w:rPr>
          <w:rStyle w:val="FootnoteReference"/>
          <w:szCs w:val="22"/>
        </w:rPr>
        <w:footnoteReference w:id="27"/>
      </w:r>
      <w:r w:rsidR="00373202" w:rsidRPr="00C1697D">
        <w:rPr>
          <w:rStyle w:val="FootnoteReference"/>
        </w:rPr>
        <w:t xml:space="preserve"> </w:t>
      </w:r>
      <w:r w:rsidR="00373202" w:rsidRPr="001D53AF">
        <w:rPr>
          <w:sz w:val="22"/>
          <w:szCs w:val="22"/>
        </w:rPr>
        <w:t xml:space="preserve"> Among other things, APPPA asserted in a recent </w:t>
      </w:r>
      <w:r w:rsidR="00373202" w:rsidRPr="007E563B">
        <w:rPr>
          <w:i/>
          <w:sz w:val="22"/>
          <w:szCs w:val="22"/>
        </w:rPr>
        <w:t>ex parte</w:t>
      </w:r>
      <w:r w:rsidR="00373202" w:rsidRPr="001D53AF">
        <w:rPr>
          <w:sz w:val="22"/>
          <w:szCs w:val="22"/>
        </w:rPr>
        <w:t xml:space="preserve"> that</w:t>
      </w:r>
      <w:r w:rsidR="00E96464" w:rsidRPr="001D53AF">
        <w:rPr>
          <w:sz w:val="22"/>
          <w:szCs w:val="22"/>
        </w:rPr>
        <w:t xml:space="preserve">, </w:t>
      </w:r>
      <w:r w:rsidR="009311AC" w:rsidRPr="001D53AF">
        <w:rPr>
          <w:sz w:val="22"/>
          <w:szCs w:val="22"/>
        </w:rPr>
        <w:t xml:space="preserve">although adjudicatory decisions ordinarily apply retroactively, </w:t>
      </w:r>
      <w:r w:rsidR="00E96464" w:rsidRPr="001D53AF">
        <w:rPr>
          <w:sz w:val="22"/>
          <w:szCs w:val="22"/>
        </w:rPr>
        <w:t xml:space="preserve">if the Commission affirms the Bureau’s holding, it would cause “manifest injustice” to give the ruling retroactive </w:t>
      </w:r>
      <w:r w:rsidR="009311AC" w:rsidRPr="001D53AF">
        <w:rPr>
          <w:sz w:val="22"/>
          <w:szCs w:val="22"/>
        </w:rPr>
        <w:t>e</w:t>
      </w:r>
      <w:r w:rsidR="00E96464" w:rsidRPr="001D53AF">
        <w:rPr>
          <w:sz w:val="22"/>
          <w:szCs w:val="22"/>
        </w:rPr>
        <w:t>ffect.</w:t>
      </w:r>
      <w:r w:rsidR="00E96464" w:rsidRPr="00C1697D">
        <w:rPr>
          <w:rStyle w:val="FootnoteReference"/>
          <w:szCs w:val="22"/>
        </w:rPr>
        <w:footnoteReference w:id="28"/>
      </w:r>
      <w:r w:rsidR="007837A2">
        <w:rPr>
          <w:rStyle w:val="FootnoteReference"/>
        </w:rPr>
        <w:t xml:space="preserve"> </w:t>
      </w:r>
      <w:r w:rsidR="007837A2">
        <w:rPr>
          <w:sz w:val="22"/>
          <w:szCs w:val="22"/>
        </w:rPr>
        <w:t xml:space="preserve"> </w:t>
      </w:r>
      <w:r w:rsidR="00E96464" w:rsidRPr="001D53AF">
        <w:rPr>
          <w:sz w:val="22"/>
          <w:szCs w:val="22"/>
        </w:rPr>
        <w:t xml:space="preserve">While we </w:t>
      </w:r>
      <w:r w:rsidR="009311AC" w:rsidRPr="001D53AF">
        <w:rPr>
          <w:sz w:val="22"/>
          <w:szCs w:val="22"/>
        </w:rPr>
        <w:t xml:space="preserve">dismiss </w:t>
      </w:r>
      <w:r w:rsidR="00E96464" w:rsidRPr="001D53AF">
        <w:rPr>
          <w:sz w:val="22"/>
          <w:szCs w:val="22"/>
        </w:rPr>
        <w:t xml:space="preserve">this argument </w:t>
      </w:r>
      <w:r w:rsidR="009311AC" w:rsidRPr="001D53AF">
        <w:rPr>
          <w:sz w:val="22"/>
          <w:szCs w:val="22"/>
        </w:rPr>
        <w:t>a</w:t>
      </w:r>
      <w:r w:rsidR="00E96464" w:rsidRPr="001D53AF">
        <w:rPr>
          <w:sz w:val="22"/>
          <w:szCs w:val="22"/>
        </w:rPr>
        <w:t xml:space="preserve">s barred by section 1.115(c), we </w:t>
      </w:r>
      <w:r w:rsidR="009311AC" w:rsidRPr="001D53AF">
        <w:rPr>
          <w:sz w:val="22"/>
          <w:szCs w:val="22"/>
        </w:rPr>
        <w:t xml:space="preserve">independently and alternatively </w:t>
      </w:r>
      <w:r w:rsidR="00E96464" w:rsidRPr="001D53AF">
        <w:rPr>
          <w:sz w:val="22"/>
          <w:szCs w:val="22"/>
        </w:rPr>
        <w:t>find it unpersuasive on the merits.</w:t>
      </w:r>
      <w:r w:rsidR="004C6259" w:rsidRPr="00C1697D">
        <w:rPr>
          <w:rStyle w:val="FootnoteReference"/>
          <w:szCs w:val="22"/>
        </w:rPr>
        <w:footnoteReference w:id="29"/>
      </w:r>
      <w:r w:rsidR="004C6259">
        <w:rPr>
          <w:rStyle w:val="FootnoteReference"/>
        </w:rPr>
        <w:t xml:space="preserve"> </w:t>
      </w:r>
      <w:r w:rsidR="00E96464" w:rsidRPr="001D53AF">
        <w:rPr>
          <w:sz w:val="22"/>
          <w:szCs w:val="22"/>
        </w:rPr>
        <w:t xml:space="preserve"> </w:t>
      </w:r>
      <w:r w:rsidR="009311AC" w:rsidRPr="001D53AF">
        <w:rPr>
          <w:sz w:val="22"/>
          <w:szCs w:val="22"/>
        </w:rPr>
        <w:t>As a threshold matter, i</w:t>
      </w:r>
      <w:r w:rsidR="001A5BCA" w:rsidRPr="001D53AF">
        <w:rPr>
          <w:sz w:val="22"/>
          <w:szCs w:val="22"/>
        </w:rPr>
        <w:t>f we applied our decision prospectively only, PSPs would not be compensated for completed calls and would be denied compensation owed to them under section 276</w:t>
      </w:r>
      <w:r w:rsidR="009311AC" w:rsidRPr="001D53AF">
        <w:rPr>
          <w:sz w:val="22"/>
          <w:szCs w:val="22"/>
        </w:rPr>
        <w:t xml:space="preserve"> and established </w:t>
      </w:r>
      <w:r w:rsidR="005D7EDA">
        <w:rPr>
          <w:sz w:val="22"/>
          <w:szCs w:val="22"/>
        </w:rPr>
        <w:t>payphone compensation</w:t>
      </w:r>
      <w:r w:rsidR="009311AC" w:rsidRPr="001D53AF">
        <w:rPr>
          <w:sz w:val="22"/>
          <w:szCs w:val="22"/>
        </w:rPr>
        <w:t xml:space="preserve"> precedent</w:t>
      </w:r>
      <w:r w:rsidR="001A5BCA" w:rsidRPr="001D53AF">
        <w:rPr>
          <w:sz w:val="22"/>
          <w:szCs w:val="22"/>
        </w:rPr>
        <w:t>.</w:t>
      </w:r>
      <w:r w:rsidR="00CD0930" w:rsidRPr="00C1697D">
        <w:rPr>
          <w:rStyle w:val="FootnoteReference"/>
          <w:szCs w:val="22"/>
        </w:rPr>
        <w:footnoteReference w:id="30"/>
      </w:r>
      <w:r w:rsidR="001A5BCA" w:rsidRPr="00C1697D">
        <w:rPr>
          <w:rStyle w:val="FootnoteReference"/>
        </w:rPr>
        <w:t xml:space="preserve"> </w:t>
      </w:r>
      <w:r w:rsidR="00B908AC" w:rsidRPr="001D53AF">
        <w:rPr>
          <w:sz w:val="22"/>
          <w:szCs w:val="22"/>
        </w:rPr>
        <w:t xml:space="preserve"> </w:t>
      </w:r>
      <w:r w:rsidR="009311AC" w:rsidRPr="001D53AF">
        <w:rPr>
          <w:sz w:val="22"/>
          <w:szCs w:val="22"/>
        </w:rPr>
        <w:t>Balanced against that are only speculative harms asserted by APPPA.</w:t>
      </w:r>
      <w:r w:rsidR="009311AC" w:rsidRPr="00C1697D">
        <w:rPr>
          <w:rStyle w:val="FootnoteReference"/>
          <w:szCs w:val="22"/>
        </w:rPr>
        <w:footnoteReference w:id="31"/>
      </w:r>
      <w:r w:rsidR="009311AC" w:rsidRPr="00C1697D">
        <w:rPr>
          <w:rStyle w:val="FootnoteReference"/>
        </w:rPr>
        <w:t xml:space="preserve"> </w:t>
      </w:r>
      <w:r w:rsidR="009311AC" w:rsidRPr="001D53AF">
        <w:rPr>
          <w:sz w:val="22"/>
          <w:szCs w:val="22"/>
        </w:rPr>
        <w:t xml:space="preserve"> Although APPPA claims </w:t>
      </w:r>
      <w:r w:rsidR="001A5BCA" w:rsidRPr="001D53AF">
        <w:rPr>
          <w:sz w:val="22"/>
          <w:szCs w:val="22"/>
        </w:rPr>
        <w:t xml:space="preserve">prepaid calling card providers will be “forced” to recover these </w:t>
      </w:r>
      <w:r w:rsidR="009311AC" w:rsidRPr="001D53AF">
        <w:rPr>
          <w:sz w:val="22"/>
          <w:szCs w:val="22"/>
        </w:rPr>
        <w:t xml:space="preserve">increased </w:t>
      </w:r>
      <w:r w:rsidR="001A5BCA" w:rsidRPr="001D53AF">
        <w:rPr>
          <w:sz w:val="22"/>
          <w:szCs w:val="22"/>
        </w:rPr>
        <w:t>costs from future customers</w:t>
      </w:r>
      <w:r w:rsidR="009311AC" w:rsidRPr="001D53AF">
        <w:rPr>
          <w:sz w:val="22"/>
          <w:szCs w:val="22"/>
        </w:rPr>
        <w:t>,</w:t>
      </w:r>
      <w:r w:rsidR="001A5BCA" w:rsidRPr="001D53AF">
        <w:rPr>
          <w:sz w:val="22"/>
          <w:szCs w:val="22"/>
        </w:rPr>
        <w:t xml:space="preserve"> </w:t>
      </w:r>
      <w:r w:rsidR="009311AC" w:rsidRPr="001D53AF">
        <w:rPr>
          <w:sz w:val="22"/>
          <w:szCs w:val="22"/>
        </w:rPr>
        <w:t>n</w:t>
      </w:r>
      <w:r w:rsidR="00B908AC" w:rsidRPr="001D53AF">
        <w:rPr>
          <w:sz w:val="22"/>
          <w:szCs w:val="22"/>
        </w:rPr>
        <w:t xml:space="preserve">othing in our rules requires </w:t>
      </w:r>
      <w:r w:rsidR="009311AC" w:rsidRPr="001D53AF">
        <w:rPr>
          <w:sz w:val="22"/>
          <w:szCs w:val="22"/>
        </w:rPr>
        <w:t xml:space="preserve">them </w:t>
      </w:r>
      <w:r w:rsidR="00B908AC" w:rsidRPr="001D53AF">
        <w:rPr>
          <w:sz w:val="22"/>
          <w:szCs w:val="22"/>
        </w:rPr>
        <w:t xml:space="preserve">to </w:t>
      </w:r>
      <w:r w:rsidR="009311AC" w:rsidRPr="001D53AF">
        <w:rPr>
          <w:sz w:val="22"/>
          <w:szCs w:val="22"/>
        </w:rPr>
        <w:t>do so,</w:t>
      </w:r>
      <w:r w:rsidR="00FF6C40" w:rsidRPr="00C1697D">
        <w:rPr>
          <w:rStyle w:val="FootnoteReference"/>
        </w:rPr>
        <w:footnoteReference w:id="32"/>
      </w:r>
      <w:r w:rsidR="00FF6C40" w:rsidRPr="00C1697D">
        <w:rPr>
          <w:rStyle w:val="FootnoteReference"/>
        </w:rPr>
        <w:t xml:space="preserve"> </w:t>
      </w:r>
      <w:r w:rsidR="009311AC" w:rsidRPr="001D53AF">
        <w:rPr>
          <w:sz w:val="22"/>
          <w:szCs w:val="22"/>
        </w:rPr>
        <w:t xml:space="preserve">and </w:t>
      </w:r>
      <w:r w:rsidR="00A6480F" w:rsidRPr="001D53AF">
        <w:rPr>
          <w:sz w:val="22"/>
          <w:szCs w:val="22"/>
        </w:rPr>
        <w:t>APPPA</w:t>
      </w:r>
      <w:r w:rsidR="009311AC" w:rsidRPr="001D53AF">
        <w:rPr>
          <w:sz w:val="22"/>
          <w:szCs w:val="22"/>
        </w:rPr>
        <w:t>’s</w:t>
      </w:r>
      <w:r w:rsidR="00A6480F" w:rsidRPr="001D53AF">
        <w:rPr>
          <w:sz w:val="22"/>
          <w:szCs w:val="22"/>
        </w:rPr>
        <w:t xml:space="preserve"> estimates that surcharges will likely </w:t>
      </w:r>
      <w:r w:rsidR="00EC57FF" w:rsidRPr="001D53AF">
        <w:rPr>
          <w:sz w:val="22"/>
          <w:szCs w:val="22"/>
        </w:rPr>
        <w:t xml:space="preserve">increase </w:t>
      </w:r>
      <w:r w:rsidR="00A6480F" w:rsidRPr="001D53AF">
        <w:rPr>
          <w:sz w:val="22"/>
          <w:szCs w:val="22"/>
        </w:rPr>
        <w:t>from $0.99 today to $1.30</w:t>
      </w:r>
      <w:r w:rsidR="00003985">
        <w:rPr>
          <w:snapToGrid w:val="0"/>
        </w:rPr>
        <w:t>–</w:t>
      </w:r>
      <w:r w:rsidR="00A6480F" w:rsidRPr="001D53AF">
        <w:rPr>
          <w:sz w:val="22"/>
          <w:szCs w:val="22"/>
        </w:rPr>
        <w:t>$1.50</w:t>
      </w:r>
      <w:r w:rsidR="000E6B28" w:rsidRPr="00C1697D">
        <w:rPr>
          <w:rStyle w:val="FootnoteReference"/>
        </w:rPr>
        <w:footnoteReference w:id="33"/>
      </w:r>
      <w:r w:rsidR="003F213B" w:rsidRPr="001D53AF">
        <w:rPr>
          <w:sz w:val="22"/>
          <w:szCs w:val="22"/>
        </w:rPr>
        <w:t xml:space="preserve"> are based on assertions </w:t>
      </w:r>
      <w:r w:rsidR="00466D81" w:rsidRPr="001D53AF">
        <w:rPr>
          <w:sz w:val="22"/>
          <w:szCs w:val="22"/>
        </w:rPr>
        <w:t>of a single prepaid calling card provider</w:t>
      </w:r>
      <w:r w:rsidR="00A6480F" w:rsidRPr="001D53AF">
        <w:rPr>
          <w:sz w:val="22"/>
          <w:szCs w:val="22"/>
        </w:rPr>
        <w:t>.</w:t>
      </w:r>
      <w:r w:rsidR="00EC57FF" w:rsidRPr="00C1697D">
        <w:rPr>
          <w:rStyle w:val="FootnoteReference"/>
        </w:rPr>
        <w:footnoteReference w:id="34"/>
      </w:r>
      <w:r w:rsidR="00A6480F" w:rsidRPr="001D53AF">
        <w:rPr>
          <w:sz w:val="22"/>
          <w:szCs w:val="22"/>
        </w:rPr>
        <w:t xml:space="preserve"> </w:t>
      </w:r>
      <w:r w:rsidR="00583472">
        <w:rPr>
          <w:sz w:val="22"/>
          <w:szCs w:val="22"/>
        </w:rPr>
        <w:t xml:space="preserve"> </w:t>
      </w:r>
      <w:r w:rsidR="006F7F5A" w:rsidRPr="001D53AF">
        <w:rPr>
          <w:sz w:val="22"/>
          <w:szCs w:val="22"/>
        </w:rPr>
        <w:t>With respect to th</w:t>
      </w:r>
      <w:r w:rsidR="002F0C4D" w:rsidRPr="001D53AF">
        <w:rPr>
          <w:sz w:val="22"/>
          <w:szCs w:val="22"/>
        </w:rPr>
        <w:t xml:space="preserve">e </w:t>
      </w:r>
      <w:r w:rsidR="006A2093">
        <w:rPr>
          <w:sz w:val="22"/>
          <w:szCs w:val="22"/>
        </w:rPr>
        <w:t xml:space="preserve">decision’s claimed impact on </w:t>
      </w:r>
      <w:r w:rsidR="005812C3" w:rsidRPr="001D53AF">
        <w:rPr>
          <w:sz w:val="22"/>
          <w:szCs w:val="22"/>
        </w:rPr>
        <w:t>incentive</w:t>
      </w:r>
      <w:r w:rsidR="006F7F5A" w:rsidRPr="001D53AF">
        <w:rPr>
          <w:sz w:val="22"/>
          <w:szCs w:val="22"/>
        </w:rPr>
        <w:t>s</w:t>
      </w:r>
      <w:r w:rsidR="005812C3" w:rsidRPr="001D53AF">
        <w:rPr>
          <w:sz w:val="22"/>
          <w:szCs w:val="22"/>
        </w:rPr>
        <w:t xml:space="preserve"> by PSPs to </w:t>
      </w:r>
      <w:r w:rsidR="00BB4BCD" w:rsidRPr="001D53AF">
        <w:rPr>
          <w:sz w:val="22"/>
          <w:szCs w:val="22"/>
        </w:rPr>
        <w:t xml:space="preserve">work with Completing Carriers on a solution to the </w:t>
      </w:r>
      <w:r w:rsidR="00466D81" w:rsidRPr="001D53AF">
        <w:rPr>
          <w:sz w:val="22"/>
          <w:szCs w:val="22"/>
        </w:rPr>
        <w:t xml:space="preserve">“current </w:t>
      </w:r>
      <w:r w:rsidR="00BB4BCD" w:rsidRPr="001D53AF">
        <w:rPr>
          <w:sz w:val="22"/>
          <w:szCs w:val="22"/>
        </w:rPr>
        <w:t xml:space="preserve">problems </w:t>
      </w:r>
      <w:r w:rsidR="00466D81" w:rsidRPr="001D53AF">
        <w:rPr>
          <w:sz w:val="22"/>
          <w:szCs w:val="22"/>
        </w:rPr>
        <w:t>with the reliability of the transmission of payphone-specific coding digits,”</w:t>
      </w:r>
      <w:r w:rsidR="005812C3" w:rsidRPr="00C1697D">
        <w:rPr>
          <w:rStyle w:val="FootnoteReference"/>
        </w:rPr>
        <w:footnoteReference w:id="35"/>
      </w:r>
      <w:r w:rsidR="005812C3" w:rsidRPr="00C1697D">
        <w:rPr>
          <w:rStyle w:val="FootnoteReference"/>
        </w:rPr>
        <w:t xml:space="preserve"> </w:t>
      </w:r>
      <w:r w:rsidR="005812C3" w:rsidRPr="001D53AF">
        <w:rPr>
          <w:sz w:val="22"/>
          <w:szCs w:val="22"/>
        </w:rPr>
        <w:t>APPPA</w:t>
      </w:r>
      <w:r w:rsidR="00A809C0" w:rsidRPr="001D53AF">
        <w:rPr>
          <w:sz w:val="22"/>
          <w:szCs w:val="22"/>
        </w:rPr>
        <w:t xml:space="preserve"> </w:t>
      </w:r>
      <w:r w:rsidR="002F0C4D" w:rsidRPr="001D53AF">
        <w:rPr>
          <w:sz w:val="22"/>
          <w:szCs w:val="22"/>
        </w:rPr>
        <w:t xml:space="preserve">does not explain why </w:t>
      </w:r>
      <w:r w:rsidR="0053738E" w:rsidRPr="001D53AF">
        <w:rPr>
          <w:i/>
          <w:sz w:val="22"/>
          <w:szCs w:val="22"/>
        </w:rPr>
        <w:t>retroactive</w:t>
      </w:r>
      <w:r w:rsidR="0053738E" w:rsidRPr="001D53AF">
        <w:rPr>
          <w:sz w:val="22"/>
          <w:szCs w:val="22"/>
        </w:rPr>
        <w:t xml:space="preserve"> application, as opposed to the decision generally, has any significant impact on the PSPs</w:t>
      </w:r>
      <w:r w:rsidR="00443957" w:rsidRPr="00443957">
        <w:rPr>
          <w:sz w:val="22"/>
          <w:szCs w:val="22"/>
        </w:rPr>
        <w:t>’</w:t>
      </w:r>
      <w:r w:rsidR="0053738E" w:rsidRPr="001D53AF">
        <w:rPr>
          <w:sz w:val="22"/>
          <w:szCs w:val="22"/>
        </w:rPr>
        <w:t xml:space="preserve"> incentives to work together on a</w:t>
      </w:r>
      <w:r w:rsidR="00C1697D" w:rsidRPr="001D53AF">
        <w:rPr>
          <w:sz w:val="22"/>
          <w:szCs w:val="22"/>
        </w:rPr>
        <w:t>n</w:t>
      </w:r>
      <w:r w:rsidR="0053738E" w:rsidRPr="001D53AF">
        <w:rPr>
          <w:sz w:val="22"/>
          <w:szCs w:val="22"/>
        </w:rPr>
        <w:t xml:space="preserve"> </w:t>
      </w:r>
      <w:r w:rsidR="00C1697D" w:rsidRPr="001D53AF">
        <w:rPr>
          <w:sz w:val="22"/>
          <w:szCs w:val="22"/>
        </w:rPr>
        <w:t>industry</w:t>
      </w:r>
      <w:r w:rsidR="00484A0B" w:rsidRPr="001D53AF">
        <w:rPr>
          <w:sz w:val="22"/>
          <w:szCs w:val="22"/>
        </w:rPr>
        <w:t>-wide</w:t>
      </w:r>
      <w:r w:rsidR="00C1697D" w:rsidRPr="001D53AF">
        <w:rPr>
          <w:sz w:val="22"/>
          <w:szCs w:val="22"/>
        </w:rPr>
        <w:t xml:space="preserve"> </w:t>
      </w:r>
      <w:r w:rsidR="0053738E" w:rsidRPr="001D53AF">
        <w:rPr>
          <w:sz w:val="22"/>
          <w:szCs w:val="22"/>
        </w:rPr>
        <w:t>solution.</w:t>
      </w:r>
      <w:r w:rsidR="0013497A">
        <w:rPr>
          <w:rStyle w:val="FootnoteReference"/>
          <w:szCs w:val="22"/>
        </w:rPr>
        <w:footnoteReference w:id="36"/>
      </w:r>
      <w:r w:rsidR="0053738E" w:rsidRPr="001D53AF">
        <w:rPr>
          <w:sz w:val="22"/>
          <w:szCs w:val="22"/>
        </w:rPr>
        <w:t xml:space="preserve">  APPPA goes a step further and claims that “</w:t>
      </w:r>
      <w:r w:rsidR="00146B3D">
        <w:rPr>
          <w:sz w:val="22"/>
          <w:szCs w:val="22"/>
        </w:rPr>
        <w:t>[</w:t>
      </w:r>
      <w:r w:rsidR="0053738E" w:rsidRPr="001D53AF">
        <w:rPr>
          <w:sz w:val="22"/>
          <w:szCs w:val="22"/>
        </w:rPr>
        <w:t>a</w:t>
      </w:r>
      <w:r w:rsidR="00146B3D">
        <w:rPr>
          <w:sz w:val="22"/>
          <w:szCs w:val="22"/>
        </w:rPr>
        <w:t>]</w:t>
      </w:r>
      <w:r w:rsidR="0053738E" w:rsidRPr="001D53AF">
        <w:rPr>
          <w:sz w:val="22"/>
          <w:szCs w:val="22"/>
        </w:rPr>
        <w:t xml:space="preserve">bsent a solution to the signaling problem, prepaid </w:t>
      </w:r>
      <w:r w:rsidR="00C1697D" w:rsidRPr="001D53AF">
        <w:rPr>
          <w:sz w:val="22"/>
          <w:szCs w:val="22"/>
        </w:rPr>
        <w:t>providers are even more likely to block payphone-originated calls.</w:t>
      </w:r>
      <w:r w:rsidR="008B0216">
        <w:rPr>
          <w:sz w:val="22"/>
          <w:szCs w:val="22"/>
        </w:rPr>
        <w:t xml:space="preserve"> . . .</w:t>
      </w:r>
      <w:r w:rsidR="00C1697D" w:rsidRPr="001D53AF">
        <w:rPr>
          <w:sz w:val="22"/>
          <w:szCs w:val="22"/>
        </w:rPr>
        <w:t>”</w:t>
      </w:r>
      <w:r w:rsidR="00C1697D">
        <w:rPr>
          <w:rStyle w:val="FootnoteReference"/>
          <w:szCs w:val="22"/>
        </w:rPr>
        <w:footnoteReference w:id="37"/>
      </w:r>
      <w:r w:rsidR="00C1697D" w:rsidRPr="001D53AF">
        <w:rPr>
          <w:sz w:val="22"/>
          <w:szCs w:val="22"/>
        </w:rPr>
        <w:t xml:space="preserve">  </w:t>
      </w:r>
      <w:r w:rsidR="001211C8">
        <w:rPr>
          <w:sz w:val="22"/>
          <w:szCs w:val="22"/>
        </w:rPr>
        <w:t>Under</w:t>
      </w:r>
      <w:r w:rsidR="00A809C0" w:rsidRPr="001D53AF">
        <w:rPr>
          <w:sz w:val="22"/>
          <w:szCs w:val="22"/>
        </w:rPr>
        <w:t xml:space="preserve"> our rules</w:t>
      </w:r>
      <w:r w:rsidR="00586143">
        <w:rPr>
          <w:sz w:val="22"/>
          <w:szCs w:val="22"/>
        </w:rPr>
        <w:t xml:space="preserve">, </w:t>
      </w:r>
      <w:r w:rsidR="00A809C0" w:rsidRPr="001D53AF">
        <w:rPr>
          <w:sz w:val="22"/>
          <w:szCs w:val="22"/>
        </w:rPr>
        <w:t>Completing Carrier</w:t>
      </w:r>
      <w:r w:rsidR="00500044">
        <w:rPr>
          <w:sz w:val="22"/>
          <w:szCs w:val="22"/>
        </w:rPr>
        <w:t>s</w:t>
      </w:r>
      <w:r w:rsidR="00A809C0" w:rsidRPr="001D53AF">
        <w:rPr>
          <w:sz w:val="22"/>
          <w:szCs w:val="22"/>
        </w:rPr>
        <w:t xml:space="preserve"> </w:t>
      </w:r>
      <w:r w:rsidR="001211C8">
        <w:rPr>
          <w:sz w:val="22"/>
          <w:szCs w:val="22"/>
        </w:rPr>
        <w:t xml:space="preserve">not only </w:t>
      </w:r>
      <w:r w:rsidR="00586143">
        <w:rPr>
          <w:sz w:val="22"/>
          <w:szCs w:val="22"/>
        </w:rPr>
        <w:t xml:space="preserve">have </w:t>
      </w:r>
      <w:r w:rsidR="00A809C0" w:rsidRPr="001D53AF">
        <w:rPr>
          <w:sz w:val="22"/>
          <w:szCs w:val="22"/>
        </w:rPr>
        <w:t xml:space="preserve">the ability to </w:t>
      </w:r>
      <w:r w:rsidR="001211C8">
        <w:rPr>
          <w:sz w:val="22"/>
          <w:szCs w:val="22"/>
        </w:rPr>
        <w:t xml:space="preserve">rely on any method to track payphone calls, but also have the option to </w:t>
      </w:r>
      <w:r w:rsidR="00A809C0" w:rsidRPr="001D53AF">
        <w:rPr>
          <w:sz w:val="22"/>
          <w:szCs w:val="22"/>
        </w:rPr>
        <w:t xml:space="preserve">reach an ACA </w:t>
      </w:r>
      <w:r w:rsidR="001D53AF" w:rsidRPr="001D53AF">
        <w:rPr>
          <w:sz w:val="22"/>
          <w:szCs w:val="22"/>
        </w:rPr>
        <w:t>with PSPs</w:t>
      </w:r>
      <w:r w:rsidR="00A809C0" w:rsidRPr="001D53AF">
        <w:rPr>
          <w:sz w:val="22"/>
          <w:szCs w:val="22"/>
        </w:rPr>
        <w:t>.</w:t>
      </w:r>
      <w:r w:rsidR="00484A0B">
        <w:rPr>
          <w:rStyle w:val="FootnoteReference"/>
          <w:szCs w:val="22"/>
        </w:rPr>
        <w:footnoteReference w:id="38"/>
      </w:r>
      <w:r w:rsidR="00A809C0" w:rsidRPr="001D53AF">
        <w:rPr>
          <w:sz w:val="22"/>
          <w:szCs w:val="22"/>
        </w:rPr>
        <w:t xml:space="preserve">  </w:t>
      </w:r>
      <w:r w:rsidR="00586143">
        <w:rPr>
          <w:sz w:val="22"/>
          <w:szCs w:val="22"/>
        </w:rPr>
        <w:t>In addition, w</w:t>
      </w:r>
      <w:r w:rsidR="00A809C0" w:rsidRPr="001D53AF">
        <w:rPr>
          <w:sz w:val="22"/>
          <w:szCs w:val="22"/>
        </w:rPr>
        <w:t xml:space="preserve">e note that Completing Carriers do not need to reach individual agreements with each PSP in order to </w:t>
      </w:r>
      <w:r w:rsidR="008A719E" w:rsidRPr="001D53AF">
        <w:rPr>
          <w:sz w:val="22"/>
          <w:szCs w:val="22"/>
        </w:rPr>
        <w:t>reach</w:t>
      </w:r>
      <w:r w:rsidR="00A809C0" w:rsidRPr="001D53AF">
        <w:rPr>
          <w:sz w:val="22"/>
          <w:szCs w:val="22"/>
        </w:rPr>
        <w:t xml:space="preserve"> an ACA.</w:t>
      </w:r>
      <w:r w:rsidR="006F7F5A">
        <w:rPr>
          <w:rStyle w:val="FootnoteReference"/>
          <w:szCs w:val="22"/>
        </w:rPr>
        <w:footnoteReference w:id="39"/>
      </w:r>
      <w:r w:rsidR="00466D81" w:rsidRPr="001D53AF">
        <w:rPr>
          <w:sz w:val="22"/>
          <w:szCs w:val="22"/>
        </w:rPr>
        <w:t xml:space="preserve">  </w:t>
      </w:r>
      <w:r w:rsidR="00627869" w:rsidRPr="001D53AF">
        <w:rPr>
          <w:sz w:val="22"/>
          <w:szCs w:val="22"/>
        </w:rPr>
        <w:t>Consequently, we conclude that retroactive application of this decision will not work a manifest injustice.</w:t>
      </w:r>
      <w:r w:rsidR="00143453">
        <w:rPr>
          <w:sz w:val="22"/>
          <w:szCs w:val="22"/>
        </w:rPr>
        <w:t xml:space="preserve">  </w:t>
      </w:r>
    </w:p>
    <w:p w14:paraId="1D6183A6" w14:textId="6C0E8442" w:rsidR="0027094F" w:rsidRPr="008C6290" w:rsidRDefault="004D6DB7" w:rsidP="00F462D9">
      <w:pPr>
        <w:numPr>
          <w:ilvl w:val="0"/>
          <w:numId w:val="4"/>
        </w:numPr>
        <w:spacing w:after="200"/>
        <w:ind w:left="0" w:firstLine="720"/>
        <w:rPr>
          <w:sz w:val="22"/>
          <w:szCs w:val="22"/>
        </w:rPr>
      </w:pPr>
      <w:r>
        <w:rPr>
          <w:sz w:val="22"/>
          <w:szCs w:val="22"/>
        </w:rPr>
        <w:br w:type="page"/>
      </w:r>
      <w:r w:rsidR="0027094F" w:rsidRPr="008C6290">
        <w:rPr>
          <w:sz w:val="22"/>
          <w:szCs w:val="22"/>
        </w:rPr>
        <w:t xml:space="preserve">Accordingly, IT IS ORDERED that (1) the </w:t>
      </w:r>
      <w:r w:rsidR="0027094F" w:rsidRPr="008C6290">
        <w:rPr>
          <w:i/>
          <w:sz w:val="22"/>
          <w:szCs w:val="22"/>
        </w:rPr>
        <w:t>Application for Review</w:t>
      </w:r>
      <w:r w:rsidR="0027094F" w:rsidRPr="008C6290">
        <w:rPr>
          <w:sz w:val="22"/>
          <w:szCs w:val="22"/>
        </w:rPr>
        <w:t xml:space="preserve"> IS DISMISSED, pursuant to section 1.115(c) of the Commission’s rules, 47 C.F.R. </w:t>
      </w:r>
      <w:r w:rsidR="00FC6EBE">
        <w:t xml:space="preserve">§ </w:t>
      </w:r>
      <w:r w:rsidR="0027094F" w:rsidRPr="008C6290">
        <w:rPr>
          <w:sz w:val="22"/>
          <w:szCs w:val="22"/>
        </w:rPr>
        <w:t xml:space="preserve">1.115(c), to the extent that it relies on questions of fact or law not previously presented to the Bureau, and (2) the </w:t>
      </w:r>
      <w:r w:rsidR="0027094F" w:rsidRPr="008C6290">
        <w:rPr>
          <w:i/>
          <w:sz w:val="22"/>
          <w:szCs w:val="22"/>
        </w:rPr>
        <w:t>Application for Review</w:t>
      </w:r>
      <w:r w:rsidR="0027094F" w:rsidRPr="008C6290">
        <w:rPr>
          <w:sz w:val="22"/>
          <w:szCs w:val="22"/>
        </w:rPr>
        <w:t xml:space="preserve"> otherwise IS DENIED, pursuant to section 1.115(g) of the Commission’s rules, 47 C.F.R. </w:t>
      </w:r>
      <w:r w:rsidR="00FC6EBE">
        <w:t xml:space="preserve">§ </w:t>
      </w:r>
      <w:r w:rsidR="0027094F" w:rsidRPr="008C6290">
        <w:rPr>
          <w:sz w:val="22"/>
          <w:szCs w:val="22"/>
        </w:rPr>
        <w:t>1.115(g).</w:t>
      </w:r>
    </w:p>
    <w:p w14:paraId="410439C4" w14:textId="77777777" w:rsidR="0027094F" w:rsidRPr="008C6290" w:rsidRDefault="0027094F">
      <w:pPr>
        <w:pStyle w:val="ParaNum"/>
        <w:keepNext/>
        <w:numPr>
          <w:ilvl w:val="0"/>
          <w:numId w:val="0"/>
        </w:numPr>
        <w:ind w:firstLine="720"/>
        <w:rPr>
          <w:szCs w:val="22"/>
        </w:rPr>
      </w:pPr>
    </w:p>
    <w:p w14:paraId="5A28F276" w14:textId="77777777" w:rsidR="0027094F" w:rsidRPr="008C6290" w:rsidRDefault="0027094F">
      <w:pPr>
        <w:pStyle w:val="ParaNum"/>
        <w:keepNext/>
        <w:numPr>
          <w:ilvl w:val="0"/>
          <w:numId w:val="0"/>
        </w:numPr>
        <w:spacing w:after="0"/>
        <w:ind w:left="4320"/>
        <w:rPr>
          <w:szCs w:val="22"/>
        </w:rPr>
      </w:pPr>
      <w:r w:rsidRPr="008C6290">
        <w:rPr>
          <w:szCs w:val="22"/>
        </w:rPr>
        <w:t>FEDERAL COMMUNICATIONS COMMISSION</w:t>
      </w:r>
    </w:p>
    <w:p w14:paraId="6FEA8609" w14:textId="77777777" w:rsidR="0027094F" w:rsidRPr="008C6290" w:rsidRDefault="0027094F">
      <w:pPr>
        <w:pStyle w:val="ParaNum"/>
        <w:keepNext/>
        <w:numPr>
          <w:ilvl w:val="0"/>
          <w:numId w:val="0"/>
        </w:numPr>
        <w:spacing w:after="0"/>
        <w:ind w:left="4320"/>
        <w:rPr>
          <w:szCs w:val="22"/>
        </w:rPr>
      </w:pPr>
    </w:p>
    <w:p w14:paraId="1324FA10" w14:textId="77777777" w:rsidR="0027094F" w:rsidRPr="008C6290" w:rsidRDefault="0027094F">
      <w:pPr>
        <w:pStyle w:val="ParaNum"/>
        <w:keepNext/>
        <w:numPr>
          <w:ilvl w:val="0"/>
          <w:numId w:val="0"/>
        </w:numPr>
        <w:spacing w:after="0"/>
        <w:ind w:left="4320"/>
        <w:rPr>
          <w:szCs w:val="22"/>
        </w:rPr>
      </w:pPr>
    </w:p>
    <w:p w14:paraId="0C99F5C8" w14:textId="77777777" w:rsidR="0027094F" w:rsidRPr="008C6290" w:rsidRDefault="0027094F">
      <w:pPr>
        <w:pStyle w:val="ParaNum"/>
        <w:keepNext/>
        <w:numPr>
          <w:ilvl w:val="0"/>
          <w:numId w:val="0"/>
        </w:numPr>
        <w:spacing w:after="0"/>
        <w:ind w:left="4320"/>
        <w:rPr>
          <w:szCs w:val="22"/>
        </w:rPr>
      </w:pPr>
    </w:p>
    <w:p w14:paraId="0976B574" w14:textId="77777777" w:rsidR="0027094F" w:rsidRPr="008C6290" w:rsidRDefault="0027094F">
      <w:pPr>
        <w:pStyle w:val="ParaNum"/>
        <w:keepNext/>
        <w:numPr>
          <w:ilvl w:val="0"/>
          <w:numId w:val="0"/>
        </w:numPr>
        <w:spacing w:after="0"/>
        <w:ind w:left="4320"/>
        <w:rPr>
          <w:szCs w:val="22"/>
        </w:rPr>
      </w:pPr>
      <w:r w:rsidRPr="008C6290">
        <w:rPr>
          <w:szCs w:val="22"/>
        </w:rPr>
        <w:t>Marlene H. Dortch</w:t>
      </w:r>
    </w:p>
    <w:p w14:paraId="2A1BD4AB" w14:textId="77777777" w:rsidR="0027094F" w:rsidRDefault="0027094F">
      <w:pPr>
        <w:pStyle w:val="ParaNum"/>
        <w:keepNext/>
        <w:numPr>
          <w:ilvl w:val="0"/>
          <w:numId w:val="0"/>
        </w:numPr>
        <w:spacing w:after="0"/>
        <w:ind w:left="4320"/>
        <w:rPr>
          <w:szCs w:val="22"/>
        </w:rPr>
      </w:pPr>
      <w:r w:rsidRPr="008C6290">
        <w:rPr>
          <w:szCs w:val="22"/>
        </w:rPr>
        <w:t>Secretary</w:t>
      </w:r>
    </w:p>
    <w:p w14:paraId="08BA8070" w14:textId="77777777" w:rsidR="0027094F" w:rsidRDefault="0027094F">
      <w:pPr>
        <w:spacing w:after="200"/>
        <w:ind w:left="720"/>
        <w:rPr>
          <w:sz w:val="22"/>
          <w:szCs w:val="22"/>
        </w:rPr>
      </w:pPr>
    </w:p>
    <w:p w14:paraId="75DDF3C5" w14:textId="77777777" w:rsidR="0027094F" w:rsidRDefault="0027094F">
      <w:pPr>
        <w:pStyle w:val="ParaNum"/>
        <w:keepNext/>
        <w:numPr>
          <w:ilvl w:val="0"/>
          <w:numId w:val="0"/>
        </w:numPr>
        <w:tabs>
          <w:tab w:val="left" w:pos="1080"/>
        </w:tabs>
        <w:spacing w:after="0"/>
        <w:jc w:val="center"/>
        <w:rPr>
          <w:b/>
          <w:szCs w:val="22"/>
        </w:rPr>
      </w:pPr>
      <w:bookmarkStart w:id="106" w:name="AppA"/>
    </w:p>
    <w:p w14:paraId="5EDDB76A" w14:textId="77777777" w:rsidR="0027094F" w:rsidRDefault="0027094F">
      <w:pPr>
        <w:pStyle w:val="ParaNum"/>
        <w:keepNext/>
        <w:numPr>
          <w:ilvl w:val="0"/>
          <w:numId w:val="0"/>
        </w:numPr>
        <w:tabs>
          <w:tab w:val="left" w:pos="1080"/>
        </w:tabs>
        <w:spacing w:after="0"/>
        <w:jc w:val="center"/>
        <w:rPr>
          <w:b/>
          <w:szCs w:val="22"/>
        </w:rPr>
      </w:pPr>
    </w:p>
    <w:bookmarkEnd w:id="106"/>
    <w:p w14:paraId="7AD2383E" w14:textId="77777777" w:rsidR="00890331" w:rsidRDefault="00890331" w:rsidP="00890331">
      <w:pPr>
        <w:keepNext/>
        <w:tabs>
          <w:tab w:val="left" w:pos="1080"/>
        </w:tabs>
        <w:jc w:val="center"/>
        <w:rPr>
          <w:b/>
          <w:szCs w:val="22"/>
        </w:rPr>
      </w:pPr>
      <w:r>
        <w:rPr>
          <w:sz w:val="22"/>
          <w:szCs w:val="22"/>
        </w:rPr>
        <w:br w:type="page"/>
      </w:r>
      <w:r w:rsidRPr="00BE2239">
        <w:rPr>
          <w:b/>
          <w:szCs w:val="22"/>
        </w:rPr>
        <w:t>APPENDIX A</w:t>
      </w:r>
    </w:p>
    <w:p w14:paraId="6DC4A173" w14:textId="77777777" w:rsidR="00890331" w:rsidRDefault="00890331" w:rsidP="00890331">
      <w:pPr>
        <w:pStyle w:val="ParaNum"/>
        <w:numPr>
          <w:ilvl w:val="0"/>
          <w:numId w:val="0"/>
        </w:numPr>
        <w:tabs>
          <w:tab w:val="left" w:pos="1080"/>
        </w:tabs>
        <w:spacing w:after="0"/>
        <w:jc w:val="center"/>
        <w:rPr>
          <w:b/>
          <w:szCs w:val="22"/>
        </w:rPr>
      </w:pPr>
      <w:r>
        <w:rPr>
          <w:b/>
          <w:szCs w:val="22"/>
        </w:rPr>
        <w:t xml:space="preserve"> </w:t>
      </w:r>
    </w:p>
    <w:p w14:paraId="2B72AD98" w14:textId="77777777" w:rsidR="00890331" w:rsidRDefault="00890331" w:rsidP="00890331">
      <w:pPr>
        <w:pStyle w:val="ParaNum"/>
        <w:numPr>
          <w:ilvl w:val="0"/>
          <w:numId w:val="0"/>
        </w:numPr>
        <w:tabs>
          <w:tab w:val="left" w:pos="1080"/>
        </w:tabs>
        <w:spacing w:after="0"/>
        <w:jc w:val="center"/>
        <w:rPr>
          <w:b/>
          <w:szCs w:val="22"/>
        </w:rPr>
      </w:pPr>
      <w:r>
        <w:rPr>
          <w:b/>
        </w:rPr>
        <w:t>Comments/Oppositions</w:t>
      </w:r>
      <w:r>
        <w:rPr>
          <w:b/>
          <w:szCs w:val="22"/>
        </w:rPr>
        <w:t xml:space="preserve"> </w:t>
      </w:r>
    </w:p>
    <w:p w14:paraId="697A5A96" w14:textId="5F4ADDAF" w:rsidR="00890331" w:rsidRPr="00A968CC" w:rsidRDefault="00890331" w:rsidP="00890331">
      <w:pPr>
        <w:pStyle w:val="ParaNum"/>
        <w:numPr>
          <w:ilvl w:val="0"/>
          <w:numId w:val="0"/>
        </w:numPr>
        <w:tabs>
          <w:tab w:val="left" w:pos="1080"/>
        </w:tabs>
        <w:spacing w:after="0"/>
        <w:jc w:val="center"/>
        <w:rPr>
          <w:b/>
          <w:szCs w:val="22"/>
        </w:rPr>
      </w:pPr>
    </w:p>
    <w:p w14:paraId="15F21971" w14:textId="77777777" w:rsidR="00890331" w:rsidRDefault="00890331" w:rsidP="00890331">
      <w:pPr>
        <w:pStyle w:val="ParaNum"/>
        <w:numPr>
          <w:ilvl w:val="0"/>
          <w:numId w:val="0"/>
        </w:numPr>
        <w:tabs>
          <w:tab w:val="left" w:pos="1080"/>
        </w:tabs>
        <w:spacing w:after="0"/>
        <w:jc w:val="center"/>
        <w:rPr>
          <w:b/>
          <w:szCs w:val="22"/>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3525"/>
      </w:tblGrid>
      <w:tr w:rsidR="00890331" w14:paraId="55ECA6F7" w14:textId="77777777" w:rsidTr="00340256">
        <w:trPr>
          <w:trHeight w:val="270"/>
        </w:trPr>
        <w:tc>
          <w:tcPr>
            <w:tcW w:w="5069" w:type="dxa"/>
          </w:tcPr>
          <w:p w14:paraId="03C6BB94" w14:textId="77777777" w:rsidR="00890331" w:rsidRDefault="00890331" w:rsidP="00340256">
            <w:pPr>
              <w:tabs>
                <w:tab w:val="left" w:pos="1080"/>
              </w:tabs>
              <w:rPr>
                <w:b/>
                <w:sz w:val="22"/>
                <w:szCs w:val="22"/>
                <w:u w:val="single"/>
              </w:rPr>
            </w:pPr>
            <w:r>
              <w:rPr>
                <w:b/>
                <w:sz w:val="22"/>
                <w:szCs w:val="22"/>
                <w:u w:val="single"/>
              </w:rPr>
              <w:t>Commenter/Opponent</w:t>
            </w:r>
          </w:p>
        </w:tc>
        <w:tc>
          <w:tcPr>
            <w:tcW w:w="3525" w:type="dxa"/>
          </w:tcPr>
          <w:p w14:paraId="7A16C0BA" w14:textId="77777777" w:rsidR="00890331" w:rsidRDefault="00890331" w:rsidP="00340256">
            <w:pPr>
              <w:tabs>
                <w:tab w:val="left" w:pos="1080"/>
              </w:tabs>
              <w:rPr>
                <w:b/>
                <w:sz w:val="22"/>
                <w:szCs w:val="22"/>
                <w:u w:val="single"/>
              </w:rPr>
            </w:pPr>
            <w:r>
              <w:rPr>
                <w:b/>
                <w:sz w:val="22"/>
                <w:szCs w:val="22"/>
                <w:u w:val="single"/>
              </w:rPr>
              <w:t>Abbreviation</w:t>
            </w:r>
          </w:p>
        </w:tc>
      </w:tr>
      <w:tr w:rsidR="00890331" w14:paraId="662E3CC9" w14:textId="77777777" w:rsidTr="00340256">
        <w:trPr>
          <w:trHeight w:val="270"/>
        </w:trPr>
        <w:tc>
          <w:tcPr>
            <w:tcW w:w="5069" w:type="dxa"/>
          </w:tcPr>
          <w:p w14:paraId="72CE3442" w14:textId="77777777" w:rsidR="00890331" w:rsidRDefault="00890331" w:rsidP="00340256">
            <w:pPr>
              <w:autoSpaceDE w:val="0"/>
              <w:autoSpaceDN w:val="0"/>
              <w:adjustRightInd w:val="0"/>
            </w:pPr>
            <w:r>
              <w:rPr>
                <w:rFonts w:eastAsia="Calibri"/>
              </w:rPr>
              <w:t>American Public Communications Council, APCC Services, Inc., and Petitioners GCB  Communications, Inc., d/b/a Pacific Communications and La</w:t>
            </w:r>
            <w:r w:rsidR="002B2611">
              <w:rPr>
                <w:rFonts w:eastAsia="Calibri"/>
              </w:rPr>
              <w:t>k</w:t>
            </w:r>
            <w:r>
              <w:rPr>
                <w:rFonts w:eastAsia="Calibri"/>
              </w:rPr>
              <w:t>e Country Communications, Inc.</w:t>
            </w:r>
          </w:p>
          <w:p w14:paraId="6BB7C2B5" w14:textId="77777777" w:rsidR="00890331" w:rsidRDefault="00890331" w:rsidP="00340256">
            <w:pPr>
              <w:tabs>
                <w:tab w:val="left" w:pos="1080"/>
              </w:tabs>
              <w:rPr>
                <w:sz w:val="22"/>
                <w:szCs w:val="22"/>
              </w:rPr>
            </w:pPr>
          </w:p>
        </w:tc>
        <w:tc>
          <w:tcPr>
            <w:tcW w:w="3525" w:type="dxa"/>
          </w:tcPr>
          <w:p w14:paraId="03B587FA" w14:textId="77777777" w:rsidR="00890331" w:rsidRDefault="00890331" w:rsidP="0066310A">
            <w:pPr>
              <w:tabs>
                <w:tab w:val="left" w:pos="1080"/>
              </w:tabs>
              <w:rPr>
                <w:sz w:val="22"/>
                <w:szCs w:val="22"/>
              </w:rPr>
            </w:pPr>
            <w:r>
              <w:rPr>
                <w:sz w:val="22"/>
                <w:szCs w:val="22"/>
              </w:rPr>
              <w:t>APCC</w:t>
            </w:r>
            <w:r w:rsidR="0066310A">
              <w:rPr>
                <w:sz w:val="22"/>
                <w:szCs w:val="22"/>
              </w:rPr>
              <w:t xml:space="preserve"> and </w:t>
            </w:r>
            <w:r>
              <w:rPr>
                <w:sz w:val="22"/>
                <w:szCs w:val="22"/>
              </w:rPr>
              <w:t>GCB</w:t>
            </w:r>
          </w:p>
        </w:tc>
      </w:tr>
    </w:tbl>
    <w:p w14:paraId="16DEE95A" w14:textId="77777777" w:rsidR="00890331" w:rsidRDefault="00890331" w:rsidP="00890331">
      <w:pPr>
        <w:pStyle w:val="ParaNum"/>
        <w:numPr>
          <w:ilvl w:val="0"/>
          <w:numId w:val="0"/>
        </w:numPr>
        <w:tabs>
          <w:tab w:val="left" w:pos="1080"/>
        </w:tabs>
        <w:spacing w:after="0"/>
        <w:rPr>
          <w:szCs w:val="22"/>
        </w:rPr>
      </w:pPr>
    </w:p>
    <w:p w14:paraId="00AADE9E" w14:textId="56277B35" w:rsidR="00890331" w:rsidRPr="00A968CC" w:rsidRDefault="00890331" w:rsidP="00FF30F9">
      <w:pPr>
        <w:pStyle w:val="ParaNum"/>
        <w:numPr>
          <w:ilvl w:val="0"/>
          <w:numId w:val="0"/>
        </w:numPr>
        <w:tabs>
          <w:tab w:val="left" w:pos="1080"/>
        </w:tabs>
        <w:spacing w:after="0"/>
        <w:jc w:val="center"/>
        <w:rPr>
          <w:b/>
          <w:szCs w:val="22"/>
        </w:rPr>
      </w:pPr>
      <w:r>
        <w:rPr>
          <w:b/>
          <w:szCs w:val="22"/>
        </w:rPr>
        <w:t>Replies</w:t>
      </w:r>
    </w:p>
    <w:p w14:paraId="362AFA5D" w14:textId="77777777" w:rsidR="00890331" w:rsidRDefault="00890331" w:rsidP="00890331">
      <w:pPr>
        <w:pStyle w:val="ParaNum"/>
        <w:numPr>
          <w:ilvl w:val="0"/>
          <w:numId w:val="0"/>
        </w:numPr>
        <w:tabs>
          <w:tab w:val="left" w:pos="1080"/>
        </w:tabs>
        <w:spacing w:after="0"/>
        <w:jc w:val="center"/>
        <w:rPr>
          <w:b/>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3572"/>
      </w:tblGrid>
      <w:tr w:rsidR="00890331" w14:paraId="07F2D854" w14:textId="77777777" w:rsidTr="00340256">
        <w:trPr>
          <w:trHeight w:val="332"/>
        </w:trPr>
        <w:tc>
          <w:tcPr>
            <w:tcW w:w="4996" w:type="dxa"/>
          </w:tcPr>
          <w:p w14:paraId="29D386A6" w14:textId="77777777" w:rsidR="00890331" w:rsidRDefault="00890331" w:rsidP="00340256">
            <w:pPr>
              <w:tabs>
                <w:tab w:val="left" w:pos="1080"/>
              </w:tabs>
              <w:rPr>
                <w:b/>
                <w:sz w:val="22"/>
                <w:szCs w:val="22"/>
                <w:u w:val="single"/>
              </w:rPr>
            </w:pPr>
            <w:r>
              <w:rPr>
                <w:b/>
                <w:sz w:val="22"/>
                <w:szCs w:val="22"/>
                <w:u w:val="single"/>
              </w:rPr>
              <w:t>Replies</w:t>
            </w:r>
          </w:p>
        </w:tc>
        <w:tc>
          <w:tcPr>
            <w:tcW w:w="3572" w:type="dxa"/>
          </w:tcPr>
          <w:p w14:paraId="32E14A79" w14:textId="77777777" w:rsidR="00890331" w:rsidRDefault="00890331" w:rsidP="00340256">
            <w:pPr>
              <w:tabs>
                <w:tab w:val="left" w:pos="1080"/>
              </w:tabs>
              <w:rPr>
                <w:b/>
                <w:sz w:val="22"/>
                <w:szCs w:val="22"/>
                <w:u w:val="single"/>
              </w:rPr>
            </w:pPr>
            <w:r>
              <w:rPr>
                <w:b/>
                <w:sz w:val="22"/>
                <w:szCs w:val="22"/>
                <w:u w:val="single"/>
              </w:rPr>
              <w:t>Abbreviation</w:t>
            </w:r>
          </w:p>
        </w:tc>
      </w:tr>
      <w:tr w:rsidR="00890331" w14:paraId="299411C9" w14:textId="77777777" w:rsidTr="00340256">
        <w:trPr>
          <w:trHeight w:val="270"/>
        </w:trPr>
        <w:tc>
          <w:tcPr>
            <w:tcW w:w="4996" w:type="dxa"/>
          </w:tcPr>
          <w:p w14:paraId="0A61D63A" w14:textId="77777777" w:rsidR="00890331" w:rsidRDefault="00890331" w:rsidP="00340256">
            <w:pPr>
              <w:tabs>
                <w:tab w:val="left" w:pos="1080"/>
              </w:tabs>
              <w:rPr>
                <w:sz w:val="22"/>
                <w:szCs w:val="22"/>
              </w:rPr>
            </w:pPr>
            <w:r>
              <w:t>American PrePaid Phonecall Association</w:t>
            </w:r>
          </w:p>
        </w:tc>
        <w:tc>
          <w:tcPr>
            <w:tcW w:w="3572" w:type="dxa"/>
          </w:tcPr>
          <w:p w14:paraId="66641C06" w14:textId="77777777" w:rsidR="00890331" w:rsidRDefault="00890331" w:rsidP="00340256">
            <w:pPr>
              <w:tabs>
                <w:tab w:val="left" w:pos="1080"/>
              </w:tabs>
              <w:rPr>
                <w:sz w:val="22"/>
                <w:szCs w:val="22"/>
              </w:rPr>
            </w:pPr>
            <w:r>
              <w:rPr>
                <w:sz w:val="22"/>
                <w:szCs w:val="22"/>
              </w:rPr>
              <w:t>APPPA</w:t>
            </w:r>
          </w:p>
        </w:tc>
      </w:tr>
      <w:tr w:rsidR="00890331" w14:paraId="78D1A5E4" w14:textId="77777777" w:rsidTr="00340256">
        <w:trPr>
          <w:trHeight w:val="270"/>
        </w:trPr>
        <w:tc>
          <w:tcPr>
            <w:tcW w:w="4996" w:type="dxa"/>
          </w:tcPr>
          <w:p w14:paraId="307B0C4F" w14:textId="77777777" w:rsidR="00890331" w:rsidRDefault="00890331" w:rsidP="00340256">
            <w:pPr>
              <w:tabs>
                <w:tab w:val="left" w:pos="1080"/>
              </w:tabs>
              <w:rPr>
                <w:sz w:val="22"/>
                <w:szCs w:val="22"/>
              </w:rPr>
            </w:pPr>
            <w:r>
              <w:t>U.S. South Communications Inc.</w:t>
            </w:r>
          </w:p>
        </w:tc>
        <w:tc>
          <w:tcPr>
            <w:tcW w:w="3572" w:type="dxa"/>
          </w:tcPr>
          <w:p w14:paraId="7B9406B1" w14:textId="77777777" w:rsidR="00890331" w:rsidRDefault="00890331" w:rsidP="00340256">
            <w:pPr>
              <w:tabs>
                <w:tab w:val="left" w:pos="1080"/>
              </w:tabs>
              <w:rPr>
                <w:sz w:val="22"/>
                <w:szCs w:val="22"/>
              </w:rPr>
            </w:pPr>
            <w:r>
              <w:rPr>
                <w:sz w:val="22"/>
                <w:szCs w:val="22"/>
              </w:rPr>
              <w:t>U.S. South</w:t>
            </w:r>
          </w:p>
        </w:tc>
      </w:tr>
    </w:tbl>
    <w:p w14:paraId="1DD603C2" w14:textId="77777777" w:rsidR="00890331" w:rsidRDefault="00890331" w:rsidP="00890331">
      <w:pPr>
        <w:pStyle w:val="ParaNum"/>
        <w:numPr>
          <w:ilvl w:val="0"/>
          <w:numId w:val="0"/>
        </w:numPr>
        <w:tabs>
          <w:tab w:val="left" w:pos="1080"/>
        </w:tabs>
        <w:spacing w:after="0"/>
        <w:rPr>
          <w:szCs w:val="22"/>
        </w:rPr>
      </w:pPr>
    </w:p>
    <w:p w14:paraId="365ADA8E" w14:textId="77777777" w:rsidR="00890331" w:rsidRDefault="00890331" w:rsidP="00890331">
      <w:pPr>
        <w:pStyle w:val="ParaNum"/>
        <w:numPr>
          <w:ilvl w:val="0"/>
          <w:numId w:val="0"/>
        </w:numPr>
        <w:tabs>
          <w:tab w:val="left" w:pos="1080"/>
        </w:tabs>
        <w:spacing w:after="0"/>
        <w:rPr>
          <w:szCs w:val="22"/>
        </w:rPr>
      </w:pPr>
    </w:p>
    <w:p w14:paraId="567F5273" w14:textId="77777777" w:rsidR="00890331" w:rsidRDefault="00890331" w:rsidP="00890331">
      <w:pPr>
        <w:snapToGrid w:val="0"/>
        <w:spacing w:after="200"/>
      </w:pPr>
    </w:p>
    <w:p w14:paraId="106B82B4" w14:textId="77777777" w:rsidR="008B0AD7" w:rsidRDefault="008B0AD7">
      <w:pPr>
        <w:rPr>
          <w:sz w:val="22"/>
          <w:szCs w:val="22"/>
        </w:rPr>
        <w:sectPr w:rsidR="008B0AD7" w:rsidSect="00272DA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rPr>
          <w:sz w:val="22"/>
          <w:szCs w:val="22"/>
        </w:rPr>
        <w:br w:type="page"/>
      </w:r>
    </w:p>
    <w:p w14:paraId="5DBFA00E" w14:textId="77777777" w:rsidR="008B0AD7" w:rsidRPr="009E6896" w:rsidRDefault="008B0AD7" w:rsidP="008B0AD7">
      <w:pPr>
        <w:spacing w:after="120"/>
        <w:jc w:val="center"/>
        <w:rPr>
          <w:b/>
          <w:sz w:val="22"/>
          <w:szCs w:val="22"/>
        </w:rPr>
      </w:pPr>
      <w:r w:rsidRPr="009E6896">
        <w:rPr>
          <w:b/>
          <w:sz w:val="22"/>
          <w:szCs w:val="22"/>
        </w:rPr>
        <w:t>STATEMENT OF</w:t>
      </w:r>
      <w:r w:rsidRPr="009E6896">
        <w:rPr>
          <w:b/>
          <w:sz w:val="22"/>
          <w:szCs w:val="22"/>
        </w:rPr>
        <w:br/>
        <w:t>COMMISSIONER AJIT PAI</w:t>
      </w:r>
    </w:p>
    <w:p w14:paraId="1B6C24FC" w14:textId="77777777" w:rsidR="008B0AD7" w:rsidRPr="009E6896" w:rsidRDefault="008B0AD7" w:rsidP="008B0AD7">
      <w:pPr>
        <w:spacing w:after="120"/>
        <w:ind w:left="720" w:hanging="720"/>
        <w:rPr>
          <w:sz w:val="22"/>
          <w:szCs w:val="22"/>
        </w:rPr>
      </w:pPr>
      <w:r w:rsidRPr="009E6896">
        <w:rPr>
          <w:sz w:val="22"/>
          <w:szCs w:val="22"/>
        </w:rPr>
        <w:t>Re:</w:t>
      </w:r>
      <w:r w:rsidRPr="009E6896">
        <w:rPr>
          <w:sz w:val="22"/>
          <w:szCs w:val="22"/>
        </w:rPr>
        <w:tab/>
      </w:r>
      <w:r w:rsidRPr="009E6896">
        <w:rPr>
          <w:i/>
          <w:sz w:val="22"/>
          <w:szCs w:val="22"/>
        </w:rPr>
        <w:t>Petition of GCB Communications, Inc. d/b/a Pacific Communications and Lake Country Communications, Inc. for Declaratory Ruling</w:t>
      </w:r>
      <w:r w:rsidRPr="009E6896">
        <w:rPr>
          <w:sz w:val="22"/>
          <w:szCs w:val="22"/>
        </w:rPr>
        <w:t>, WC Docket No. 11-141.</w:t>
      </w:r>
    </w:p>
    <w:p w14:paraId="1ED3A09B" w14:textId="77777777" w:rsidR="008B0AD7" w:rsidRPr="009E6896" w:rsidRDefault="008B0AD7" w:rsidP="008B0AD7">
      <w:pPr>
        <w:spacing w:after="120"/>
        <w:ind w:firstLine="720"/>
        <w:rPr>
          <w:sz w:val="22"/>
          <w:szCs w:val="22"/>
        </w:rPr>
      </w:pPr>
      <w:r w:rsidRPr="009E6896">
        <w:rPr>
          <w:sz w:val="22"/>
          <w:szCs w:val="22"/>
        </w:rPr>
        <w:t>Incumbent local exchange carriers (ILECs) and intermediate carriers send long-distance calls from payphones to long-distance carriers, who then send these calls to their destinations.  In doing so, ILECs and intermediate carriers pass along “automatic number identification”—the unique fingerprint of a call, so to speak—including coding digits.  When someone places a call from a payphone, coding digits help identify that call as having been placed specifically from a payphone.  The question underlying today’s order is a bit technical and somewhat arcane:  If a long distance call is made from a payphone, is the long-distance carrier that completes the call responsible for compensating a payphone service provider if the ILEC or intermediate carrier fails to deliver the appropriate coding digits?  Our precedent says yes, as ably laid out in today’s order and the Wireline Competition Bureau’s declaratory ruling.  I agree, and am thus voting to approve this item.</w:t>
      </w:r>
    </w:p>
    <w:p w14:paraId="37C5119B" w14:textId="77777777" w:rsidR="008B0AD7" w:rsidRPr="009E6896" w:rsidRDefault="008B0AD7" w:rsidP="008B0AD7">
      <w:pPr>
        <w:spacing w:after="120"/>
        <w:ind w:firstLine="720"/>
        <w:rPr>
          <w:sz w:val="22"/>
          <w:szCs w:val="22"/>
        </w:rPr>
      </w:pPr>
      <w:r w:rsidRPr="009E6896">
        <w:rPr>
          <w:sz w:val="22"/>
          <w:szCs w:val="22"/>
        </w:rPr>
        <w:t xml:space="preserve">Looming on the horizon is another question:  Does this identification-and-compensation scheme make sense anymore?  Common sense says no, for at least two reasons.  </w:t>
      </w:r>
      <w:r w:rsidRPr="009E6896">
        <w:rPr>
          <w:i/>
          <w:sz w:val="22"/>
          <w:szCs w:val="22"/>
        </w:rPr>
        <w:t>First</w:t>
      </w:r>
      <w:r w:rsidRPr="009E6896">
        <w:rPr>
          <w:sz w:val="22"/>
          <w:szCs w:val="22"/>
        </w:rPr>
        <w:t>, the requirement to transmit coding digits along with other automatic number identification is premised on the continued dominance of the public switched telephone network and the continued use of Signaling System No. 7 to set up calls over that network.  But the number of access lines is steadily declining.  And the network of the future—indeed, the network of today for many providers—is based on the Internet Protocol (IP), which frees providers from the less efficient signaling mechanisms of the past.  As telephone operators transition their networks from time-division multiplexing to IP, the coding digit requirement is going to become increasingly burdensome and, many surmise, increasingly unlikely to work.</w:t>
      </w:r>
    </w:p>
    <w:p w14:paraId="1E414319" w14:textId="77777777" w:rsidR="008B0AD7" w:rsidRPr="009E6896" w:rsidRDefault="008B0AD7" w:rsidP="008B0AD7">
      <w:pPr>
        <w:spacing w:after="120"/>
        <w:ind w:firstLine="720"/>
        <w:rPr>
          <w:sz w:val="22"/>
          <w:szCs w:val="22"/>
        </w:rPr>
      </w:pPr>
      <w:r w:rsidRPr="009E6896">
        <w:rPr>
          <w:i/>
          <w:sz w:val="22"/>
          <w:szCs w:val="22"/>
        </w:rPr>
        <w:t>Second</w:t>
      </w:r>
      <w:r w:rsidRPr="009E6896">
        <w:rPr>
          <w:sz w:val="22"/>
          <w:szCs w:val="22"/>
        </w:rPr>
        <w:t>, the communications marketplace has changed dramatically since the Commission adopted the coding-digit requirement seventeen years ago.  Back then, incumbents dominated local markets and could reasonably expect to recoup from their customers the cost of upgrading and maintaining the equipment needed to comply with this requirement.  Now, incumbents face competition on all fronts and are mere middle-men in the transaction between completing carriers and payphone service providers, which renders outdated the one-sided, payphone-related regulatory burdens they face.  Similarly, back then, most consumers had long-term relationships with their long-distance carriers, so if the coding digits did not transmit correctly, a carrier could bill its customer later for payphone use today.</w:t>
      </w:r>
      <w:r w:rsidRPr="009E6896">
        <w:rPr>
          <w:rStyle w:val="FootnoteReference"/>
          <w:szCs w:val="22"/>
        </w:rPr>
        <w:footnoteReference w:id="40"/>
      </w:r>
      <w:r w:rsidRPr="009E6896">
        <w:rPr>
          <w:sz w:val="22"/>
          <w:szCs w:val="22"/>
        </w:rPr>
        <w:t xml:space="preserve">  Now, consumers increasingly use automatically decremented prepaid calling cards to make long-distance calls, so if the coding digits aren’t transmitted correctly, the provider </w:t>
      </w:r>
      <w:r w:rsidRPr="009E6896">
        <w:rPr>
          <w:i/>
          <w:sz w:val="22"/>
          <w:szCs w:val="22"/>
        </w:rPr>
        <w:t>cannot</w:t>
      </w:r>
      <w:r w:rsidRPr="009E6896">
        <w:rPr>
          <w:sz w:val="22"/>
          <w:szCs w:val="22"/>
        </w:rPr>
        <w:t xml:space="preserve"> bill the customer for using a payphone—it’s now or never, as it were.</w:t>
      </w:r>
    </w:p>
    <w:p w14:paraId="48B7DD1D" w14:textId="77777777" w:rsidR="008B0AD7" w:rsidRPr="009E6896" w:rsidRDefault="008B0AD7" w:rsidP="008B0AD7">
      <w:pPr>
        <w:spacing w:after="120"/>
        <w:ind w:firstLine="720"/>
        <w:rPr>
          <w:sz w:val="22"/>
          <w:szCs w:val="22"/>
        </w:rPr>
      </w:pPr>
      <w:r w:rsidRPr="009E6896">
        <w:rPr>
          <w:sz w:val="22"/>
          <w:szCs w:val="22"/>
        </w:rPr>
        <w:t>For these reasons, I hope we will soon consider revising our payphone compensation rules.  Ensuring that payphone service providers are compensated for each and every completed call is not just fair, it is the law.</w:t>
      </w:r>
      <w:r w:rsidRPr="009E6896">
        <w:rPr>
          <w:rStyle w:val="FootnoteReference"/>
          <w:szCs w:val="22"/>
        </w:rPr>
        <w:footnoteReference w:id="41"/>
      </w:r>
      <w:r w:rsidRPr="009E6896">
        <w:rPr>
          <w:sz w:val="22"/>
          <w:szCs w:val="22"/>
        </w:rPr>
        <w:t xml:space="preserve">  To stay true to that command, we must accept that the IP transition is underway and adapt our rules to the realities of the modern marketplace.</w:t>
      </w:r>
    </w:p>
    <w:p w14:paraId="48E3945D" w14:textId="77777777" w:rsidR="0027094F" w:rsidRDefault="0027094F">
      <w:pPr>
        <w:snapToGrid w:val="0"/>
        <w:spacing w:after="200"/>
        <w:rPr>
          <w:sz w:val="22"/>
          <w:szCs w:val="22"/>
        </w:rPr>
      </w:pPr>
    </w:p>
    <w:sectPr w:rsidR="0027094F" w:rsidSect="005F14A7">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C2176" w14:textId="77777777" w:rsidR="001868B3" w:rsidRDefault="001868B3">
      <w:pPr>
        <w:spacing w:line="20" w:lineRule="exact"/>
      </w:pPr>
    </w:p>
  </w:endnote>
  <w:endnote w:type="continuationSeparator" w:id="0">
    <w:p w14:paraId="4C8A2558" w14:textId="77777777" w:rsidR="001868B3" w:rsidRDefault="001868B3">
      <w:r>
        <w:t xml:space="preserve"> </w:t>
      </w:r>
    </w:p>
  </w:endnote>
  <w:endnote w:type="continuationNotice" w:id="1">
    <w:p w14:paraId="01B3A964" w14:textId="77777777" w:rsidR="001868B3" w:rsidRDefault="001868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DNA+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1FEB" w14:textId="77777777" w:rsidR="00FD7829" w:rsidRDefault="008F6252">
    <w:pPr>
      <w:pStyle w:val="Footer"/>
      <w:framePr w:wrap="around" w:vAnchor="text" w:hAnchor="margin" w:xAlign="center" w:y="1"/>
    </w:pPr>
    <w:r>
      <w:fldChar w:fldCharType="begin"/>
    </w:r>
    <w:r w:rsidR="00FD7829">
      <w:instrText xml:space="preserve">PAGE  </w:instrText>
    </w:r>
    <w:r>
      <w:fldChar w:fldCharType="end"/>
    </w:r>
  </w:p>
  <w:p w14:paraId="1F694F0B" w14:textId="77777777" w:rsidR="00FD7829" w:rsidRDefault="00FD7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FED0" w14:textId="77777777" w:rsidR="00FD7829" w:rsidRDefault="008F6252">
    <w:pPr>
      <w:pStyle w:val="Footer"/>
      <w:framePr w:wrap="around" w:vAnchor="text" w:hAnchor="margin" w:xAlign="center" w:y="1"/>
    </w:pPr>
    <w:r>
      <w:fldChar w:fldCharType="begin"/>
    </w:r>
    <w:r w:rsidR="00FD7829">
      <w:instrText xml:space="preserve">PAGE  </w:instrText>
    </w:r>
    <w:r>
      <w:fldChar w:fldCharType="separate"/>
    </w:r>
    <w:r w:rsidR="00001956">
      <w:rPr>
        <w:noProof/>
      </w:rPr>
      <w:t>2</w:t>
    </w:r>
    <w:r>
      <w:fldChar w:fldCharType="end"/>
    </w:r>
  </w:p>
  <w:p w14:paraId="49F672AA" w14:textId="77777777" w:rsidR="00FD7829" w:rsidRDefault="00FD7829">
    <w:pPr>
      <w:spacing w:before="140" w:line="100" w:lineRule="exact"/>
      <w:rPr>
        <w:sz w:val="10"/>
      </w:rPr>
    </w:pPr>
  </w:p>
  <w:p w14:paraId="0E99BC67" w14:textId="77777777" w:rsidR="00FD7829" w:rsidRDefault="00FD7829">
    <w:pPr>
      <w:suppressAutoHyphens/>
      <w:spacing w:line="227" w:lineRule="auto"/>
    </w:pPr>
  </w:p>
  <w:p w14:paraId="3ADD6A53" w14:textId="77777777" w:rsidR="00FD7829" w:rsidRDefault="00FD78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A938" w14:textId="77777777" w:rsidR="00FD7829" w:rsidRDefault="00FD782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63C3" w14:textId="77777777" w:rsidR="001868B3" w:rsidRDefault="001868B3">
      <w:r>
        <w:separator/>
      </w:r>
    </w:p>
  </w:footnote>
  <w:footnote w:type="continuationSeparator" w:id="0">
    <w:p w14:paraId="6367D70E" w14:textId="77777777" w:rsidR="001868B3" w:rsidRDefault="001868B3">
      <w:pPr>
        <w:rPr>
          <w:sz w:val="20"/>
        </w:rPr>
      </w:pPr>
      <w:r>
        <w:rPr>
          <w:sz w:val="20"/>
        </w:rPr>
        <w:t xml:space="preserve">(Continued from previous page)  </w:t>
      </w:r>
      <w:r>
        <w:rPr>
          <w:sz w:val="20"/>
        </w:rPr>
        <w:separator/>
      </w:r>
    </w:p>
  </w:footnote>
  <w:footnote w:type="continuationNotice" w:id="1">
    <w:p w14:paraId="4B3C7BAF" w14:textId="77777777" w:rsidR="001868B3" w:rsidRDefault="001868B3" w:rsidP="000A5E6B">
      <w:pPr>
        <w:jc w:val="right"/>
        <w:rPr>
          <w:sz w:val="20"/>
        </w:rPr>
      </w:pPr>
      <w:r>
        <w:rPr>
          <w:sz w:val="20"/>
        </w:rPr>
        <w:t>(continued….)</w:t>
      </w:r>
    </w:p>
    <w:p w14:paraId="6A61D7C4" w14:textId="77777777" w:rsidR="001868B3" w:rsidRDefault="001868B3">
      <w:pPr>
        <w:rPr>
          <w:sz w:val="20"/>
        </w:rPr>
      </w:pPr>
    </w:p>
    <w:p w14:paraId="469F6952" w14:textId="77777777" w:rsidR="001868B3" w:rsidRDefault="001868B3">
      <w:pPr>
        <w:rPr>
          <w:sz w:val="20"/>
        </w:rPr>
      </w:pPr>
    </w:p>
  </w:footnote>
  <w:footnote w:id="2">
    <w:p w14:paraId="062425E2" w14:textId="77777777" w:rsidR="00FD7829" w:rsidRDefault="00FD7829" w:rsidP="00246B05">
      <w:pPr>
        <w:pStyle w:val="FootnoteText"/>
      </w:pPr>
      <w:r>
        <w:rPr>
          <w:rStyle w:val="FootnoteReference"/>
        </w:rPr>
        <w:footnoteRef/>
      </w:r>
      <w:r>
        <w:t xml:space="preserve"> </w:t>
      </w:r>
      <w:r>
        <w:rPr>
          <w:i/>
        </w:rPr>
        <w:t>Petition of GCB Communications, Inc. d/b/a Pacific Communications and Lake Country Communications, Inc. for a Declaratory Ruling</w:t>
      </w:r>
      <w:r>
        <w:t xml:space="preserve">, </w:t>
      </w:r>
      <w:r w:rsidR="006E04A4">
        <w:t xml:space="preserve">WC Docket No. 11-141, </w:t>
      </w:r>
      <w:r>
        <w:t xml:space="preserve">Application of U.S. South for Full Commission Review </w:t>
      </w:r>
      <w:r w:rsidR="006E04A4">
        <w:t>(</w:t>
      </w:r>
      <w:r>
        <w:t>filed July 30, 2012</w:t>
      </w:r>
      <w:r w:rsidR="006E04A4">
        <w:t>)</w:t>
      </w:r>
      <w:r>
        <w:t xml:space="preserve"> (</w:t>
      </w:r>
      <w:r>
        <w:rPr>
          <w:i/>
        </w:rPr>
        <w:t>Application for Review</w:t>
      </w:r>
      <w:r>
        <w:t>).</w:t>
      </w:r>
    </w:p>
  </w:footnote>
  <w:footnote w:id="3">
    <w:p w14:paraId="33CDF218" w14:textId="552F07DD" w:rsidR="00FD7829" w:rsidRDefault="00FD7829" w:rsidP="005826DE">
      <w:pPr>
        <w:pStyle w:val="FootnoteText"/>
      </w:pPr>
      <w:r>
        <w:rPr>
          <w:rStyle w:val="FootnoteReference"/>
        </w:rPr>
        <w:footnoteRef/>
      </w:r>
      <w:r>
        <w:t xml:space="preserve"> </w:t>
      </w:r>
      <w:r>
        <w:rPr>
          <w:i/>
        </w:rPr>
        <w:t>Petition of GCB Communications, Inc. d/b/a Pacific Communications and Lake Country Communications, Inc. for a Declaratory Ruling</w:t>
      </w:r>
      <w:r>
        <w:t xml:space="preserve">, </w:t>
      </w:r>
      <w:r w:rsidR="001344CA">
        <w:t xml:space="preserve">WC </w:t>
      </w:r>
      <w:r w:rsidR="006E04A4">
        <w:t xml:space="preserve">Docket No. 11-141, </w:t>
      </w:r>
      <w:r>
        <w:t>Declaratory Ruling, 27 FCC Rcd 7361 (W</w:t>
      </w:r>
      <w:r w:rsidR="006E04A4">
        <w:t xml:space="preserve">ireline </w:t>
      </w:r>
      <w:r>
        <w:t>C</w:t>
      </w:r>
      <w:r w:rsidR="006E04A4">
        <w:t xml:space="preserve">omp. </w:t>
      </w:r>
      <w:r>
        <w:t>B</w:t>
      </w:r>
      <w:r w:rsidR="006E04A4">
        <w:t>ur.</w:t>
      </w:r>
      <w:r>
        <w:t xml:space="preserve"> 2012) (</w:t>
      </w:r>
      <w:r>
        <w:rPr>
          <w:i/>
        </w:rPr>
        <w:t>Declaratory Ruling</w:t>
      </w:r>
      <w:r>
        <w:t>);</w:t>
      </w:r>
      <w:r>
        <w:rPr>
          <w:i/>
        </w:rPr>
        <w:t xml:space="preserve"> see also</w:t>
      </w:r>
      <w:r>
        <w:t xml:space="preserve"> </w:t>
      </w:r>
      <w:r w:rsidRPr="00764A00">
        <w:rPr>
          <w:i/>
        </w:rPr>
        <w:t>Petition of GCB Communications, Inc. d/b/a Pacific Communications and Lake Country Communications, Inc. for a Declaratory Ruling to Clarify Payphone Service Providers’ Responsibilities with Respect to the Transmission of Payphone-Specific Coding Digits in Order to Receive Per-Call Dial-Around Compensation for Completed Calls</w:t>
      </w:r>
      <w:r>
        <w:t>, WC Docket No. 11-141 (filed Aug. 9, 2011).</w:t>
      </w:r>
    </w:p>
  </w:footnote>
  <w:footnote w:id="4">
    <w:p w14:paraId="7ECD55E3" w14:textId="77777777" w:rsidR="00FD7829" w:rsidRDefault="00FD7829" w:rsidP="005826DE">
      <w:pPr>
        <w:pStyle w:val="FootnoteText"/>
      </w:pPr>
      <w:r>
        <w:rPr>
          <w:rStyle w:val="FootnoteReference"/>
        </w:rPr>
        <w:footnoteRef/>
      </w:r>
      <w:r>
        <w:t xml:space="preserve"> 47 U.S.C. </w:t>
      </w:r>
      <w:r w:rsidRPr="0045675C">
        <w:t>§</w:t>
      </w:r>
      <w:r>
        <w:t xml:space="preserve"> 276.</w:t>
      </w:r>
    </w:p>
  </w:footnote>
  <w:footnote w:id="5">
    <w:p w14:paraId="2664D722" w14:textId="6DE1A119" w:rsidR="00FD7829" w:rsidRDefault="00FD7829" w:rsidP="00C60C26">
      <w:pPr>
        <w:pStyle w:val="FootnoteText"/>
      </w:pPr>
      <w:r>
        <w:rPr>
          <w:rStyle w:val="FootnoteReference"/>
        </w:rPr>
        <w:footnoteRef/>
      </w:r>
      <w:r>
        <w:t xml:space="preserve"> </w:t>
      </w:r>
      <w:r>
        <w:rPr>
          <w:i/>
        </w:rPr>
        <w:t>Declaratory Ruling</w:t>
      </w:r>
      <w:r>
        <w:t>, 27 FCC Rcd at 7361-62, paras. 1</w:t>
      </w:r>
      <w:r w:rsidR="001344CA">
        <w:t>–</w:t>
      </w:r>
      <w:r>
        <w:t>3</w:t>
      </w:r>
      <w:r w:rsidR="00DA1666">
        <w:t xml:space="preserve">.  </w:t>
      </w:r>
      <w:r w:rsidR="006E04A4">
        <w:t xml:space="preserve">A </w:t>
      </w:r>
      <w:r w:rsidR="00CF7702">
        <w:t>C</w:t>
      </w:r>
      <w:r w:rsidR="006E04A4">
        <w:t xml:space="preserve">ompleting </w:t>
      </w:r>
      <w:r w:rsidR="00CF7702">
        <w:t>C</w:t>
      </w:r>
      <w:r w:rsidR="006E04A4">
        <w:t xml:space="preserve">arrier is “a long distance carrier or switch-based long distance reseller that completes a coinless access code or subscriber toll-free payphone call or a local exchange carrier </w:t>
      </w:r>
      <w:r w:rsidR="00952AA1">
        <w:t xml:space="preserve">[LEC] </w:t>
      </w:r>
      <w:r w:rsidR="006E04A4">
        <w:t>that completes a local, coinless access code or subscriber toll-free payphone call.”</w:t>
      </w:r>
      <w:r w:rsidR="00DA1666">
        <w:t xml:space="preserve">  </w:t>
      </w:r>
      <w:r w:rsidR="00DA1666" w:rsidRPr="00DA1666">
        <w:t>47 C.F.R. § 64.1300(a)</w:t>
      </w:r>
      <w:r w:rsidR="00DA1666">
        <w:t xml:space="preserve">.  </w:t>
      </w:r>
      <w:r w:rsidR="00DA1666" w:rsidRPr="00DA1666">
        <w:t xml:space="preserve">“Payphone-specific coding digits provide a method for </w:t>
      </w:r>
      <w:r w:rsidR="00E840A0">
        <w:t>LECs</w:t>
      </w:r>
      <w:r w:rsidR="00DA1666" w:rsidRPr="00DA1666">
        <w:t xml:space="preserve"> to transmit, with the automatic number identification (ANI), information (coding number or digits) identifying a call as having been placed specifically from a payphone.”</w:t>
      </w:r>
      <w:r w:rsidR="00DA1666">
        <w:t xml:space="preserve">  </w:t>
      </w:r>
      <w:r w:rsidR="00CF7702" w:rsidRPr="009F7B7F">
        <w:rPr>
          <w:i/>
        </w:rPr>
        <w:t>Implementation of the Pay Telephone Reclassification and Compensation Provisions of the Telecommunications Act of 1996</w:t>
      </w:r>
      <w:r w:rsidR="00CF7702" w:rsidRPr="00CF7702">
        <w:t>, CC Docket No. 96-128, Memorandum Opinion and Order, 13 FCC Rcd 4998, 4998, para. 1 n.2 (Wireline Comp. Bur. 1998) (</w:t>
      </w:r>
      <w:r w:rsidR="00CF7702" w:rsidRPr="009F7B7F">
        <w:rPr>
          <w:i/>
        </w:rPr>
        <w:t>1998 Coding Digits Order</w:t>
      </w:r>
      <w:r w:rsidR="00CF7702" w:rsidRPr="00CF7702">
        <w:t>)</w:t>
      </w:r>
      <w:r w:rsidR="00CF7702">
        <w:t>.</w:t>
      </w:r>
      <w:r w:rsidR="006E04A4">
        <w:t xml:space="preserve">  </w:t>
      </w:r>
    </w:p>
  </w:footnote>
  <w:footnote w:id="6">
    <w:p w14:paraId="059DFBF6" w14:textId="1A185F2A" w:rsidR="00FD7829" w:rsidRDefault="00FD7829" w:rsidP="009F7B7F">
      <w:pPr>
        <w:pStyle w:val="FootnoteText"/>
        <w:spacing w:before="120"/>
      </w:pPr>
      <w:r>
        <w:rPr>
          <w:rStyle w:val="FootnoteReference"/>
        </w:rPr>
        <w:footnoteRef/>
      </w:r>
      <w:r>
        <w:t xml:space="preserve"> U.S. South makes the same arguments that were properly considered and rejected in the </w:t>
      </w:r>
      <w:r>
        <w:rPr>
          <w:i/>
        </w:rPr>
        <w:t xml:space="preserve">Declaratory Ruling </w:t>
      </w:r>
      <w:r w:rsidRPr="00596FFF">
        <w:t xml:space="preserve">and </w:t>
      </w:r>
      <w:r>
        <w:t xml:space="preserve">we </w:t>
      </w:r>
      <w:r w:rsidRPr="00596FFF">
        <w:t>deny those on the merits</w:t>
      </w:r>
      <w:r w:rsidRPr="00AF0046">
        <w:t>.</w:t>
      </w:r>
      <w:r>
        <w:t xml:space="preserve">  For example, U.S. South states that:  (1) the Commission has repeatedly reaffirmed that flexible automatic numbering </w:t>
      </w:r>
      <w:r w:rsidR="001344CA">
        <w:t>identification</w:t>
      </w:r>
      <w:r>
        <w:t xml:space="preserve"> (Flex ANI), where available, must be transmitted with every payphone call; (2) carriers were given the ability to utilize Flex ANI as a means of per-call tracking and compensation and therefore must be able to rely upon the presence or absence of coding digits; and (3) payphone service providers (PSPs) have the ability to monitor or confirm that Flex ANI is being transmitted by LECs with their payphone calls.  </w:t>
      </w:r>
      <w:r>
        <w:rPr>
          <w:i/>
        </w:rPr>
        <w:t>Application for Review</w:t>
      </w:r>
      <w:r>
        <w:t xml:space="preserve"> at 11</w:t>
      </w:r>
      <w:r w:rsidR="006E04A4">
        <w:t>–</w:t>
      </w:r>
      <w:r>
        <w:t xml:space="preserve">25.  </w:t>
      </w:r>
    </w:p>
  </w:footnote>
  <w:footnote w:id="7">
    <w:p w14:paraId="18D7C038" w14:textId="77777777" w:rsidR="00FD7829" w:rsidRDefault="00FD7829" w:rsidP="00456044">
      <w:pPr>
        <w:pStyle w:val="FootnoteText"/>
      </w:pPr>
      <w:r>
        <w:rPr>
          <w:rStyle w:val="FootnoteReference"/>
        </w:rPr>
        <w:footnoteRef/>
      </w:r>
      <w:r>
        <w:t xml:space="preserve"> </w:t>
      </w:r>
      <w:r>
        <w:rPr>
          <w:i/>
        </w:rPr>
        <w:t>Application for Review</w:t>
      </w:r>
      <w:r>
        <w:t xml:space="preserve"> at 3.</w:t>
      </w:r>
    </w:p>
  </w:footnote>
  <w:footnote w:id="8">
    <w:p w14:paraId="27F5F27F" w14:textId="77777777" w:rsidR="00FD7829" w:rsidRDefault="00FD7829" w:rsidP="00456044">
      <w:pPr>
        <w:pStyle w:val="FootnoteText"/>
      </w:pPr>
      <w:r>
        <w:rPr>
          <w:rStyle w:val="FootnoteReference"/>
        </w:rPr>
        <w:footnoteRef/>
      </w:r>
      <w:r>
        <w:t xml:space="preserve"> </w:t>
      </w:r>
      <w:r>
        <w:rPr>
          <w:i/>
        </w:rPr>
        <w:t>See Declaratory Ruling</w:t>
      </w:r>
      <w:r w:rsidR="006E04A4">
        <w:rPr>
          <w:i/>
        </w:rPr>
        <w:t>,</w:t>
      </w:r>
      <w:r>
        <w:rPr>
          <w:i/>
        </w:rPr>
        <w:t xml:space="preserve"> </w:t>
      </w:r>
      <w:r w:rsidR="006E04A4">
        <w:t xml:space="preserve">27 FCC Rcd </w:t>
      </w:r>
      <w:r>
        <w:t>at 7378</w:t>
      </w:r>
      <w:r w:rsidR="006E04A4">
        <w:t>–</w:t>
      </w:r>
      <w:r>
        <w:t>79, para. 36.</w:t>
      </w:r>
    </w:p>
  </w:footnote>
  <w:footnote w:id="9">
    <w:p w14:paraId="2164B6EC" w14:textId="4610E617" w:rsidR="00FD7829" w:rsidRDefault="00FD7829" w:rsidP="00456044">
      <w:pPr>
        <w:pStyle w:val="FootnoteText"/>
      </w:pPr>
      <w:r>
        <w:rPr>
          <w:rStyle w:val="FootnoteReference"/>
        </w:rPr>
        <w:footnoteRef/>
      </w:r>
      <w:r>
        <w:t xml:space="preserve"> </w:t>
      </w:r>
      <w:hyperlink r:id="rId1" w:history="1">
        <w:r w:rsidRPr="00E86E36">
          <w:t>47 U.S.C. § 276(b)(1)(A)</w:t>
        </w:r>
      </w:hyperlink>
      <w:r w:rsidRPr="00877C66">
        <w:t>.</w:t>
      </w:r>
    </w:p>
  </w:footnote>
  <w:footnote w:id="10">
    <w:p w14:paraId="2FCA4BD6" w14:textId="77777777" w:rsidR="00FD7829" w:rsidRPr="000F77E4" w:rsidRDefault="00FD7829" w:rsidP="002B2CEE">
      <w:pPr>
        <w:pStyle w:val="FootnoteText"/>
      </w:pPr>
      <w:r>
        <w:rPr>
          <w:rStyle w:val="FootnoteReference"/>
        </w:rPr>
        <w:footnoteRef/>
      </w:r>
      <w:r>
        <w:t xml:space="preserve"> </w:t>
      </w:r>
      <w:r>
        <w:rPr>
          <w:i/>
        </w:rPr>
        <w:t>S</w:t>
      </w:r>
      <w:r w:rsidRPr="000F77E4">
        <w:rPr>
          <w:i/>
        </w:rPr>
        <w:t>ee</w:t>
      </w:r>
      <w:r w:rsidRPr="000F77E4">
        <w:t xml:space="preserve"> </w:t>
      </w:r>
      <w:r w:rsidRPr="000F77E4">
        <w:rPr>
          <w:i/>
        </w:rPr>
        <w:t xml:space="preserve">Implementation of the Pay Telephone Reclassification and Compensation Provisions of the </w:t>
      </w:r>
      <w:r>
        <w:rPr>
          <w:i/>
        </w:rPr>
        <w:t>T</w:t>
      </w:r>
      <w:r w:rsidRPr="000F77E4">
        <w:rPr>
          <w:i/>
        </w:rPr>
        <w:t>elecommunications Act of 1996</w:t>
      </w:r>
      <w:r w:rsidRPr="000F77E4">
        <w:t xml:space="preserve">, </w:t>
      </w:r>
      <w:r>
        <w:t xml:space="preserve">CC Docket Nos. 96-128, 91-35, </w:t>
      </w:r>
      <w:r w:rsidRPr="000F77E4">
        <w:t>Report and Order, 11 FCC Rcd 20541, 20573, para. 63</w:t>
      </w:r>
      <w:r>
        <w:t xml:space="preserve"> (1996) (</w:t>
      </w:r>
      <w:r w:rsidRPr="009A7FF6">
        <w:rPr>
          <w:i/>
        </w:rPr>
        <w:t>First Payphone Order</w:t>
      </w:r>
      <w:r>
        <w:t>)</w:t>
      </w:r>
      <w:r w:rsidRPr="000F77E4">
        <w:t>.</w:t>
      </w:r>
    </w:p>
  </w:footnote>
  <w:footnote w:id="11">
    <w:p w14:paraId="7ECC0AE2" w14:textId="77777777" w:rsidR="00FD7829" w:rsidRDefault="00FD7829" w:rsidP="008432A2">
      <w:pPr>
        <w:pStyle w:val="FootnoteText"/>
      </w:pPr>
      <w:r>
        <w:rPr>
          <w:rStyle w:val="FootnoteReference"/>
        </w:rPr>
        <w:footnoteRef/>
      </w:r>
      <w:r>
        <w:t xml:space="preserve"> </w:t>
      </w:r>
      <w:r>
        <w:rPr>
          <w:i/>
        </w:rPr>
        <w:t>See Declaratory Ruling</w:t>
      </w:r>
      <w:r>
        <w:t>, 27 FCC Rcd at 7376, para. 31 (“We recognize that coding digit failures and mistakes will occur.  However, if a Completing Carrier’s customer places a call on the PSP’s payphone, the legal obligation to compensate the PSP occurs when the called party answers the call.  The Completing Carrier must ensure that it compensates for all completed calls.”).</w:t>
      </w:r>
    </w:p>
  </w:footnote>
  <w:footnote w:id="12">
    <w:p w14:paraId="74CA7E81" w14:textId="0F9891BC" w:rsidR="00FD7829" w:rsidRDefault="00FD7829" w:rsidP="00867EF6">
      <w:pPr>
        <w:pStyle w:val="FootnoteText"/>
      </w:pPr>
      <w:r>
        <w:rPr>
          <w:rStyle w:val="FootnoteReference"/>
        </w:rPr>
        <w:footnoteRef/>
      </w:r>
      <w:r w:rsidR="001344CA">
        <w:t xml:space="preserve"> </w:t>
      </w:r>
      <w:r w:rsidR="001344CA" w:rsidRPr="00246B05">
        <w:t>U.S. South</w:t>
      </w:r>
      <w:r w:rsidRPr="00764A00">
        <w:t xml:space="preserve"> Reply</w:t>
      </w:r>
      <w:r>
        <w:t xml:space="preserve"> at 2</w:t>
      </w:r>
      <w:r w:rsidR="006E04A4">
        <w:t>–</w:t>
      </w:r>
      <w:r>
        <w:t xml:space="preserve">3 (stating that “monetary obligations applicable without regard to fault, notice or knowledge and that admit of no legal defense” constitute strict liability).   </w:t>
      </w:r>
    </w:p>
  </w:footnote>
  <w:footnote w:id="13">
    <w:p w14:paraId="17640530" w14:textId="77777777" w:rsidR="00FD7829" w:rsidRDefault="00FD7829" w:rsidP="00867EF6">
      <w:pPr>
        <w:pStyle w:val="FootnoteText"/>
      </w:pPr>
      <w:r>
        <w:rPr>
          <w:rStyle w:val="FootnoteReference"/>
        </w:rPr>
        <w:footnoteRef/>
      </w:r>
      <w:r>
        <w:t xml:space="preserve"> </w:t>
      </w:r>
      <w:r>
        <w:rPr>
          <w:i/>
        </w:rPr>
        <w:t>Declaratory Ruling</w:t>
      </w:r>
      <w:r>
        <w:t xml:space="preserve">, 27 FCC Rcd at 7372, para. 23. </w:t>
      </w:r>
    </w:p>
  </w:footnote>
  <w:footnote w:id="14">
    <w:p w14:paraId="7327D2AF" w14:textId="77777777" w:rsidR="00FD7829" w:rsidRPr="00686A68" w:rsidRDefault="00FD7829" w:rsidP="00E62670">
      <w:pPr>
        <w:pStyle w:val="FootnoteText"/>
      </w:pPr>
      <w:r>
        <w:rPr>
          <w:rStyle w:val="FootnoteReference"/>
        </w:rPr>
        <w:footnoteRef/>
      </w:r>
      <w:r>
        <w:t xml:space="preserve"> </w:t>
      </w:r>
      <w:r w:rsidRPr="00F40D99">
        <w:rPr>
          <w:i/>
        </w:rPr>
        <w:t xml:space="preserve">Implementation of the </w:t>
      </w:r>
      <w:r w:rsidRPr="00686A68">
        <w:rPr>
          <w:i/>
        </w:rPr>
        <w:t>Pay Telephone Reclassification and Compensation Provisions of the Telecommunications Act of 1996</w:t>
      </w:r>
      <w:r w:rsidRPr="00686A68">
        <w:t xml:space="preserve">, </w:t>
      </w:r>
      <w:r>
        <w:t xml:space="preserve">CC Docket No. 96-128, </w:t>
      </w:r>
      <w:r w:rsidRPr="00686A68">
        <w:t>Report and Order, 18 FCC Rcd 19975</w:t>
      </w:r>
      <w:r>
        <w:t>, 19991, para. 35 (2003) (</w:t>
      </w:r>
      <w:r w:rsidRPr="00C85A40">
        <w:rPr>
          <w:i/>
        </w:rPr>
        <w:t>2003 Tollgate Order</w:t>
      </w:r>
      <w:r>
        <w:t>).</w:t>
      </w:r>
    </w:p>
  </w:footnote>
  <w:footnote w:id="15">
    <w:p w14:paraId="59CA7204" w14:textId="6B1B9DC7" w:rsidR="00FD7829" w:rsidRDefault="00FD7829" w:rsidP="004A7FF1">
      <w:pPr>
        <w:pStyle w:val="FootnoteText"/>
      </w:pPr>
      <w:r>
        <w:rPr>
          <w:rStyle w:val="FootnoteReference"/>
        </w:rPr>
        <w:footnoteRef/>
      </w:r>
      <w:r>
        <w:t xml:space="preserve"> </w:t>
      </w:r>
      <w:r w:rsidR="001344CA" w:rsidRPr="00246B05">
        <w:t>U.S. South</w:t>
      </w:r>
      <w:r w:rsidRPr="00764A00">
        <w:t xml:space="preserve"> Reply</w:t>
      </w:r>
      <w:r>
        <w:t xml:space="preserve"> at 2</w:t>
      </w:r>
      <w:r w:rsidR="006E04A4">
        <w:t>–</w:t>
      </w:r>
      <w:r>
        <w:t>3</w:t>
      </w:r>
      <w:r w:rsidR="006E04A4">
        <w:t>.</w:t>
      </w:r>
      <w:r>
        <w:t xml:space="preserve"> </w:t>
      </w:r>
    </w:p>
  </w:footnote>
  <w:footnote w:id="16">
    <w:p w14:paraId="4684F9C4" w14:textId="77777777" w:rsidR="00FD7829" w:rsidRDefault="00FD7829" w:rsidP="00F806C9">
      <w:pPr>
        <w:pStyle w:val="FootnoteText"/>
      </w:pPr>
      <w:r>
        <w:rPr>
          <w:rStyle w:val="FootnoteReference"/>
        </w:rPr>
        <w:footnoteRef/>
      </w:r>
      <w:r>
        <w:t xml:space="preserve"> </w:t>
      </w:r>
      <w:r>
        <w:rPr>
          <w:i/>
        </w:rPr>
        <w:t>Declaratory Ruling</w:t>
      </w:r>
      <w:r>
        <w:t>, 27 FCC Rcd at 7363, para. 5.</w:t>
      </w:r>
    </w:p>
  </w:footnote>
  <w:footnote w:id="17">
    <w:p w14:paraId="766EA6C5" w14:textId="77777777" w:rsidR="005B3353" w:rsidRDefault="00FD7829" w:rsidP="009F7B7F">
      <w:pPr>
        <w:pStyle w:val="FootnoteText"/>
        <w:spacing w:before="120"/>
      </w:pPr>
      <w:r>
        <w:rPr>
          <w:rStyle w:val="FootnoteReference"/>
        </w:rPr>
        <w:footnoteRef/>
      </w:r>
      <w:r>
        <w:t xml:space="preserve"> 47 </w:t>
      </w:r>
      <w:r>
        <w:rPr>
          <w:snapToGrid w:val="0"/>
        </w:rPr>
        <w:t>C.F.R. § 64.1310</w:t>
      </w:r>
      <w:r w:rsidR="00EC482A">
        <w:rPr>
          <w:snapToGrid w:val="0"/>
        </w:rPr>
        <w:t>(d)–(f)</w:t>
      </w:r>
      <w:r w:rsidR="00D45831">
        <w:rPr>
          <w:snapToGrid w:val="0"/>
        </w:rPr>
        <w:t>.</w:t>
      </w:r>
    </w:p>
  </w:footnote>
  <w:footnote w:id="18">
    <w:p w14:paraId="0E00DA37" w14:textId="738E2796" w:rsidR="00FD7829" w:rsidRDefault="00FD7829" w:rsidP="00D63741">
      <w:pPr>
        <w:pStyle w:val="FootnoteText"/>
      </w:pPr>
      <w:r>
        <w:rPr>
          <w:rStyle w:val="FootnoteReference"/>
        </w:rPr>
        <w:footnoteRef/>
      </w:r>
      <w:r>
        <w:t xml:space="preserve"> </w:t>
      </w:r>
      <w:r>
        <w:rPr>
          <w:i/>
        </w:rPr>
        <w:t>Declaratory Ruling</w:t>
      </w:r>
      <w:r>
        <w:t xml:space="preserve">, 27 FCC Rcd at 7379, para. 35.  U.S. South also argues that requiring any payphone compensation irrespective of the transmission of payphone coding digits would make coding digits irrelevant, stranding investment, and nullifying the per-call compensation plan.  </w:t>
      </w:r>
      <w:r>
        <w:rPr>
          <w:i/>
        </w:rPr>
        <w:t>Application for Review</w:t>
      </w:r>
      <w:r>
        <w:t xml:space="preserve"> at 19.  We find this argument unpersuasive.  Coding digits remain a useful tool that Completing Carriers can use to track calls, even if there can be instances where they need to be supplemented with additional information to comply with the payphone compensation rules.  </w:t>
      </w:r>
      <w:r w:rsidR="001344CA">
        <w:t>Completing Carriers may</w:t>
      </w:r>
      <w:r w:rsidR="001344CA" w:rsidRPr="00F908EC">
        <w:t xml:space="preserve"> rely on any method to track payphone calls, but also have the option to reach an alternative compensation arrangement (ACA) with PSPs</w:t>
      </w:r>
      <w:r w:rsidR="001344CA">
        <w:t xml:space="preserve">.  </w:t>
      </w:r>
      <w:r w:rsidR="001344CA" w:rsidRPr="005A0C23">
        <w:rPr>
          <w:i/>
        </w:rPr>
        <w:t>See</w:t>
      </w:r>
      <w:r w:rsidR="001344CA" w:rsidRPr="00707317">
        <w:t xml:space="preserve"> 47 C.F.R. §§ 64.1310(a) and 64.1320(a</w:t>
      </w:r>
      <w:r w:rsidR="001344CA" w:rsidRPr="005A0C23">
        <w:rPr>
          <w:i/>
        </w:rPr>
        <w:t>); 2003 Tollgate Order</w:t>
      </w:r>
      <w:r w:rsidR="001344CA" w:rsidRPr="00707317">
        <w:t xml:space="preserve">, 18 FCC Rcd at 19994, 2000–01, paras. 39, 48.  </w:t>
      </w:r>
      <w:r>
        <w:t xml:space="preserve">The Bureau interpreted the Commission’s rules properly in the </w:t>
      </w:r>
      <w:r>
        <w:rPr>
          <w:i/>
        </w:rPr>
        <w:t>Declaratory Ruling</w:t>
      </w:r>
      <w:r w:rsidR="001344CA">
        <w:rPr>
          <w:i/>
        </w:rPr>
        <w:t xml:space="preserve">.  </w:t>
      </w:r>
      <w:r w:rsidR="001344CA">
        <w:t>The Commission’s rules give Completing Carriers various options to comply with our rules.  However</w:t>
      </w:r>
      <w:r>
        <w:t>, should there be evidence of disruption in the payphone industry, we would consider reexamining the payphone compensation rules through a rulemaking.</w:t>
      </w:r>
    </w:p>
  </w:footnote>
  <w:footnote w:id="19">
    <w:p w14:paraId="51C03331" w14:textId="77777777" w:rsidR="00FD7829" w:rsidRDefault="00FD7829" w:rsidP="00162838">
      <w:pPr>
        <w:spacing w:after="120"/>
      </w:pPr>
      <w:r w:rsidRPr="00C06612">
        <w:rPr>
          <w:rStyle w:val="FootnoteReference"/>
          <w:sz w:val="20"/>
          <w:szCs w:val="20"/>
        </w:rPr>
        <w:footnoteRef/>
      </w:r>
      <w:r w:rsidRPr="00C06612">
        <w:rPr>
          <w:sz w:val="20"/>
          <w:szCs w:val="20"/>
        </w:rPr>
        <w:t xml:space="preserve"> </w:t>
      </w:r>
      <w:r w:rsidRPr="00C06612">
        <w:rPr>
          <w:i/>
          <w:sz w:val="20"/>
          <w:szCs w:val="20"/>
        </w:rPr>
        <w:t xml:space="preserve">See </w:t>
      </w:r>
      <w:r w:rsidRPr="00C06612">
        <w:rPr>
          <w:sz w:val="20"/>
          <w:szCs w:val="20"/>
        </w:rPr>
        <w:t xml:space="preserve">47 U.S.C. § 415.  </w:t>
      </w:r>
    </w:p>
  </w:footnote>
  <w:footnote w:id="20">
    <w:p w14:paraId="5578B604" w14:textId="77777777" w:rsidR="00FD7829" w:rsidRDefault="00FD7829" w:rsidP="00C60C26">
      <w:pPr>
        <w:pStyle w:val="FootnoteText"/>
      </w:pPr>
      <w:r>
        <w:rPr>
          <w:rStyle w:val="FootnoteReference"/>
        </w:rPr>
        <w:footnoteRef/>
      </w:r>
      <w:r>
        <w:t xml:space="preserve"> </w:t>
      </w:r>
      <w:r>
        <w:rPr>
          <w:i/>
        </w:rPr>
        <w:t>See, e.g.</w:t>
      </w:r>
      <w:r>
        <w:t xml:space="preserve">, </w:t>
      </w:r>
      <w:r>
        <w:rPr>
          <w:i/>
        </w:rPr>
        <w:t>Declaratory Ruling</w:t>
      </w:r>
      <w:r>
        <w:t>, 27 FCC Rcd at 7378</w:t>
      </w:r>
      <w:r w:rsidR="00EC482A">
        <w:t>–</w:t>
      </w:r>
      <w:r>
        <w:t>79, paras. 34, 36.</w:t>
      </w:r>
    </w:p>
  </w:footnote>
  <w:footnote w:id="21">
    <w:p w14:paraId="12EBA1C8" w14:textId="158CC03E" w:rsidR="00FD7829" w:rsidRDefault="00FD7829" w:rsidP="00C60C26">
      <w:pPr>
        <w:pStyle w:val="FootnoteText"/>
      </w:pPr>
      <w:r>
        <w:rPr>
          <w:rStyle w:val="FootnoteReference"/>
        </w:rPr>
        <w:footnoteRef/>
      </w:r>
      <w:r>
        <w:t xml:space="preserve"> </w:t>
      </w:r>
      <w:r>
        <w:rPr>
          <w:i/>
        </w:rPr>
        <w:t xml:space="preserve">See </w:t>
      </w:r>
      <w:r w:rsidRPr="00E86E36">
        <w:rPr>
          <w:i/>
        </w:rPr>
        <w:t>2003 Tollgate Order</w:t>
      </w:r>
      <w:r w:rsidR="00EC482A">
        <w:t>, 18 FCC Rcd 19975</w:t>
      </w:r>
      <w:r>
        <w:t xml:space="preserve">; </w:t>
      </w:r>
      <w:r>
        <w:rPr>
          <w:i/>
        </w:rPr>
        <w:t xml:space="preserve">Pay Telephone Reclassification and Compensation Provisions of the Telecommunications Act of 1996, </w:t>
      </w:r>
      <w:r>
        <w:t xml:space="preserve">CC Docket No. 96-128, </w:t>
      </w:r>
      <w:r w:rsidRPr="00E86E36">
        <w:t>Order on Reconsideration</w:t>
      </w:r>
      <w:r>
        <w:t xml:space="preserve">, 19 FCC Rcd 21457 </w:t>
      </w:r>
      <w:r w:rsidR="009F745E">
        <w:t xml:space="preserve">(2004) </w:t>
      </w:r>
      <w:r w:rsidR="00B7236C" w:rsidRPr="00B7236C">
        <w:t>(</w:t>
      </w:r>
      <w:r w:rsidR="00B7236C" w:rsidRPr="00CE4CE1">
        <w:rPr>
          <w:i/>
        </w:rPr>
        <w:t>2004 Tollgate Reconsideration Order</w:t>
      </w:r>
      <w:r w:rsidR="00B7236C" w:rsidRPr="00B7236C">
        <w:t xml:space="preserve">) </w:t>
      </w:r>
      <w:r>
        <w:t xml:space="preserve">(placing the tracking and compensation obligations on Completing Carriers); </w:t>
      </w:r>
      <w:r>
        <w:rPr>
          <w:i/>
        </w:rPr>
        <w:t>s</w:t>
      </w:r>
      <w:r w:rsidRPr="00E514EF">
        <w:rPr>
          <w:i/>
        </w:rPr>
        <w:t xml:space="preserve">ee </w:t>
      </w:r>
      <w:r>
        <w:rPr>
          <w:i/>
        </w:rPr>
        <w:t xml:space="preserve">also, </w:t>
      </w:r>
      <w:r w:rsidRPr="00E514EF">
        <w:rPr>
          <w:i/>
        </w:rPr>
        <w:t>e.g.</w:t>
      </w:r>
      <w:r>
        <w:t xml:space="preserve">, </w:t>
      </w:r>
      <w:r w:rsidRPr="009A7FF6">
        <w:rPr>
          <w:i/>
        </w:rPr>
        <w:t>First Payphone Order</w:t>
      </w:r>
      <w:r>
        <w:t>, 11 FCC at 20575, para. 66 (indicating that coding digits are simply a method to “assist in identifying [payphones] to compensation payors</w:t>
      </w:r>
      <w:r w:rsidR="001344CA">
        <w:t>”);</w:t>
      </w:r>
      <w:r w:rsidR="00EC482A">
        <w:t xml:space="preserve"> </w:t>
      </w:r>
      <w:r w:rsidR="00E9447B" w:rsidRPr="009F7B7F">
        <w:rPr>
          <w:i/>
        </w:rPr>
        <w:t>1998 Coding Digits Order</w:t>
      </w:r>
      <w:r>
        <w:t xml:space="preserve">, 13 FCC Rcd </w:t>
      </w:r>
      <w:r w:rsidR="00EC482A">
        <w:t xml:space="preserve">at </w:t>
      </w:r>
      <w:r>
        <w:t>5009, 5048, paras.</w:t>
      </w:r>
      <w:r w:rsidR="00003985">
        <w:t xml:space="preserve"> </w:t>
      </w:r>
      <w:r>
        <w:t xml:space="preserve">17, 94 (same); </w:t>
      </w:r>
      <w:r w:rsidRPr="00E86E36">
        <w:rPr>
          <w:i/>
        </w:rPr>
        <w:t>2003 Tollgate Order</w:t>
      </w:r>
      <w:r>
        <w:t>, 18 FCC Rcd at 19994, para. 39 (stating that a Completing Carrier may use the technology of its choice to track coinless payphone calls to completion).</w:t>
      </w:r>
    </w:p>
  </w:footnote>
  <w:footnote w:id="22">
    <w:p w14:paraId="74AA1F77" w14:textId="77777777" w:rsidR="00FD7829" w:rsidRDefault="00FD7829" w:rsidP="00456044">
      <w:pPr>
        <w:pStyle w:val="FootnoteText"/>
      </w:pPr>
      <w:r>
        <w:rPr>
          <w:rStyle w:val="FootnoteReference"/>
          <w:sz w:val="20"/>
        </w:rPr>
        <w:footnoteRef/>
      </w:r>
      <w:r>
        <w:t xml:space="preserve"> </w:t>
      </w:r>
      <w:r>
        <w:rPr>
          <w:i/>
        </w:rPr>
        <w:t>2003 Tollgate Order</w:t>
      </w:r>
      <w:r w:rsidR="00E9447B" w:rsidRPr="009F7B7F">
        <w:t>,</w:t>
      </w:r>
      <w:r>
        <w:rPr>
          <w:i/>
        </w:rPr>
        <w:t xml:space="preserve"> </w:t>
      </w:r>
      <w:r>
        <w:t>18 FCC Rcd at 19988, para. 27 (stating that Completing Carriers “are the primary economic beneficiaries of coinless payphone calls transferred to their switch and because they possess the most accurate call completion information for such calls, it is appropriate as both a legal and policy matter to assign them liability under section 276 to fairly compensate the PSPs.”);</w:t>
      </w:r>
      <w:r w:rsidRPr="000C7A6A">
        <w:rPr>
          <w:i/>
        </w:rPr>
        <w:t xml:space="preserve"> </w:t>
      </w:r>
      <w:r w:rsidRPr="00F0263A">
        <w:rPr>
          <w:i/>
        </w:rPr>
        <w:t>Declaratory Ruling</w:t>
      </w:r>
      <w:r>
        <w:t xml:space="preserve">, 27 FCC Rcd at 7374, para. 26 (“The Commission </w:t>
      </w:r>
      <w:r w:rsidRPr="00E514EF">
        <w:t>has never said that Completing Carriers are excused from compensating PSPs for</w:t>
      </w:r>
      <w:r>
        <w:t xml:space="preserve"> </w:t>
      </w:r>
      <w:r w:rsidRPr="00E514EF">
        <w:t xml:space="preserve">completed calls that are not accompanied by Flex ANI or ANI ii coding digits. </w:t>
      </w:r>
      <w:r w:rsidR="00EC482A">
        <w:t xml:space="preserve"> </w:t>
      </w:r>
      <w:r w:rsidRPr="00E514EF">
        <w:t>That approach</w:t>
      </w:r>
      <w:r>
        <w:t xml:space="preserve"> </w:t>
      </w:r>
      <w:r w:rsidRPr="00E514EF">
        <w:t>could lead to an inequitable result because the PSP has the least visibility into and control over</w:t>
      </w:r>
      <w:r>
        <w:t xml:space="preserve"> </w:t>
      </w:r>
      <w:r w:rsidRPr="00E514EF">
        <w:t>the network</w:t>
      </w:r>
      <w:r>
        <w:t>.”).</w:t>
      </w:r>
    </w:p>
  </w:footnote>
  <w:footnote w:id="23">
    <w:p w14:paraId="3D85FFB5" w14:textId="593D4F07" w:rsidR="00FD7829" w:rsidRDefault="00FD7829" w:rsidP="00456044">
      <w:pPr>
        <w:pStyle w:val="FootnoteText"/>
      </w:pPr>
      <w:r>
        <w:rPr>
          <w:rStyle w:val="FootnoteReference"/>
        </w:rPr>
        <w:footnoteRef/>
      </w:r>
      <w:r>
        <w:t xml:space="preserve"> </w:t>
      </w:r>
      <w:r w:rsidRPr="00C85A40">
        <w:rPr>
          <w:i/>
        </w:rPr>
        <w:t>2003 Tollgate Order</w:t>
      </w:r>
      <w:r>
        <w:t>, 18 FCC Rcd at 19993, para. 38 (“</w:t>
      </w:r>
      <w:r w:rsidRPr="00201546">
        <w:t>We require that the comprehensive call tracking system should analyze the SBR switch data and produce accurate reports on payphone originated completed calls</w:t>
      </w:r>
      <w:r>
        <w:t xml:space="preserve">.”); </w:t>
      </w:r>
      <w:r>
        <w:rPr>
          <w:i/>
        </w:rPr>
        <w:t>Declaratory Ruling</w:t>
      </w:r>
      <w:r>
        <w:t xml:space="preserve">, 27 FCC Rcd at 7373, para. 24; 47 </w:t>
      </w:r>
      <w:r>
        <w:rPr>
          <w:snapToGrid w:val="0"/>
        </w:rPr>
        <w:t>C.F.R. § 64.1310(d)</w:t>
      </w:r>
      <w:r w:rsidR="00EC482A">
        <w:rPr>
          <w:snapToGrid w:val="0"/>
        </w:rPr>
        <w:t>–</w:t>
      </w:r>
      <w:r>
        <w:rPr>
          <w:snapToGrid w:val="0"/>
        </w:rPr>
        <w:t>(f)</w:t>
      </w:r>
      <w:r>
        <w:t xml:space="preserve">; </w:t>
      </w:r>
      <w:r>
        <w:rPr>
          <w:i/>
        </w:rPr>
        <w:t xml:space="preserve">see also </w:t>
      </w:r>
      <w:r>
        <w:t>APCC and GCB Joint Opposition at 3</w:t>
      </w:r>
      <w:r w:rsidR="00217092">
        <w:t>,</w:t>
      </w:r>
      <w:r>
        <w:t xml:space="preserve"> </w:t>
      </w:r>
      <w:r w:rsidR="00FA5B87">
        <w:t>n.</w:t>
      </w:r>
      <w:r w:rsidR="00217092">
        <w:t>6</w:t>
      </w:r>
      <w:r w:rsidR="00FA5B87">
        <w:t xml:space="preserve"> </w:t>
      </w:r>
      <w:r>
        <w:t>(stating that this process can be “done by computer processing of the two sets of data . . . comparing the ANIs in the call detail records to the ANIs on the LEC payphone list.”).</w:t>
      </w:r>
    </w:p>
  </w:footnote>
  <w:footnote w:id="24">
    <w:p w14:paraId="58AF96BF" w14:textId="200DA406" w:rsidR="00FD7829" w:rsidRPr="003C6323" w:rsidRDefault="00FD7829" w:rsidP="009F7B7F">
      <w:pPr>
        <w:spacing w:before="120" w:after="120"/>
        <w:rPr>
          <w:sz w:val="20"/>
          <w:szCs w:val="20"/>
        </w:rPr>
      </w:pPr>
      <w:r w:rsidRPr="003C6323">
        <w:rPr>
          <w:rStyle w:val="FootnoteReference"/>
          <w:sz w:val="20"/>
          <w:szCs w:val="20"/>
        </w:rPr>
        <w:footnoteRef/>
      </w:r>
      <w:r w:rsidRPr="003C6323">
        <w:rPr>
          <w:sz w:val="20"/>
          <w:szCs w:val="20"/>
        </w:rPr>
        <w:t xml:space="preserve"> 47 U.S.C. § 276(b)(1) (</w:t>
      </w:r>
      <w:r>
        <w:rPr>
          <w:sz w:val="20"/>
          <w:szCs w:val="20"/>
        </w:rPr>
        <w:t>“</w:t>
      </w:r>
      <w:r w:rsidRPr="003C6323">
        <w:rPr>
          <w:sz w:val="20"/>
          <w:szCs w:val="20"/>
        </w:rPr>
        <w:t xml:space="preserve">[T]he Commission shall take all actions necessary (including any reconsideration) to prescribe regulations that— </w:t>
      </w:r>
      <w:bookmarkStart w:id="105" w:name="b_1_A"/>
      <w:bookmarkEnd w:id="105"/>
      <w:r w:rsidRPr="003C6323">
        <w:rPr>
          <w:sz w:val="20"/>
          <w:szCs w:val="20"/>
        </w:rPr>
        <w:t>(A) establish a per call compensation plan to ensure that all payphone service providers are fairly compensated for each and every completed intrastate and interstate call using their payphone . . . .”)</w:t>
      </w:r>
      <w:r>
        <w:rPr>
          <w:sz w:val="20"/>
          <w:szCs w:val="20"/>
        </w:rPr>
        <w:t xml:space="preserve">; </w:t>
      </w:r>
      <w:r w:rsidRPr="00C85A40">
        <w:rPr>
          <w:i/>
          <w:sz w:val="20"/>
          <w:szCs w:val="20"/>
        </w:rPr>
        <w:t>see also</w:t>
      </w:r>
      <w:r w:rsidRPr="00C85A40">
        <w:rPr>
          <w:sz w:val="20"/>
          <w:szCs w:val="20"/>
        </w:rPr>
        <w:t xml:space="preserve"> GCB Reply Comments to Petition for Declaratory Ruling at 7</w:t>
      </w:r>
      <w:r w:rsidR="00891579">
        <w:rPr>
          <w:sz w:val="20"/>
          <w:szCs w:val="20"/>
        </w:rPr>
        <w:t xml:space="preserve">, n.12 </w:t>
      </w:r>
      <w:r w:rsidRPr="00C85A40">
        <w:rPr>
          <w:sz w:val="20"/>
          <w:szCs w:val="20"/>
        </w:rPr>
        <w:t>(“[U.S. South] admitted in this case that its contracts with the Intermediate Carrier, Level 3, did not require Level 3 to transmit payphone-specific coding digits to [U.S. South], that [U.S. South] had not even inquired of Level 3 whether Level 3 had ordered payphone-specific coding digits from the LEC, that U.S. South had done no testing with Level 3 to verify that U.S. South was receiving coding digits on all payphone calls, and that it never requested that Level 3 send it payphone-specific coding digits, despite the fact that U.S. South’s entire ability to accurately track payphone calls depended on receipt of the digits</w:t>
      </w:r>
      <w:r>
        <w:rPr>
          <w:sz w:val="20"/>
          <w:szCs w:val="20"/>
        </w:rPr>
        <w:t>.”)</w:t>
      </w:r>
      <w:r w:rsidRPr="00C85A40">
        <w:rPr>
          <w:sz w:val="20"/>
          <w:szCs w:val="20"/>
        </w:rPr>
        <w:t>; APCC</w:t>
      </w:r>
      <w:r>
        <w:rPr>
          <w:sz w:val="20"/>
          <w:szCs w:val="20"/>
        </w:rPr>
        <w:t xml:space="preserve"> and GCB</w:t>
      </w:r>
      <w:r w:rsidRPr="00C85A40">
        <w:rPr>
          <w:sz w:val="20"/>
          <w:szCs w:val="20"/>
        </w:rPr>
        <w:t xml:space="preserve"> Joint Opposition at 21, n.35</w:t>
      </w:r>
      <w:r w:rsidRPr="003C6323">
        <w:rPr>
          <w:sz w:val="20"/>
          <w:szCs w:val="20"/>
        </w:rPr>
        <w:t xml:space="preserve">. </w:t>
      </w:r>
    </w:p>
  </w:footnote>
  <w:footnote w:id="25">
    <w:p w14:paraId="63370EFA" w14:textId="77777777" w:rsidR="00FD7829" w:rsidRDefault="00FD7829" w:rsidP="00162838">
      <w:pPr>
        <w:pStyle w:val="FootnoteText"/>
      </w:pPr>
      <w:r>
        <w:rPr>
          <w:rStyle w:val="FootnoteReference"/>
        </w:rPr>
        <w:footnoteRef/>
      </w:r>
      <w:r>
        <w:t xml:space="preserve"> </w:t>
      </w:r>
      <w:r>
        <w:rPr>
          <w:i/>
        </w:rPr>
        <w:t>See, e.g.</w:t>
      </w:r>
      <w:r>
        <w:t xml:space="preserve">, </w:t>
      </w:r>
      <w:r>
        <w:rPr>
          <w:i/>
        </w:rPr>
        <w:t>Application for Review</w:t>
      </w:r>
      <w:r>
        <w:t xml:space="preserve"> at 2 (arguing that “as a matter of both comity and Commission authority, decisions in ‘primary jurisdiction’ cases referred from the federal courts should be made by the agency and its members themselves”). </w:t>
      </w:r>
    </w:p>
  </w:footnote>
  <w:footnote w:id="26">
    <w:p w14:paraId="524674BF" w14:textId="77777777" w:rsidR="00FD7829" w:rsidRDefault="00FD7829" w:rsidP="00162838">
      <w:pPr>
        <w:pStyle w:val="FootnoteText"/>
      </w:pPr>
      <w:r>
        <w:rPr>
          <w:rStyle w:val="FootnoteReference"/>
        </w:rPr>
        <w:footnoteRef/>
      </w:r>
      <w:r>
        <w:t xml:space="preserve"> </w:t>
      </w:r>
      <w:r>
        <w:rPr>
          <w:i/>
        </w:rPr>
        <w:t>See Motions for Declaratory Rulings Regarding Commission Rules and Policies for Frequency Coordination in the Private Land Mobile Radio Services</w:t>
      </w:r>
      <w:r>
        <w:t>, Memorandum Opinion and Order, 14 FCC Rcd 12752, 12758, para. 12 (1999).</w:t>
      </w:r>
    </w:p>
  </w:footnote>
  <w:footnote w:id="27">
    <w:p w14:paraId="73F99AC0" w14:textId="6BCC5446" w:rsidR="00FD7829" w:rsidRPr="00A24AF8" w:rsidRDefault="00FD7829" w:rsidP="00162838">
      <w:pPr>
        <w:pStyle w:val="FootnoteText"/>
      </w:pPr>
      <w:r>
        <w:rPr>
          <w:rStyle w:val="FootnoteReference"/>
        </w:rPr>
        <w:footnoteRef/>
      </w:r>
      <w:r>
        <w:t xml:space="preserve"> For example, APPPA asserts that:  “In the wake of the GCB Order, some APPPA members already have received compensation claims for large numbers of allegedly payphone-originated calls that were delivered without coding digits.  These payphone operators have shown no willingness to negotiate towards a viable solution to allow Prepaid Service Providers to offer their customers a valuable product that is economically viable</w:t>
      </w:r>
      <w:r w:rsidR="001344CA">
        <w:t xml:space="preserve"> . . . .</w:t>
      </w:r>
      <w:r>
        <w:t xml:space="preserve">  A clear going-forward regulatory solution is needed because both the payphone industry and the prepaid calling industry are characterized by large numbers of small companies operating on thin margins and lacking good access to information.”  APPPA Reply at 4</w:t>
      </w:r>
      <w:r w:rsidR="00FC6EBE">
        <w:rPr>
          <w:snapToGrid w:val="0"/>
        </w:rPr>
        <w:t>–</w:t>
      </w:r>
      <w:r>
        <w:t>5.  This constitutes a new argument that we dismiss as procedurally improper.  To the extent APPPA raises a policy issue, it is more appropriately addressed in a rulemaking proceeding.</w:t>
      </w:r>
    </w:p>
  </w:footnote>
  <w:footnote w:id="28">
    <w:p w14:paraId="49B2B002" w14:textId="79F75AD4" w:rsidR="00FD7829" w:rsidRDefault="00FD7829">
      <w:pPr>
        <w:pStyle w:val="FootnoteText"/>
      </w:pPr>
      <w:r>
        <w:rPr>
          <w:rStyle w:val="FootnoteReference"/>
        </w:rPr>
        <w:footnoteRef/>
      </w:r>
      <w:r>
        <w:t xml:space="preserve"> </w:t>
      </w:r>
      <w:r w:rsidRPr="00B64893">
        <w:t xml:space="preserve">Letter from </w:t>
      </w:r>
      <w:r>
        <w:t xml:space="preserve">L. </w:t>
      </w:r>
      <w:r w:rsidRPr="00B64893">
        <w:t xml:space="preserve">Charles Keller, Wilkinson Barker Knauer LLP, to Marlene H. Dortch, Secretary, FCC, </w:t>
      </w:r>
      <w:r>
        <w:t>WC Docket No. 11-141</w:t>
      </w:r>
      <w:r w:rsidR="00854254">
        <w:t>,</w:t>
      </w:r>
      <w:r>
        <w:t xml:space="preserve"> at 2 (filed </w:t>
      </w:r>
      <w:r w:rsidRPr="00B64893">
        <w:t>Jan</w:t>
      </w:r>
      <w:r>
        <w:t>.</w:t>
      </w:r>
      <w:r w:rsidRPr="00B64893">
        <w:t xml:space="preserve"> 28, 2013</w:t>
      </w:r>
      <w:r>
        <w:t>)</w:t>
      </w:r>
      <w:r w:rsidRPr="00B64893">
        <w:t xml:space="preserve"> (APPPA Jan. 28, 2013 </w:t>
      </w:r>
      <w:r w:rsidRPr="00182FB5">
        <w:rPr>
          <w:i/>
        </w:rPr>
        <w:t>Ex Parte</w:t>
      </w:r>
      <w:r>
        <w:t xml:space="preserve"> Letter</w:t>
      </w:r>
      <w:r w:rsidRPr="00B64893">
        <w:t>)</w:t>
      </w:r>
      <w:r w:rsidR="00400817">
        <w:t xml:space="preserve">; </w:t>
      </w:r>
      <w:r w:rsidR="00400817" w:rsidRPr="00400817">
        <w:t xml:space="preserve">Letter from L. Charles Keller, Wilkinson Barker Knauer LLP, to Marlene H. Dortch, Secretary, FCC, WC Docket No. 11-141 (filed Feb. 15, 2013) (APPPA Feb. 15, 2013 </w:t>
      </w:r>
      <w:r w:rsidR="00400817" w:rsidRPr="00F462D9">
        <w:rPr>
          <w:i/>
        </w:rPr>
        <w:t>Ex Parte</w:t>
      </w:r>
      <w:r w:rsidR="00400817" w:rsidRPr="00400817">
        <w:t xml:space="preserve"> Letter)</w:t>
      </w:r>
      <w:r>
        <w:t>.</w:t>
      </w:r>
    </w:p>
  </w:footnote>
  <w:footnote w:id="29">
    <w:p w14:paraId="63836730" w14:textId="60058026" w:rsidR="001344CA" w:rsidRDefault="001344CA" w:rsidP="004C6259">
      <w:pPr>
        <w:pStyle w:val="FootnoteText"/>
      </w:pPr>
      <w:r>
        <w:rPr>
          <w:rStyle w:val="FootnoteReference"/>
        </w:rPr>
        <w:footnoteRef/>
      </w:r>
      <w:r>
        <w:t xml:space="preserve"> </w:t>
      </w:r>
      <w:r w:rsidRPr="00246B05">
        <w:rPr>
          <w:i/>
        </w:rPr>
        <w:t>See</w:t>
      </w:r>
      <w:r>
        <w:t xml:space="preserve"> Letter from Albert H. Kramer, PLLC, American Public Communications Council, Inc., and APCC Services to Marlene H. Dortch, Secretary, FCC, WC Docket No. 11-141, at 1 (filed Feb. 12, 2013) (APCC Feb. </w:t>
      </w:r>
      <w:r w:rsidR="0087593E">
        <w:t>1</w:t>
      </w:r>
      <w:r>
        <w:t xml:space="preserve">2, 2013 </w:t>
      </w:r>
      <w:r w:rsidRPr="00827741">
        <w:rPr>
          <w:i/>
        </w:rPr>
        <w:t>Ex Parte</w:t>
      </w:r>
      <w:r>
        <w:t xml:space="preserve"> Letter) (“Neither U.S. South nor APPPA nor any other commenter raised the issue of retroactivity in the proceeding below</w:t>
      </w:r>
      <w:r w:rsidR="00C227A9">
        <w:t>.</w:t>
      </w:r>
      <w:r>
        <w:t>”).</w:t>
      </w:r>
    </w:p>
  </w:footnote>
  <w:footnote w:id="30">
    <w:p w14:paraId="67172B18" w14:textId="77777777" w:rsidR="00FD7829" w:rsidRPr="00CD0930" w:rsidRDefault="00FD7829" w:rsidP="00246B05">
      <w:pPr>
        <w:pStyle w:val="FootnoteText"/>
      </w:pPr>
      <w:r>
        <w:rPr>
          <w:rStyle w:val="FootnoteReference"/>
        </w:rPr>
        <w:footnoteRef/>
      </w:r>
      <w:r>
        <w:t xml:space="preserve"> </w:t>
      </w:r>
      <w:r w:rsidR="009311AC">
        <w:rPr>
          <w:i/>
        </w:rPr>
        <w:t xml:space="preserve">See supra </w:t>
      </w:r>
      <w:r w:rsidR="009311AC">
        <w:t>paras. 2</w:t>
      </w:r>
      <w:r w:rsidR="00003985">
        <w:rPr>
          <w:snapToGrid w:val="0"/>
        </w:rPr>
        <w:t>–</w:t>
      </w:r>
      <w:r w:rsidR="00BB4BCD">
        <w:t>4</w:t>
      </w:r>
      <w:r w:rsidR="009311AC">
        <w:t>; 47 U.S.C. § 276(b)(1)(A) (</w:t>
      </w:r>
      <w:r w:rsidR="009311AC" w:rsidRPr="009E1EB5">
        <w:t>mandat</w:t>
      </w:r>
      <w:r w:rsidR="009311AC">
        <w:t>ing</w:t>
      </w:r>
      <w:r w:rsidR="009311AC" w:rsidRPr="009E1EB5">
        <w:t xml:space="preserve"> that the Commission’s rules ensure that PSPs are </w:t>
      </w:r>
      <w:r w:rsidR="009311AC">
        <w:t xml:space="preserve">“fairly </w:t>
      </w:r>
      <w:r w:rsidR="009311AC" w:rsidRPr="009E1EB5">
        <w:t xml:space="preserve">compensated for each and every completed intrastate and interstate call using their payphone . . . .” </w:t>
      </w:r>
      <w:r w:rsidR="009311AC">
        <w:t>)</w:t>
      </w:r>
      <w:r w:rsidR="005C38A7">
        <w:t xml:space="preserve">; </w:t>
      </w:r>
      <w:r w:rsidR="005C38A7">
        <w:rPr>
          <w:i/>
        </w:rPr>
        <w:t>s</w:t>
      </w:r>
      <w:r w:rsidR="009311AC">
        <w:rPr>
          <w:i/>
        </w:rPr>
        <w:t>ee also</w:t>
      </w:r>
      <w:r w:rsidR="009311AC">
        <w:t xml:space="preserve"> </w:t>
      </w:r>
      <w:r w:rsidR="009311AC">
        <w:rPr>
          <w:i/>
        </w:rPr>
        <w:t>NetworkIP v. FCC</w:t>
      </w:r>
      <w:r w:rsidR="009311AC">
        <w:t xml:space="preserve">, 548 F.3d 116, 123 (D.C. Cir. 2008) (observing </w:t>
      </w:r>
      <w:r w:rsidR="009311AC" w:rsidRPr="00E149B1">
        <w:t>“</w:t>
      </w:r>
      <w:r w:rsidR="009311AC">
        <w:t>[t]</w:t>
      </w:r>
      <w:r w:rsidR="009311AC" w:rsidRPr="00E149B1">
        <w:t>hat NET has an unwinnable case under the retroactivity line is obvious; the correctness of NET’s interpretation was anything but ‘settled’, and many PSPs will be harmed if NET escapes liability.</w:t>
      </w:r>
      <w:r w:rsidR="009311AC">
        <w:t>”);</w:t>
      </w:r>
      <w:r w:rsidR="009311AC">
        <w:rPr>
          <w:i/>
        </w:rPr>
        <w:t xml:space="preserve"> Qwest v. FCC</w:t>
      </w:r>
      <w:r w:rsidR="009311AC">
        <w:t xml:space="preserve">, 509 F.3d 531, 540 (D.C. Cir. 2007) (observing that the Commission may not ignore the impact on parties of </w:t>
      </w:r>
      <w:r w:rsidR="009311AC">
        <w:rPr>
          <w:i/>
        </w:rPr>
        <w:t>failing</w:t>
      </w:r>
      <w:r w:rsidR="009311AC">
        <w:t xml:space="preserve"> to apply adjudicatory decisions retroactively in finding no manifest injustice in retroactively applying a declaratory ruling holding that prepaid calling card providers were subject to access charges).</w:t>
      </w:r>
    </w:p>
  </w:footnote>
  <w:footnote w:id="31">
    <w:p w14:paraId="7EDD26E9" w14:textId="00A835BB" w:rsidR="009311AC" w:rsidRPr="00D14B0C" w:rsidRDefault="009311AC">
      <w:pPr>
        <w:pStyle w:val="FootnoteText"/>
      </w:pPr>
      <w:r>
        <w:rPr>
          <w:rStyle w:val="FootnoteReference"/>
        </w:rPr>
        <w:footnoteRef/>
      </w:r>
      <w:r>
        <w:t xml:space="preserve"> We thus find the circumstances here distinguishable from those in </w:t>
      </w:r>
      <w:r w:rsidR="005C38A7">
        <w:t xml:space="preserve">the </w:t>
      </w:r>
      <w:r w:rsidRPr="00E149B1">
        <w:rPr>
          <w:i/>
        </w:rPr>
        <w:t xml:space="preserve">Arya </w:t>
      </w:r>
      <w:r w:rsidR="006A4170">
        <w:rPr>
          <w:i/>
        </w:rPr>
        <w:t>Order on Reconsideration</w:t>
      </w:r>
      <w:r w:rsidR="006A4170">
        <w:t xml:space="preserve"> </w:t>
      </w:r>
      <w:r>
        <w:t xml:space="preserve">relied on by APPPA.  </w:t>
      </w:r>
      <w:r>
        <w:rPr>
          <w:i/>
        </w:rPr>
        <w:t xml:space="preserve">See </w:t>
      </w:r>
      <w:r>
        <w:t xml:space="preserve">APPPA Jan. 28, 2013 </w:t>
      </w:r>
      <w:r w:rsidRPr="009E1EB5">
        <w:rPr>
          <w:i/>
        </w:rPr>
        <w:t>Ex Parte</w:t>
      </w:r>
      <w:r>
        <w:t xml:space="preserve"> </w:t>
      </w:r>
      <w:r w:rsidR="004F6360">
        <w:t>L</w:t>
      </w:r>
      <w:r>
        <w:t>etter at 2-3</w:t>
      </w:r>
      <w:r w:rsidR="006A4170" w:rsidRPr="00DC2558">
        <w:t>;</w:t>
      </w:r>
      <w:r w:rsidR="006A4170" w:rsidRPr="002F0C4D">
        <w:rPr>
          <w:i/>
        </w:rPr>
        <w:t xml:space="preserve"> </w:t>
      </w:r>
      <w:r w:rsidR="002F4D8D" w:rsidRPr="00F462D9">
        <w:t>APPPA Feb. 15, 2013</w:t>
      </w:r>
      <w:r w:rsidR="002F4D8D" w:rsidRPr="002F4D8D">
        <w:rPr>
          <w:i/>
        </w:rPr>
        <w:t xml:space="preserve"> Ex Parte </w:t>
      </w:r>
      <w:r w:rsidR="002F4D8D" w:rsidRPr="00F462D9">
        <w:t>Letter</w:t>
      </w:r>
      <w:r w:rsidR="002F4D8D" w:rsidRPr="002F4D8D">
        <w:rPr>
          <w:i/>
        </w:rPr>
        <w:t xml:space="preserve"> </w:t>
      </w:r>
      <w:r w:rsidR="002F4D8D">
        <w:t xml:space="preserve">at 3; </w:t>
      </w:r>
      <w:r w:rsidR="00DC2558" w:rsidRPr="002F0C4D">
        <w:rPr>
          <w:i/>
        </w:rPr>
        <w:t>Federal-State Joint Board on Universal Service</w:t>
      </w:r>
      <w:r w:rsidR="00DC2558">
        <w:rPr>
          <w:i/>
        </w:rPr>
        <w:t>;</w:t>
      </w:r>
      <w:r w:rsidR="00DC2558" w:rsidRPr="002F0C4D">
        <w:rPr>
          <w:i/>
        </w:rPr>
        <w:t xml:space="preserve"> Access Charge Reform</w:t>
      </w:r>
      <w:r w:rsidR="00DC2558">
        <w:rPr>
          <w:i/>
        </w:rPr>
        <w:t xml:space="preserve">; </w:t>
      </w:r>
      <w:r w:rsidR="00DC2558" w:rsidRPr="002F0C4D">
        <w:rPr>
          <w:i/>
        </w:rPr>
        <w:t>Universal Service Contribution Methodology</w:t>
      </w:r>
      <w:r w:rsidR="00DC2558">
        <w:rPr>
          <w:i/>
        </w:rPr>
        <w:t>;</w:t>
      </w:r>
      <w:r w:rsidR="00DC2558" w:rsidRPr="002F0C4D">
        <w:rPr>
          <w:i/>
        </w:rPr>
        <w:t xml:space="preserve"> Petition for Reconsideration and Clarification of the Fifth Circuit Remand Order of BellSouth Corporation</w:t>
      </w:r>
      <w:r w:rsidR="00DC2558">
        <w:rPr>
          <w:i/>
        </w:rPr>
        <w:t>;</w:t>
      </w:r>
      <w:r w:rsidR="00DC2558" w:rsidRPr="002105EC">
        <w:rPr>
          <w:i/>
        </w:rPr>
        <w:t xml:space="preserve"> </w:t>
      </w:r>
      <w:r w:rsidR="00DC2558" w:rsidRPr="002F0C4D">
        <w:rPr>
          <w:i/>
        </w:rPr>
        <w:t>Petition for Reconsideration of the Fifth Circuit Remand Order of Arya Communications International Corporation</w:t>
      </w:r>
      <w:r w:rsidR="00DC2558">
        <w:rPr>
          <w:i/>
        </w:rPr>
        <w:t>;</w:t>
      </w:r>
      <w:r w:rsidR="00DC2558" w:rsidRPr="002F0C4D">
        <w:rPr>
          <w:i/>
        </w:rPr>
        <w:t xml:space="preserve"> Joint Request for Review of Decision of Universal Service Administrator of Cable Plus L.P. and MultiTechnology Services, L.P.</w:t>
      </w:r>
      <w:r w:rsidR="00DC2558">
        <w:rPr>
          <w:i/>
        </w:rPr>
        <w:t>;</w:t>
      </w:r>
      <w:r w:rsidR="00DC2558" w:rsidRPr="002F0C4D">
        <w:rPr>
          <w:i/>
        </w:rPr>
        <w:t xml:space="preserve"> Request for Review of Pan Am Wireless, Inc., and Request for Review of USA Global Link, Inc</w:t>
      </w:r>
      <w:r w:rsidR="00DC2558" w:rsidRPr="00DC2558">
        <w:t>., WC Docket No. 06-122, CC Docket Nos. 96-45</w:t>
      </w:r>
      <w:r w:rsidR="00DC2558">
        <w:t>,</w:t>
      </w:r>
      <w:r w:rsidR="00DC2558" w:rsidRPr="00DC2558">
        <w:t xml:space="preserve"> 96-262</w:t>
      </w:r>
      <w:r w:rsidR="006A4170" w:rsidRPr="006A4170">
        <w:t xml:space="preserve">, </w:t>
      </w:r>
      <w:r w:rsidR="00204F36">
        <w:t xml:space="preserve">Order on Reconsideration, </w:t>
      </w:r>
      <w:r w:rsidR="006A4170" w:rsidRPr="006A4170">
        <w:t>23 FCC Rcd 6221 (2008) (</w:t>
      </w:r>
      <w:r w:rsidR="006A4170" w:rsidRPr="002F0C4D">
        <w:rPr>
          <w:i/>
        </w:rPr>
        <w:t>Arya Order</w:t>
      </w:r>
      <w:r w:rsidR="006A4170" w:rsidRPr="002105EC">
        <w:rPr>
          <w:i/>
        </w:rPr>
        <w:t xml:space="preserve"> on </w:t>
      </w:r>
      <w:r w:rsidR="006A4170" w:rsidRPr="002F0C4D">
        <w:rPr>
          <w:i/>
        </w:rPr>
        <w:t>Reconsideration</w:t>
      </w:r>
      <w:r w:rsidR="006A4170" w:rsidRPr="006A4170">
        <w:t>)</w:t>
      </w:r>
      <w:r>
        <w:t xml:space="preserve">.  </w:t>
      </w:r>
      <w:r w:rsidR="00DC2558">
        <w:t xml:space="preserve">The </w:t>
      </w:r>
      <w:r w:rsidRPr="008230AE">
        <w:rPr>
          <w:i/>
        </w:rPr>
        <w:t>Arya</w:t>
      </w:r>
      <w:r w:rsidRPr="00053CBE">
        <w:t xml:space="preserve"> </w:t>
      </w:r>
      <w:r w:rsidR="00DC2558" w:rsidRPr="002F0C4D">
        <w:rPr>
          <w:i/>
        </w:rPr>
        <w:t>Order on Reconsideration</w:t>
      </w:r>
      <w:r w:rsidR="00DC2558">
        <w:t xml:space="preserve"> </w:t>
      </w:r>
      <w:r>
        <w:t xml:space="preserve">involved a Commission finding of </w:t>
      </w:r>
      <w:r w:rsidRPr="00053CBE">
        <w:t xml:space="preserve">certain harm </w:t>
      </w:r>
      <w:r w:rsidR="00443957">
        <w:t xml:space="preserve">to </w:t>
      </w:r>
      <w:r w:rsidRPr="00053CBE">
        <w:t xml:space="preserve">current </w:t>
      </w:r>
      <w:r>
        <w:t>universal service</w:t>
      </w:r>
      <w:r w:rsidRPr="00053CBE">
        <w:t xml:space="preserve"> contributors</w:t>
      </w:r>
      <w:r w:rsidR="001344CA">
        <w:t xml:space="preserve"> if they were required to pay an estimated $1.6 billion to address improper universal service contributions made a decade earlier</w:t>
      </w:r>
      <w:r w:rsidRPr="00053CBE">
        <w:t xml:space="preserve">, with only speculative benefits to past </w:t>
      </w:r>
      <w:r>
        <w:t>universal service</w:t>
      </w:r>
      <w:r w:rsidRPr="00053CBE">
        <w:t xml:space="preserve"> contributors</w:t>
      </w:r>
      <w:r>
        <w:t xml:space="preserve"> if the decision applied retroactively</w:t>
      </w:r>
      <w:r w:rsidR="008D5940">
        <w:t>–</w:t>
      </w:r>
      <w:r w:rsidR="00D14B0C">
        <w:t xml:space="preserve">which the Commission </w:t>
      </w:r>
      <w:r w:rsidRPr="00053CBE">
        <w:t xml:space="preserve">found inconsistent with the objectives of section 254 of the Act.  </w:t>
      </w:r>
      <w:r w:rsidRPr="008230AE">
        <w:rPr>
          <w:i/>
        </w:rPr>
        <w:t xml:space="preserve">See generally </w:t>
      </w:r>
      <w:r w:rsidR="00DC2558" w:rsidRPr="00DC2558">
        <w:rPr>
          <w:i/>
        </w:rPr>
        <w:t>Arya Order on Reconsideration</w:t>
      </w:r>
      <w:r w:rsidRPr="00053CBE">
        <w:t>, 23 FCC Rcd at 6227</w:t>
      </w:r>
      <w:r w:rsidR="00204F36">
        <w:t>–</w:t>
      </w:r>
      <w:r w:rsidRPr="00053CBE">
        <w:t xml:space="preserve">29, paras. </w:t>
      </w:r>
      <w:r w:rsidR="001344CA" w:rsidRPr="00053CBE">
        <w:t>15</w:t>
      </w:r>
      <w:r w:rsidR="001344CA">
        <w:t>–</w:t>
      </w:r>
      <w:r w:rsidR="001344CA" w:rsidRPr="00053CBE">
        <w:t>20</w:t>
      </w:r>
      <w:r w:rsidR="001344CA">
        <w:t xml:space="preserve">; </w:t>
      </w:r>
      <w:r w:rsidR="001344CA" w:rsidRPr="006D76B8">
        <w:rPr>
          <w:i/>
        </w:rPr>
        <w:t>see also</w:t>
      </w:r>
      <w:r w:rsidR="001344CA">
        <w:t xml:space="preserve"> APCC Feb.</w:t>
      </w:r>
      <w:r w:rsidR="0087593E">
        <w:t>1</w:t>
      </w:r>
      <w:r w:rsidR="001344CA">
        <w:t xml:space="preserve">2, 2013 </w:t>
      </w:r>
      <w:r w:rsidR="001344CA" w:rsidRPr="00827741">
        <w:rPr>
          <w:i/>
        </w:rPr>
        <w:t>Ex Parte</w:t>
      </w:r>
      <w:r w:rsidR="008C6C77">
        <w:t xml:space="preserve"> Letter at 5, n.</w:t>
      </w:r>
      <w:r w:rsidR="001344CA">
        <w:t>10</w:t>
      </w:r>
      <w:r w:rsidR="001344CA" w:rsidRPr="00053CBE">
        <w:t xml:space="preserve">. </w:t>
      </w:r>
      <w:r w:rsidRPr="00053CBE">
        <w:t xml:space="preserve">  Here, by contrast, APPPA cites speculative harms</w:t>
      </w:r>
      <w:r>
        <w:t xml:space="preserve"> from retroactivity, balanced against clear benefits to PSPs </w:t>
      </w:r>
      <w:r w:rsidR="001344CA">
        <w:t>through compensation for completed calls within the two</w:t>
      </w:r>
      <w:r w:rsidR="00241CCB">
        <w:t>-</w:t>
      </w:r>
      <w:r w:rsidR="001344CA">
        <w:t xml:space="preserve">year statute of limitations </w:t>
      </w:r>
      <w:r>
        <w:t>and the advancement of section 276(b)(1)(A) of the Act.</w:t>
      </w:r>
      <w:r w:rsidR="00D14B0C">
        <w:t xml:space="preserve">  </w:t>
      </w:r>
    </w:p>
  </w:footnote>
  <w:footnote w:id="32">
    <w:p w14:paraId="052AA7C4" w14:textId="4D953CB3" w:rsidR="00FD7829" w:rsidRDefault="00FD7829" w:rsidP="00FF6C40">
      <w:pPr>
        <w:pStyle w:val="FootnoteText"/>
      </w:pPr>
      <w:r>
        <w:rPr>
          <w:rStyle w:val="FootnoteReference"/>
        </w:rPr>
        <w:footnoteRef/>
      </w:r>
      <w:r>
        <w:t xml:space="preserve"> </w:t>
      </w:r>
      <w:r w:rsidRPr="00162838">
        <w:rPr>
          <w:i/>
        </w:rPr>
        <w:t>First Payphone Order</w:t>
      </w:r>
      <w:r>
        <w:t>, 11 FCC Rcd at 20584, para. 8</w:t>
      </w:r>
      <w:r w:rsidR="000F6C98">
        <w:t>3</w:t>
      </w:r>
      <w:r>
        <w:t xml:space="preserve"> (“Although some commenters would have the Commission limit the ways in which carriers could recover the cost-of per-call compensation, we conclude that the market place will determine, over time, the appropriate options for recovering these costs.  In addition, under the carrier-pays system, individual carriers, while obligated to pay a specified per-call rate to PSPs, have the option of recovering either a different amount from their customers, including no amount at all</w:t>
      </w:r>
      <w:r w:rsidR="001344CA">
        <w:t xml:space="preserve">.”); </w:t>
      </w:r>
      <w:r w:rsidR="001344CA" w:rsidRPr="006D76B8">
        <w:rPr>
          <w:i/>
        </w:rPr>
        <w:t>see also</w:t>
      </w:r>
      <w:r w:rsidR="001344CA">
        <w:t xml:space="preserve"> APCC Feb. </w:t>
      </w:r>
      <w:r w:rsidR="0087593E">
        <w:t>1</w:t>
      </w:r>
      <w:r w:rsidR="001344CA">
        <w:t xml:space="preserve">2, 2013 </w:t>
      </w:r>
      <w:r w:rsidR="001344CA" w:rsidRPr="00827741">
        <w:rPr>
          <w:i/>
        </w:rPr>
        <w:t>Ex Parte</w:t>
      </w:r>
      <w:r w:rsidR="001344CA">
        <w:t xml:space="preserve"> Letter at </w:t>
      </w:r>
      <w:r w:rsidR="0087593E">
        <w:t>4</w:t>
      </w:r>
      <w:r w:rsidR="001344CA">
        <w:t>–</w:t>
      </w:r>
      <w:r w:rsidR="0087593E">
        <w:t>5</w:t>
      </w:r>
      <w:r w:rsidR="001344CA">
        <w:t xml:space="preserve"> (stating that </w:t>
      </w:r>
      <w:r w:rsidR="001344CA" w:rsidRPr="00246B05">
        <w:t xml:space="preserve">“all retroactive charges imposed on carriers necessarily burden a later class of users than the users whose carriage caused the liability. </w:t>
      </w:r>
      <w:r w:rsidR="001344CA">
        <w:t xml:space="preserve"> </w:t>
      </w:r>
      <w:r w:rsidR="001344CA" w:rsidRPr="00246B05">
        <w:t>No carrier has a static class of users.”</w:t>
      </w:r>
      <w:r w:rsidR="001344CA">
        <w:t>).</w:t>
      </w:r>
    </w:p>
  </w:footnote>
  <w:footnote w:id="33">
    <w:p w14:paraId="6C3AB0CE" w14:textId="136CE9BF" w:rsidR="001344CA" w:rsidRPr="000D132B" w:rsidRDefault="001344CA" w:rsidP="000E6B28">
      <w:pPr>
        <w:pStyle w:val="FootnoteText"/>
      </w:pPr>
      <w:r>
        <w:rPr>
          <w:rStyle w:val="FootnoteReference"/>
        </w:rPr>
        <w:footnoteRef/>
      </w:r>
      <w:r>
        <w:t xml:space="preserve"> </w:t>
      </w:r>
      <w:r w:rsidRPr="0007413E">
        <w:t xml:space="preserve">APPPA Jan. 28, 2013 </w:t>
      </w:r>
      <w:r w:rsidRPr="001A5CB4">
        <w:rPr>
          <w:i/>
        </w:rPr>
        <w:t>Ex Parte</w:t>
      </w:r>
      <w:r w:rsidRPr="0007413E">
        <w:t xml:space="preserve"> </w:t>
      </w:r>
      <w:r>
        <w:t>L</w:t>
      </w:r>
      <w:r w:rsidRPr="0007413E">
        <w:t>etter</w:t>
      </w:r>
      <w:r>
        <w:t xml:space="preserve"> at 2 &amp; Attach. 2 at 1</w:t>
      </w:r>
      <w:r w:rsidR="000D132B">
        <w:t xml:space="preserve">; </w:t>
      </w:r>
      <w:r w:rsidR="000D132B">
        <w:rPr>
          <w:i/>
        </w:rPr>
        <w:t xml:space="preserve">see also </w:t>
      </w:r>
      <w:r w:rsidR="000D132B" w:rsidRPr="00F462D9">
        <w:t xml:space="preserve">APPPA </w:t>
      </w:r>
      <w:r w:rsidR="000D132B">
        <w:t>Feb</w:t>
      </w:r>
      <w:r w:rsidR="000D132B" w:rsidRPr="00F462D9">
        <w:t xml:space="preserve">. </w:t>
      </w:r>
      <w:r w:rsidR="000D132B">
        <w:t>15</w:t>
      </w:r>
      <w:r w:rsidR="000D132B" w:rsidRPr="00F462D9">
        <w:t xml:space="preserve">, 2013 </w:t>
      </w:r>
      <w:r w:rsidR="000D132B" w:rsidRPr="000D132B">
        <w:rPr>
          <w:i/>
        </w:rPr>
        <w:t>Ex Parte</w:t>
      </w:r>
      <w:r w:rsidR="000D132B" w:rsidRPr="00F462D9">
        <w:t xml:space="preserve"> Letter</w:t>
      </w:r>
      <w:r w:rsidR="00400817">
        <w:t xml:space="preserve"> at 2</w:t>
      </w:r>
      <w:r w:rsidRPr="000D132B">
        <w:t xml:space="preserve">.  </w:t>
      </w:r>
    </w:p>
  </w:footnote>
  <w:footnote w:id="34">
    <w:p w14:paraId="5072CC10" w14:textId="465A43E9" w:rsidR="00EC57FF" w:rsidRDefault="00EC57FF" w:rsidP="00EC57FF">
      <w:pPr>
        <w:pStyle w:val="FootnoteText"/>
      </w:pPr>
      <w:r>
        <w:rPr>
          <w:rStyle w:val="FootnoteReference"/>
        </w:rPr>
        <w:footnoteRef/>
      </w:r>
      <w:r w:rsidR="001344CA">
        <w:t xml:space="preserve"> </w:t>
      </w:r>
      <w:r w:rsidR="001344CA" w:rsidRPr="00BC630A">
        <w:rPr>
          <w:i/>
        </w:rPr>
        <w:t>See</w:t>
      </w:r>
      <w:r w:rsidR="001344CA">
        <w:t xml:space="preserve"> APCC Feb. </w:t>
      </w:r>
      <w:r w:rsidR="0087593E">
        <w:t>1</w:t>
      </w:r>
      <w:r w:rsidR="001344CA">
        <w:t xml:space="preserve">2, 2013 </w:t>
      </w:r>
      <w:r w:rsidR="001344CA" w:rsidRPr="00827741">
        <w:rPr>
          <w:i/>
        </w:rPr>
        <w:t>Ex Parte</w:t>
      </w:r>
      <w:r w:rsidR="001344CA">
        <w:t xml:space="preserve"> Letter at</w:t>
      </w:r>
      <w:r w:rsidR="0087593E">
        <w:t xml:space="preserve"> 6</w:t>
      </w:r>
      <w:r w:rsidR="000D132B">
        <w:t>, n.15</w:t>
      </w:r>
      <w:r w:rsidR="001344CA">
        <w:t xml:space="preserve"> (stating “[t]</w:t>
      </w:r>
      <w:r w:rsidR="001344CA" w:rsidRPr="00412AC9">
        <w:t xml:space="preserve">he only source of the numbers is a single prepaid provider’s estimate, including his estimate of the current industry average payphone surcharge. </w:t>
      </w:r>
      <w:r w:rsidR="00241CCB">
        <w:t xml:space="preserve"> </w:t>
      </w:r>
      <w:r w:rsidR="001344CA" w:rsidRPr="00412AC9">
        <w:t>Such a single data point’s reliability is inherently suspect.</w:t>
      </w:r>
      <w:r w:rsidR="00DF6F58">
        <w:t>”</w:t>
      </w:r>
      <w:r w:rsidR="0066338A">
        <w:t>)</w:t>
      </w:r>
      <w:r w:rsidR="00DF6F58">
        <w:t xml:space="preserve">; </w:t>
      </w:r>
      <w:r w:rsidR="00DF6F58">
        <w:rPr>
          <w:i/>
        </w:rPr>
        <w:t xml:space="preserve">see also </w:t>
      </w:r>
      <w:r w:rsidR="00DF6F58" w:rsidRPr="00DF6F58">
        <w:t xml:space="preserve">Letter from Albert H. Kramer, PLLC, American Public Communications Council, Inc., and APCC Services to Marlene H. Dortch, Secretary, FCC, WC Docket No. 11-141, at </w:t>
      </w:r>
      <w:r w:rsidR="00DF6F58">
        <w:t>2</w:t>
      </w:r>
      <w:r w:rsidR="00DF6F58" w:rsidRPr="00DF6F58">
        <w:t xml:space="preserve"> (filed Feb. </w:t>
      </w:r>
      <w:r w:rsidR="00DF6F58">
        <w:t>2</w:t>
      </w:r>
      <w:r w:rsidR="00DF6F58" w:rsidRPr="00DF6F58">
        <w:t>2, 2013)</w:t>
      </w:r>
      <w:r w:rsidR="00DF6F58">
        <w:t xml:space="preserve"> </w:t>
      </w:r>
      <w:r w:rsidR="002F4D8D">
        <w:t xml:space="preserve">(APCC Feb. 22, 2013 </w:t>
      </w:r>
      <w:r w:rsidR="002F4D8D">
        <w:rPr>
          <w:i/>
        </w:rPr>
        <w:t xml:space="preserve">Ex Parte </w:t>
      </w:r>
      <w:r w:rsidR="002F4D8D">
        <w:t>Letter)</w:t>
      </w:r>
      <w:r w:rsidR="001344CA">
        <w:t xml:space="preserve">.  </w:t>
      </w:r>
    </w:p>
  </w:footnote>
  <w:footnote w:id="35">
    <w:p w14:paraId="5F0B750D" w14:textId="783293BB" w:rsidR="00FD7829" w:rsidRDefault="00FD7829">
      <w:pPr>
        <w:pStyle w:val="FootnoteText"/>
      </w:pPr>
      <w:r>
        <w:rPr>
          <w:rStyle w:val="FootnoteReference"/>
        </w:rPr>
        <w:footnoteRef/>
      </w:r>
      <w:r>
        <w:t xml:space="preserve"> </w:t>
      </w:r>
      <w:r w:rsidR="00A33DB1" w:rsidRPr="00CE4CE1">
        <w:t>APPPA Jan. 28, 2013</w:t>
      </w:r>
      <w:r w:rsidR="00A33DB1" w:rsidRPr="00A33DB1">
        <w:rPr>
          <w:i/>
        </w:rPr>
        <w:t xml:space="preserve"> Ex Parte </w:t>
      </w:r>
      <w:r w:rsidR="00A33DB1" w:rsidRPr="00CE4CE1">
        <w:t>Letter</w:t>
      </w:r>
      <w:r w:rsidR="00C1697D">
        <w:t xml:space="preserve"> </w:t>
      </w:r>
      <w:r w:rsidRPr="00C1697D">
        <w:t>at</w:t>
      </w:r>
      <w:r>
        <w:t xml:space="preserve"> 3.</w:t>
      </w:r>
      <w:r w:rsidR="006F7F5A">
        <w:t xml:space="preserve">  </w:t>
      </w:r>
      <w:r w:rsidR="00C00BDD" w:rsidRPr="00C00BDD">
        <w:t>We also note that the potential for retroactive payments is limited as PSPs are required to submit claims for payment within the two</w:t>
      </w:r>
      <w:r w:rsidR="00241CCB">
        <w:t>-</w:t>
      </w:r>
      <w:r w:rsidR="00C00BDD" w:rsidRPr="00C00BDD">
        <w:t>year statute of limitation set forth in section 415 of the Act</w:t>
      </w:r>
      <w:r w:rsidR="00466D81" w:rsidRPr="00466D81">
        <w:t xml:space="preserve">.  47 U.S.C. § 415.  </w:t>
      </w:r>
      <w:r w:rsidR="00C00BDD">
        <w:t>A</w:t>
      </w:r>
      <w:r w:rsidR="00466D81" w:rsidRPr="00466D81">
        <w:t>ny period of uncertainty is now less than two years</w:t>
      </w:r>
      <w:r w:rsidR="00D14B0C">
        <w:t xml:space="preserve">, because </w:t>
      </w:r>
      <w:r w:rsidR="00C1697D">
        <w:t xml:space="preserve">several </w:t>
      </w:r>
      <w:r w:rsidR="00466D81" w:rsidRPr="00466D81">
        <w:t xml:space="preserve">months </w:t>
      </w:r>
      <w:r w:rsidR="00C00BDD">
        <w:t xml:space="preserve">have </w:t>
      </w:r>
      <w:r w:rsidR="00466D81" w:rsidRPr="00466D81">
        <w:t xml:space="preserve">lapsed since the Bureau released the </w:t>
      </w:r>
      <w:r w:rsidR="00466D81" w:rsidRPr="00C00BDD">
        <w:rPr>
          <w:i/>
        </w:rPr>
        <w:t>Declaratory Ruling</w:t>
      </w:r>
      <w:r w:rsidR="00466D81" w:rsidRPr="00466D81">
        <w:t xml:space="preserve">.  </w:t>
      </w:r>
      <w:r w:rsidR="001344CA" w:rsidRPr="00246B05">
        <w:rPr>
          <w:i/>
        </w:rPr>
        <w:t>See</w:t>
      </w:r>
      <w:r w:rsidR="001344CA">
        <w:t xml:space="preserve"> APCC Feb. </w:t>
      </w:r>
      <w:r w:rsidR="00F9389B">
        <w:t>1</w:t>
      </w:r>
      <w:r w:rsidR="001344CA">
        <w:t xml:space="preserve">2, 2013 </w:t>
      </w:r>
      <w:r w:rsidR="001344CA" w:rsidRPr="00827741">
        <w:rPr>
          <w:i/>
        </w:rPr>
        <w:t>Ex Parte</w:t>
      </w:r>
      <w:r w:rsidR="001344CA">
        <w:t xml:space="preserve"> Letter at 4</w:t>
      </w:r>
      <w:r w:rsidR="002F4D8D">
        <w:t>;</w:t>
      </w:r>
      <w:r w:rsidR="002F4D8D" w:rsidRPr="002F4D8D">
        <w:t xml:space="preserve"> APCC Feb. 22, 2013 </w:t>
      </w:r>
      <w:r w:rsidR="002F4D8D" w:rsidRPr="00F462D9">
        <w:rPr>
          <w:i/>
        </w:rPr>
        <w:t>Ex Parte</w:t>
      </w:r>
      <w:r w:rsidR="002F4D8D" w:rsidRPr="002F4D8D">
        <w:t xml:space="preserve"> Letter</w:t>
      </w:r>
      <w:r w:rsidR="002F4D8D">
        <w:t xml:space="preserve"> at </w:t>
      </w:r>
      <w:r w:rsidR="00B71597">
        <w:t>4</w:t>
      </w:r>
      <w:r w:rsidR="001344CA">
        <w:t>.</w:t>
      </w:r>
    </w:p>
  </w:footnote>
  <w:footnote w:id="36">
    <w:p w14:paraId="1349C66D" w14:textId="6E60474E" w:rsidR="001344CA" w:rsidRDefault="001344CA" w:rsidP="0013497A">
      <w:pPr>
        <w:pStyle w:val="FootnoteText"/>
      </w:pPr>
      <w:r>
        <w:rPr>
          <w:rStyle w:val="FootnoteReference"/>
        </w:rPr>
        <w:footnoteRef/>
      </w:r>
      <w:r>
        <w:t xml:space="preserve"> </w:t>
      </w:r>
      <w:r w:rsidRPr="00246B05">
        <w:rPr>
          <w:i/>
        </w:rPr>
        <w:t>See</w:t>
      </w:r>
      <w:r>
        <w:t xml:space="preserve"> </w:t>
      </w:r>
      <w:r w:rsidR="00890CCF" w:rsidRPr="00F462D9">
        <w:t>APCC Feb. 12, 2013</w:t>
      </w:r>
      <w:r w:rsidR="00890CCF" w:rsidRPr="00890CCF">
        <w:rPr>
          <w:i/>
        </w:rPr>
        <w:t xml:space="preserve"> Ex Parte </w:t>
      </w:r>
      <w:r w:rsidR="00890CCF" w:rsidRPr="00F462D9">
        <w:t>Letter</w:t>
      </w:r>
      <w:r w:rsidR="00F9389B">
        <w:t xml:space="preserve"> </w:t>
      </w:r>
      <w:r>
        <w:t xml:space="preserve">at </w:t>
      </w:r>
      <w:r w:rsidR="00E56C41">
        <w:t>3</w:t>
      </w:r>
      <w:r>
        <w:t>, n.7 (“</w:t>
      </w:r>
      <w:r w:rsidRPr="00F90E3A">
        <w:t xml:space="preserve">To the extent that, as APPPA argues </w:t>
      </w:r>
      <w:r>
        <w:t xml:space="preserve">. . . . </w:t>
      </w:r>
      <w:r w:rsidRPr="00F90E3A">
        <w:t xml:space="preserve">PSPs and carriers need to work together to resolve coding digits issues, the presence of the obligation to pay for past calls will not affect any cooperation that will or will not occur to resolve the coding digit issues going forward. </w:t>
      </w:r>
      <w:r>
        <w:t xml:space="preserve"> </w:t>
      </w:r>
      <w:r w:rsidRPr="00F90E3A">
        <w:t xml:space="preserve">The obligation to pay for past calls remains no matter what arrangements the parties work out for the future. </w:t>
      </w:r>
      <w:r>
        <w:t xml:space="preserve"> </w:t>
      </w:r>
      <w:r w:rsidRPr="00F90E3A">
        <w:t>It has nothing to do with “skewing” the parties negotiating power in a discussion about the future.</w:t>
      </w:r>
      <w:r>
        <w:t xml:space="preserve">”).  </w:t>
      </w:r>
    </w:p>
  </w:footnote>
  <w:footnote w:id="37">
    <w:p w14:paraId="55965B7F" w14:textId="1555CEB4" w:rsidR="00C1697D" w:rsidRDefault="00C1697D">
      <w:pPr>
        <w:pStyle w:val="FootnoteText"/>
      </w:pPr>
      <w:r>
        <w:rPr>
          <w:rStyle w:val="FootnoteReference"/>
        </w:rPr>
        <w:footnoteRef/>
      </w:r>
      <w:r>
        <w:t xml:space="preserve"> </w:t>
      </w:r>
      <w:r w:rsidR="008A719E" w:rsidRPr="0007413E">
        <w:t xml:space="preserve">APPPA Jan. 28, 2013 </w:t>
      </w:r>
      <w:r w:rsidR="008A719E" w:rsidRPr="001A5CB4">
        <w:rPr>
          <w:i/>
        </w:rPr>
        <w:t>Ex Parte</w:t>
      </w:r>
      <w:r w:rsidR="008A719E" w:rsidRPr="0007413E">
        <w:t xml:space="preserve"> </w:t>
      </w:r>
      <w:r w:rsidR="008A719E">
        <w:t>L</w:t>
      </w:r>
      <w:r w:rsidR="008A719E" w:rsidRPr="0007413E">
        <w:t>etter</w:t>
      </w:r>
      <w:r w:rsidR="008A719E">
        <w:t xml:space="preserve"> at </w:t>
      </w:r>
      <w:r w:rsidR="001344CA">
        <w:t>3</w:t>
      </w:r>
      <w:r w:rsidR="008A719E">
        <w:t xml:space="preserve">.  </w:t>
      </w:r>
    </w:p>
  </w:footnote>
  <w:footnote w:id="38">
    <w:p w14:paraId="044106EF" w14:textId="77FDAA75" w:rsidR="00484A0B" w:rsidRDefault="00484A0B" w:rsidP="009F7B7F">
      <w:pPr>
        <w:pStyle w:val="FootnoteText"/>
        <w:spacing w:before="120"/>
      </w:pPr>
      <w:r>
        <w:rPr>
          <w:rStyle w:val="FootnoteReference"/>
        </w:rPr>
        <w:footnoteRef/>
      </w:r>
      <w:r>
        <w:t xml:space="preserve"> </w:t>
      </w:r>
      <w:r w:rsidR="008A719E" w:rsidRPr="00370236">
        <w:rPr>
          <w:i/>
        </w:rPr>
        <w:t>See</w:t>
      </w:r>
      <w:r w:rsidR="001344CA">
        <w:t xml:space="preserve"> </w:t>
      </w:r>
      <w:r w:rsidR="001344CA" w:rsidRPr="005A0C23">
        <w:rPr>
          <w:i/>
        </w:rPr>
        <w:t>supra</w:t>
      </w:r>
      <w:r w:rsidR="001344CA">
        <w:t xml:space="preserve"> note 17;</w:t>
      </w:r>
      <w:r w:rsidR="008A719E">
        <w:t xml:space="preserve"> 47 C.F.R. §§ 64.1310(a) and 64.1320</w:t>
      </w:r>
      <w:r w:rsidR="00085696">
        <w:t>(a)</w:t>
      </w:r>
      <w:r w:rsidR="008A719E">
        <w:t xml:space="preserve">; </w:t>
      </w:r>
      <w:r w:rsidR="008A719E" w:rsidRPr="00370236">
        <w:rPr>
          <w:i/>
        </w:rPr>
        <w:t>2003 Tollgate Order</w:t>
      </w:r>
      <w:r w:rsidR="008A719E">
        <w:t xml:space="preserve">, 18 FCC Rcd at </w:t>
      </w:r>
      <w:r w:rsidR="001D53AF">
        <w:t xml:space="preserve">19994, </w:t>
      </w:r>
      <w:r w:rsidR="008A719E">
        <w:t>2000</w:t>
      </w:r>
      <w:r w:rsidR="008D5940">
        <w:t>–</w:t>
      </w:r>
      <w:r w:rsidR="008A719E">
        <w:t>01, para</w:t>
      </w:r>
      <w:r w:rsidR="001D53AF">
        <w:t>s</w:t>
      </w:r>
      <w:r w:rsidR="008A719E">
        <w:t xml:space="preserve">. </w:t>
      </w:r>
      <w:r w:rsidR="001D53AF">
        <w:t xml:space="preserve">39, </w:t>
      </w:r>
      <w:r w:rsidR="008A719E">
        <w:t xml:space="preserve">48.  </w:t>
      </w:r>
      <w:r w:rsidR="001344CA">
        <w:t xml:space="preserve">APPPA’s claims that blocking of payphone calls will deny PSPs significant revenues also seems at odds with its claim that PSPs will be unwilling to negotiate.  </w:t>
      </w:r>
      <w:r w:rsidR="001344CA" w:rsidRPr="001211C8">
        <w:t xml:space="preserve">APPPA Jan. 28, 2013 </w:t>
      </w:r>
      <w:r w:rsidR="001344CA" w:rsidRPr="005A0C23">
        <w:rPr>
          <w:i/>
        </w:rPr>
        <w:t>Ex Parte</w:t>
      </w:r>
      <w:r w:rsidR="001344CA" w:rsidRPr="001211C8">
        <w:t xml:space="preserve"> Letter at </w:t>
      </w:r>
      <w:r w:rsidR="001344CA">
        <w:t xml:space="preserve">3; APCC Feb. 12, 2013 </w:t>
      </w:r>
      <w:r w:rsidR="001344CA" w:rsidRPr="00BC630A">
        <w:rPr>
          <w:i/>
        </w:rPr>
        <w:t>Ex Parte</w:t>
      </w:r>
      <w:r w:rsidR="001344CA">
        <w:t xml:space="preserve"> Letter at </w:t>
      </w:r>
      <w:r w:rsidR="008B0216">
        <w:t>3, n.7</w:t>
      </w:r>
      <w:r w:rsidR="001344CA">
        <w:t xml:space="preserve"> (stating “APCC has repeatedly said it is anxious to arrive at alternative payment arrangements with all carriers.”)</w:t>
      </w:r>
    </w:p>
  </w:footnote>
  <w:footnote w:id="39">
    <w:p w14:paraId="4DB3B299" w14:textId="2422E18D" w:rsidR="006F7F5A" w:rsidRPr="00BB4BCD" w:rsidRDefault="006F7F5A">
      <w:pPr>
        <w:pStyle w:val="FootnoteText"/>
      </w:pPr>
      <w:r>
        <w:rPr>
          <w:rStyle w:val="FootnoteReference"/>
        </w:rPr>
        <w:footnoteRef/>
      </w:r>
      <w:r>
        <w:t xml:space="preserve"> </w:t>
      </w:r>
      <w:r w:rsidR="00466D81" w:rsidRPr="00370236">
        <w:rPr>
          <w:i/>
        </w:rPr>
        <w:t xml:space="preserve">See </w:t>
      </w:r>
      <w:r w:rsidR="00B7236C" w:rsidRPr="00B7236C">
        <w:rPr>
          <w:i/>
        </w:rPr>
        <w:t>2004 Tollgate Reconsideration Order</w:t>
      </w:r>
      <w:r w:rsidR="00466D81" w:rsidRPr="005813FB">
        <w:t xml:space="preserve">, 19 FCC Rcd </w:t>
      </w:r>
      <w:r w:rsidR="00B7236C">
        <w:t xml:space="preserve">at </w:t>
      </w:r>
      <w:r w:rsidR="00466D81" w:rsidRPr="005813FB">
        <w:t>21465</w:t>
      </w:r>
      <w:r w:rsidR="008D5940">
        <w:t>–</w:t>
      </w:r>
      <w:r w:rsidR="00466D81" w:rsidRPr="005813FB">
        <w:t>66, para</w:t>
      </w:r>
      <w:r w:rsidR="00531EAF">
        <w:t>s</w:t>
      </w:r>
      <w:r w:rsidR="00466D81" w:rsidRPr="005813FB">
        <w:t xml:space="preserve">. </w:t>
      </w:r>
      <w:r w:rsidR="00531EAF">
        <w:t>14</w:t>
      </w:r>
      <w:r w:rsidR="008D5940">
        <w:t>–</w:t>
      </w:r>
      <w:r w:rsidR="00531EAF">
        <w:t xml:space="preserve">16; </w:t>
      </w:r>
      <w:r w:rsidR="00531EAF">
        <w:rPr>
          <w:i/>
        </w:rPr>
        <w:t>id</w:t>
      </w:r>
      <w:r w:rsidR="00531EAF">
        <w:t>. at 21465, para. 15</w:t>
      </w:r>
      <w:r w:rsidR="00466D81" w:rsidRPr="005813FB">
        <w:t xml:space="preserve"> (stating that “it would be unduly burdensome to require a Completing Carrier to obtain an affirmative act of approval from each PSP to an ACA”</w:t>
      </w:r>
      <w:r w:rsidR="00EE6EA5">
        <w:t xml:space="preserve"> and “a Completing Carrier must give the PSP adequate notice of an ACA prior to its effective date with sufficient time for the PSP to object to the ACA.”</w:t>
      </w:r>
      <w:r w:rsidR="00466D81" w:rsidRPr="005813FB">
        <w:t xml:space="preserve">).  </w:t>
      </w:r>
      <w:r w:rsidR="00531EAF" w:rsidRPr="00531EAF">
        <w:t xml:space="preserve">The </w:t>
      </w:r>
      <w:r w:rsidR="00531EAF">
        <w:t xml:space="preserve">Commission provided an example in the </w:t>
      </w:r>
      <w:r w:rsidR="00531EAF" w:rsidRPr="00531EAF">
        <w:rPr>
          <w:i/>
        </w:rPr>
        <w:t>2004 Tollgate Reconsideration Order</w:t>
      </w:r>
      <w:r w:rsidR="00531EAF" w:rsidRPr="00531EAF">
        <w:t xml:space="preserve"> </w:t>
      </w:r>
      <w:r w:rsidR="00531EAF">
        <w:t xml:space="preserve">of an </w:t>
      </w:r>
      <w:r w:rsidR="001344CA">
        <w:t>interexchange carrier (IXC)</w:t>
      </w:r>
      <w:r w:rsidR="00531EAF">
        <w:t xml:space="preserve"> </w:t>
      </w:r>
      <w:r w:rsidR="007809C8">
        <w:t xml:space="preserve">(on behalf of the Completing Carrier) </w:t>
      </w:r>
      <w:r w:rsidR="00531EAF" w:rsidRPr="00531EAF">
        <w:t>plac</w:t>
      </w:r>
      <w:r w:rsidR="00531EAF">
        <w:t>ing</w:t>
      </w:r>
      <w:r w:rsidR="00531EAF" w:rsidRPr="00531EAF">
        <w:t xml:space="preserve"> notice of </w:t>
      </w:r>
      <w:r w:rsidR="00D871A1">
        <w:t>an</w:t>
      </w:r>
      <w:r w:rsidR="00531EAF" w:rsidRPr="00531EAF">
        <w:t xml:space="preserve"> A</w:t>
      </w:r>
      <w:r w:rsidR="007809C8">
        <w:t xml:space="preserve">CA </w:t>
      </w:r>
      <w:r w:rsidR="00531EAF">
        <w:t>on a</w:t>
      </w:r>
      <w:r w:rsidR="00EE6EA5">
        <w:t>n industry</w:t>
      </w:r>
      <w:r w:rsidR="00531EAF">
        <w:t xml:space="preserve"> clearinghouse website.  </w:t>
      </w:r>
      <w:r w:rsidR="00531EAF" w:rsidRPr="00531EAF">
        <w:rPr>
          <w:i/>
        </w:rPr>
        <w:t>Id</w:t>
      </w:r>
      <w:r w:rsidR="00531EAF" w:rsidRPr="00531EAF">
        <w:t>.</w:t>
      </w:r>
      <w:r w:rsidR="00D871A1">
        <w:t xml:space="preserve"> at 21465</w:t>
      </w:r>
      <w:r w:rsidR="00003985">
        <w:rPr>
          <w:snapToGrid w:val="0"/>
        </w:rPr>
        <w:t>–</w:t>
      </w:r>
      <w:r w:rsidR="00DB2CC4">
        <w:t>66</w:t>
      </w:r>
      <w:r w:rsidR="00D871A1">
        <w:t xml:space="preserve">, para. 15.  </w:t>
      </w:r>
      <w:r w:rsidR="001344CA">
        <w:t>While the specific example featured an IXC, the underlying principle</w:t>
      </w:r>
      <w:r w:rsidR="001344CA" w:rsidRPr="009C31DD">
        <w:t>—</w:t>
      </w:r>
      <w:r w:rsidR="001344CA">
        <w:t>that Completing Carriers may enter into an ACA without individual negotiations as long as advance notice is provided with sufficient time for the PSP to object</w:t>
      </w:r>
      <w:r w:rsidR="001344CA" w:rsidRPr="001C5528">
        <w:t>—</w:t>
      </w:r>
      <w:r w:rsidR="001344CA">
        <w:t xml:space="preserve">was not limited and would pertain to all Completing Carriers.  </w:t>
      </w:r>
      <w:r w:rsidR="00EA488C">
        <w:rPr>
          <w:i/>
        </w:rPr>
        <w:t>See</w:t>
      </w:r>
      <w:r w:rsidR="00443957">
        <w:rPr>
          <w:i/>
        </w:rPr>
        <w:t>,</w:t>
      </w:r>
      <w:r w:rsidR="00EA488C">
        <w:rPr>
          <w:i/>
        </w:rPr>
        <w:t xml:space="preserve"> e.g., </w:t>
      </w:r>
      <w:r w:rsidR="00150BAE" w:rsidRPr="007809C8">
        <w:t>APPPA Reply at 3 (claiming that prepaid calling providers must “attempt to negotiate multiple [ACAs] with a multitude of PSPs</w:t>
      </w:r>
      <w:r w:rsidR="00EA488C">
        <w:t>.</w:t>
      </w:r>
      <w:r w:rsidR="00150BAE" w:rsidRPr="007809C8">
        <w:t xml:space="preserve">”).  </w:t>
      </w:r>
    </w:p>
  </w:footnote>
  <w:footnote w:id="40">
    <w:p w14:paraId="50AA82DE" w14:textId="77777777" w:rsidR="008B0AD7" w:rsidRDefault="008B0AD7" w:rsidP="008B0AD7">
      <w:pPr>
        <w:pStyle w:val="FootnoteText"/>
      </w:pPr>
      <w:r>
        <w:rPr>
          <w:rStyle w:val="FootnoteReference"/>
        </w:rPr>
        <w:footnoteRef/>
      </w:r>
      <w:r>
        <w:t xml:space="preserve"> </w:t>
      </w:r>
      <w:r w:rsidRPr="004172CB">
        <w:rPr>
          <w:i/>
        </w:rPr>
        <w:t>Cf</w:t>
      </w:r>
      <w:r>
        <w:t xml:space="preserve">. J. Wellington Wimpy, </w:t>
      </w:r>
      <w:r>
        <w:rPr>
          <w:i/>
        </w:rPr>
        <w:t>Thimble Theatre</w:t>
      </w:r>
      <w:r>
        <w:t xml:space="preserve"> (Mar. 20, 1932) (“I’ll gladly pay you Tuesday for a hamburger today.”).</w:t>
      </w:r>
    </w:p>
  </w:footnote>
  <w:footnote w:id="41">
    <w:p w14:paraId="386B569D" w14:textId="77777777" w:rsidR="008B0AD7" w:rsidRDefault="008B0AD7" w:rsidP="008B0AD7">
      <w:pPr>
        <w:pStyle w:val="FootnoteText"/>
      </w:pPr>
      <w:r>
        <w:rPr>
          <w:rStyle w:val="FootnoteReference"/>
        </w:rPr>
        <w:footnoteRef/>
      </w:r>
      <w:r>
        <w:t xml:space="preserve"> </w:t>
      </w:r>
      <w:r w:rsidRPr="00DB7B7F">
        <w:rPr>
          <w:i/>
        </w:rPr>
        <w:t>See</w:t>
      </w:r>
      <w:r>
        <w:t xml:space="preserve"> 47 U.S.C. § 276(b)(1)(A).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53E0" w14:textId="77777777" w:rsidR="00067A8D" w:rsidRDefault="0006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8522" w14:textId="5F432EEB" w:rsidR="00FD7829" w:rsidRDefault="00FD7829">
    <w:pPr>
      <w:pStyle w:val="Header"/>
      <w:rPr>
        <w:sz w:val="10"/>
      </w:rPr>
    </w:pPr>
    <w:r>
      <w:tab/>
      <w:t>Federal Communications Commission</w:t>
    </w:r>
    <w:r>
      <w:tab/>
    </w:r>
    <w:r>
      <w:rPr>
        <w:spacing w:val="-2"/>
      </w:rPr>
      <w:t>FCC 13-</w:t>
    </w:r>
    <w:r w:rsidR="00F14210">
      <w:rPr>
        <w:spacing w:val="-2"/>
      </w:rPr>
      <w:t>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7457" w14:textId="2F6BC5F0" w:rsidR="00FD7829" w:rsidRDefault="00FD7829">
    <w:pPr>
      <w:pStyle w:val="Header"/>
    </w:pPr>
    <w:r>
      <w:tab/>
      <w:t>Federal Communications Commission</w:t>
    </w:r>
    <w:r>
      <w:tab/>
    </w:r>
    <w:r>
      <w:rPr>
        <w:spacing w:val="-2"/>
      </w:rPr>
      <w:t>FCC 13-</w:t>
    </w:r>
    <w:r w:rsidR="00F14210">
      <w:rPr>
        <w:spacing w:val="-2"/>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68B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5"/>
    <w:lvl w:ilvl="0">
      <w:start w:val="1"/>
      <w:numFmt w:val="decimal"/>
      <w:lvlText w:val="%1."/>
      <w:lvlJc w:val="left"/>
      <w:pPr>
        <w:tabs>
          <w:tab w:val="num" w:pos="1080"/>
        </w:tabs>
        <w:ind w:left="0" w:firstLine="720"/>
      </w:pPr>
    </w:lvl>
  </w:abstractNum>
  <w:abstractNum w:abstractNumId="2">
    <w:nsid w:val="14815621"/>
    <w:multiLevelType w:val="hybridMultilevel"/>
    <w:tmpl w:val="BA3410C2"/>
    <w:lvl w:ilvl="0" w:tplc="FFFFFFFF">
      <w:start w:val="1"/>
      <w:numFmt w:val="decimal"/>
      <w:lvlText w:val="%1."/>
      <w:lvlJc w:val="left"/>
      <w:pPr>
        <w:ind w:left="1080" w:hanging="360"/>
      </w:pPr>
      <w:rPr>
        <w:rFonts w:cs="Times New Roman"/>
        <w:b w:val="0"/>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
    <w:nsid w:val="167E227B"/>
    <w:multiLevelType w:val="hybridMultilevel"/>
    <w:tmpl w:val="165640AC"/>
    <w:lvl w:ilvl="0" w:tplc="A74A461C">
      <w:start w:val="1"/>
      <w:numFmt w:val="bullet"/>
      <w:lvlText w:val=""/>
      <w:lvlJc w:val="left"/>
      <w:pPr>
        <w:tabs>
          <w:tab w:val="num" w:pos="810"/>
        </w:tabs>
        <w:ind w:left="1098" w:hanging="288"/>
      </w:pPr>
      <w:rPr>
        <w:rFonts w:ascii="Symbol" w:hAnsi="Symbol" w:hint="default"/>
        <w:b w:val="0"/>
      </w:rPr>
    </w:lvl>
    <w:lvl w:ilvl="1" w:tplc="DB88B256">
      <w:start w:val="1"/>
      <w:numFmt w:val="lowerLetter"/>
      <w:lvlText w:val="%2."/>
      <w:lvlJc w:val="left"/>
      <w:pPr>
        <w:ind w:left="2160" w:hanging="360"/>
      </w:pPr>
      <w:rPr>
        <w:rFonts w:cs="Times New Roman"/>
      </w:rPr>
    </w:lvl>
    <w:lvl w:ilvl="2" w:tplc="345043D6">
      <w:start w:val="1"/>
      <w:numFmt w:val="lowerRoman"/>
      <w:lvlText w:val="%3."/>
      <w:lvlJc w:val="right"/>
      <w:pPr>
        <w:ind w:left="2880" w:hanging="180"/>
      </w:pPr>
      <w:rPr>
        <w:rFonts w:cs="Times New Roman"/>
      </w:rPr>
    </w:lvl>
    <w:lvl w:ilvl="3" w:tplc="FC18C622" w:tentative="1">
      <w:start w:val="1"/>
      <w:numFmt w:val="decimal"/>
      <w:lvlText w:val="%4."/>
      <w:lvlJc w:val="left"/>
      <w:pPr>
        <w:ind w:left="3600" w:hanging="360"/>
      </w:pPr>
      <w:rPr>
        <w:rFonts w:cs="Times New Roman"/>
      </w:rPr>
    </w:lvl>
    <w:lvl w:ilvl="4" w:tplc="86C46D12" w:tentative="1">
      <w:start w:val="1"/>
      <w:numFmt w:val="lowerLetter"/>
      <w:lvlText w:val="%5."/>
      <w:lvlJc w:val="left"/>
      <w:pPr>
        <w:ind w:left="4320" w:hanging="360"/>
      </w:pPr>
      <w:rPr>
        <w:rFonts w:cs="Times New Roman"/>
      </w:rPr>
    </w:lvl>
    <w:lvl w:ilvl="5" w:tplc="CECC0456" w:tentative="1">
      <w:start w:val="1"/>
      <w:numFmt w:val="lowerRoman"/>
      <w:lvlText w:val="%6."/>
      <w:lvlJc w:val="right"/>
      <w:pPr>
        <w:ind w:left="5040" w:hanging="180"/>
      </w:pPr>
      <w:rPr>
        <w:rFonts w:cs="Times New Roman"/>
      </w:rPr>
    </w:lvl>
    <w:lvl w:ilvl="6" w:tplc="97C04D38" w:tentative="1">
      <w:start w:val="1"/>
      <w:numFmt w:val="decimal"/>
      <w:lvlText w:val="%7."/>
      <w:lvlJc w:val="left"/>
      <w:pPr>
        <w:ind w:left="5760" w:hanging="360"/>
      </w:pPr>
      <w:rPr>
        <w:rFonts w:cs="Times New Roman"/>
      </w:rPr>
    </w:lvl>
    <w:lvl w:ilvl="7" w:tplc="B3FEC38C" w:tentative="1">
      <w:start w:val="1"/>
      <w:numFmt w:val="lowerLetter"/>
      <w:lvlText w:val="%8."/>
      <w:lvlJc w:val="left"/>
      <w:pPr>
        <w:ind w:left="6480" w:hanging="360"/>
      </w:pPr>
      <w:rPr>
        <w:rFonts w:cs="Times New Roman"/>
      </w:rPr>
    </w:lvl>
    <w:lvl w:ilvl="8" w:tplc="6E38D60C" w:tentative="1">
      <w:start w:val="1"/>
      <w:numFmt w:val="lowerRoman"/>
      <w:lvlText w:val="%9."/>
      <w:lvlJc w:val="right"/>
      <w:pPr>
        <w:ind w:left="7200" w:hanging="180"/>
      </w:pPr>
      <w:rPr>
        <w:rFonts w:cs="Times New Roman"/>
      </w:rPr>
    </w:lvl>
  </w:abstractNum>
  <w:abstractNum w:abstractNumId="4">
    <w:nsid w:val="18B05C95"/>
    <w:multiLevelType w:val="hybridMultilevel"/>
    <w:tmpl w:val="8F6CA056"/>
    <w:lvl w:ilvl="0" w:tplc="111CAC26">
      <w:start w:val="1"/>
      <w:numFmt w:val="decimal"/>
      <w:lvlText w:val="%1."/>
      <w:lvlJc w:val="left"/>
      <w:pPr>
        <w:ind w:left="1080" w:hanging="360"/>
      </w:pPr>
      <w:rPr>
        <w:rFonts w:cs="Times New Roman"/>
        <w:b w:val="0"/>
      </w:rPr>
    </w:lvl>
    <w:lvl w:ilvl="1" w:tplc="BEEE6AF6">
      <w:start w:val="1"/>
      <w:numFmt w:val="lowerLetter"/>
      <w:lvlText w:val="%2."/>
      <w:lvlJc w:val="left"/>
      <w:pPr>
        <w:ind w:left="2160" w:hanging="360"/>
      </w:pPr>
      <w:rPr>
        <w:rFonts w:cs="Times New Roman"/>
      </w:rPr>
    </w:lvl>
    <w:lvl w:ilvl="2" w:tplc="E7040442">
      <w:start w:val="1"/>
      <w:numFmt w:val="lowerRoman"/>
      <w:lvlText w:val="%3."/>
      <w:lvlJc w:val="right"/>
      <w:pPr>
        <w:ind w:left="2880" w:hanging="180"/>
      </w:pPr>
      <w:rPr>
        <w:rFonts w:cs="Times New Roman"/>
      </w:rPr>
    </w:lvl>
    <w:lvl w:ilvl="3" w:tplc="C8D08674" w:tentative="1">
      <w:start w:val="1"/>
      <w:numFmt w:val="decimal"/>
      <w:lvlText w:val="%4."/>
      <w:lvlJc w:val="left"/>
      <w:pPr>
        <w:ind w:left="3600" w:hanging="360"/>
      </w:pPr>
      <w:rPr>
        <w:rFonts w:cs="Times New Roman"/>
      </w:rPr>
    </w:lvl>
    <w:lvl w:ilvl="4" w:tplc="A7E2238C" w:tentative="1">
      <w:start w:val="1"/>
      <w:numFmt w:val="lowerLetter"/>
      <w:lvlText w:val="%5."/>
      <w:lvlJc w:val="left"/>
      <w:pPr>
        <w:ind w:left="4320" w:hanging="360"/>
      </w:pPr>
      <w:rPr>
        <w:rFonts w:cs="Times New Roman"/>
      </w:rPr>
    </w:lvl>
    <w:lvl w:ilvl="5" w:tplc="20D03388" w:tentative="1">
      <w:start w:val="1"/>
      <w:numFmt w:val="lowerRoman"/>
      <w:lvlText w:val="%6."/>
      <w:lvlJc w:val="right"/>
      <w:pPr>
        <w:ind w:left="5040" w:hanging="180"/>
      </w:pPr>
      <w:rPr>
        <w:rFonts w:cs="Times New Roman"/>
      </w:rPr>
    </w:lvl>
    <w:lvl w:ilvl="6" w:tplc="6EEA6574" w:tentative="1">
      <w:start w:val="1"/>
      <w:numFmt w:val="decimal"/>
      <w:lvlText w:val="%7."/>
      <w:lvlJc w:val="left"/>
      <w:pPr>
        <w:ind w:left="5760" w:hanging="360"/>
      </w:pPr>
      <w:rPr>
        <w:rFonts w:cs="Times New Roman"/>
      </w:rPr>
    </w:lvl>
    <w:lvl w:ilvl="7" w:tplc="A06CDAA0" w:tentative="1">
      <w:start w:val="1"/>
      <w:numFmt w:val="lowerLetter"/>
      <w:lvlText w:val="%8."/>
      <w:lvlJc w:val="left"/>
      <w:pPr>
        <w:ind w:left="6480" w:hanging="360"/>
      </w:pPr>
      <w:rPr>
        <w:rFonts w:cs="Times New Roman"/>
      </w:rPr>
    </w:lvl>
    <w:lvl w:ilvl="8" w:tplc="D07E29A2" w:tentative="1">
      <w:start w:val="1"/>
      <w:numFmt w:val="lowerRoman"/>
      <w:lvlText w:val="%9."/>
      <w:lvlJc w:val="right"/>
      <w:pPr>
        <w:ind w:left="7200" w:hanging="180"/>
      </w:pPr>
      <w:rPr>
        <w:rFonts w:cs="Times New Roman"/>
      </w:rPr>
    </w:lvl>
  </w:abstractNum>
  <w:abstractNum w:abstractNumId="5">
    <w:nsid w:val="27E06CBB"/>
    <w:multiLevelType w:val="multilevel"/>
    <w:tmpl w:val="9776139C"/>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308B098F"/>
    <w:multiLevelType w:val="hybridMultilevel"/>
    <w:tmpl w:val="76285060"/>
    <w:lvl w:ilvl="0" w:tplc="FFFFFFFF">
      <w:start w:val="1"/>
      <w:numFmt w:val="decimal"/>
      <w:lvlText w:val="%1."/>
      <w:lvlJc w:val="left"/>
      <w:pPr>
        <w:ind w:left="1080" w:hanging="360"/>
      </w:pPr>
      <w:rPr>
        <w:rFonts w:cs="Times New Roman"/>
        <w:b w:val="0"/>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7">
    <w:nsid w:val="4CE24D2B"/>
    <w:multiLevelType w:val="hybridMultilevel"/>
    <w:tmpl w:val="285CC3CC"/>
    <w:lvl w:ilvl="0" w:tplc="FFFFFFFF">
      <w:start w:val="1"/>
      <w:numFmt w:val="decimal"/>
      <w:lvlText w:val="%1."/>
      <w:lvlJc w:val="left"/>
      <w:pPr>
        <w:ind w:left="1080" w:hanging="360"/>
      </w:pPr>
      <w:rPr>
        <w:rFonts w:cs="Times New Roman"/>
        <w:b w:val="0"/>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nsid w:val="4CEC5187"/>
    <w:multiLevelType w:val="hybridMultilevel"/>
    <w:tmpl w:val="1E3E7A52"/>
    <w:lvl w:ilvl="0" w:tplc="5F78E22C">
      <w:start w:val="1"/>
      <w:numFmt w:val="upperLetter"/>
      <w:pStyle w:val="Bulleted"/>
      <w:lvlText w:val="%1."/>
      <w:lvlJc w:val="left"/>
      <w:pPr>
        <w:tabs>
          <w:tab w:val="num" w:pos="360"/>
        </w:tabs>
        <w:ind w:left="360" w:hanging="360"/>
      </w:pPr>
      <w:rPr>
        <w:rFonts w:ascii="Times New Roman" w:eastAsia="Times New Roman" w:hAnsi="Times New Roman" w:cs="Times New Roman"/>
      </w:rPr>
    </w:lvl>
    <w:lvl w:ilvl="1" w:tplc="A74A461C">
      <w:start w:val="1"/>
      <w:numFmt w:val="bullet"/>
      <w:lvlText w:val="o"/>
      <w:lvlJc w:val="left"/>
      <w:pPr>
        <w:tabs>
          <w:tab w:val="num" w:pos="1080"/>
        </w:tabs>
        <w:ind w:left="1080" w:hanging="360"/>
      </w:pPr>
      <w:rPr>
        <w:rFonts w:ascii="Courier New" w:hAnsi="Courier New" w:cs="AAADNA+TimesNew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AADNA+TimesNew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AADNA+TimesNewRoma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170"/>
        </w:tabs>
        <w:ind w:left="90" w:firstLine="720"/>
      </w:pPr>
    </w:lvl>
  </w:abstractNum>
  <w:abstractNum w:abstractNumId="1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A2A0207"/>
    <w:multiLevelType w:val="hybridMultilevel"/>
    <w:tmpl w:val="559CA5BC"/>
    <w:lvl w:ilvl="0" w:tplc="6BAAB38C">
      <w:start w:val="1"/>
      <w:numFmt w:val="upperLetter"/>
      <w:lvlText w:val="%1."/>
      <w:lvlJc w:val="left"/>
      <w:pPr>
        <w:ind w:left="720" w:hanging="360"/>
      </w:pPr>
      <w:rPr>
        <w:rFonts w:cs="Times New Roman" w:hint="default"/>
      </w:rPr>
    </w:lvl>
    <w:lvl w:ilvl="1" w:tplc="8D6A8BA2">
      <w:start w:val="1"/>
      <w:numFmt w:val="lowerLetter"/>
      <w:lvlText w:val="%2."/>
      <w:lvlJc w:val="left"/>
      <w:pPr>
        <w:ind w:left="1440" w:hanging="360"/>
      </w:pPr>
      <w:rPr>
        <w:rFonts w:cs="Times New Roman"/>
      </w:rPr>
    </w:lvl>
    <w:lvl w:ilvl="2" w:tplc="3EC2E31E">
      <w:start w:val="1"/>
      <w:numFmt w:val="lowerRoman"/>
      <w:lvlText w:val="%3."/>
      <w:lvlJc w:val="right"/>
      <w:pPr>
        <w:ind w:left="2160" w:hanging="180"/>
      </w:pPr>
      <w:rPr>
        <w:rFonts w:cs="Times New Roman"/>
      </w:rPr>
    </w:lvl>
    <w:lvl w:ilvl="3" w:tplc="98883B44" w:tentative="1">
      <w:start w:val="1"/>
      <w:numFmt w:val="decimal"/>
      <w:lvlText w:val="%4."/>
      <w:lvlJc w:val="left"/>
      <w:pPr>
        <w:ind w:left="2880" w:hanging="360"/>
      </w:pPr>
      <w:rPr>
        <w:rFonts w:cs="Times New Roman"/>
      </w:rPr>
    </w:lvl>
    <w:lvl w:ilvl="4" w:tplc="089A4A58" w:tentative="1">
      <w:start w:val="1"/>
      <w:numFmt w:val="lowerLetter"/>
      <w:lvlText w:val="%5."/>
      <w:lvlJc w:val="left"/>
      <w:pPr>
        <w:ind w:left="3600" w:hanging="360"/>
      </w:pPr>
      <w:rPr>
        <w:rFonts w:cs="Times New Roman"/>
      </w:rPr>
    </w:lvl>
    <w:lvl w:ilvl="5" w:tplc="831E80DC" w:tentative="1">
      <w:start w:val="1"/>
      <w:numFmt w:val="lowerRoman"/>
      <w:lvlText w:val="%6."/>
      <w:lvlJc w:val="right"/>
      <w:pPr>
        <w:ind w:left="4320" w:hanging="180"/>
      </w:pPr>
      <w:rPr>
        <w:rFonts w:cs="Times New Roman"/>
      </w:rPr>
    </w:lvl>
    <w:lvl w:ilvl="6" w:tplc="0C16FDBC" w:tentative="1">
      <w:start w:val="1"/>
      <w:numFmt w:val="decimal"/>
      <w:lvlText w:val="%7."/>
      <w:lvlJc w:val="left"/>
      <w:pPr>
        <w:ind w:left="5040" w:hanging="360"/>
      </w:pPr>
      <w:rPr>
        <w:rFonts w:cs="Times New Roman"/>
      </w:rPr>
    </w:lvl>
    <w:lvl w:ilvl="7" w:tplc="C1B852E4" w:tentative="1">
      <w:start w:val="1"/>
      <w:numFmt w:val="lowerLetter"/>
      <w:lvlText w:val="%8."/>
      <w:lvlJc w:val="left"/>
      <w:pPr>
        <w:ind w:left="5760" w:hanging="360"/>
      </w:pPr>
      <w:rPr>
        <w:rFonts w:cs="Times New Roman"/>
      </w:rPr>
    </w:lvl>
    <w:lvl w:ilvl="8" w:tplc="44DC0A4A"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8"/>
  </w:num>
  <w:num w:numId="4">
    <w:abstractNumId w:val="7"/>
  </w:num>
  <w:num w:numId="5">
    <w:abstractNumId w:val="11"/>
  </w:num>
  <w:num w:numId="6">
    <w:abstractNumId w:val="10"/>
  </w:num>
  <w:num w:numId="7">
    <w:abstractNumId w:val="3"/>
  </w:num>
  <w:num w:numId="8">
    <w:abstractNumId w:val="5"/>
  </w:num>
  <w:num w:numId="9">
    <w:abstractNumId w:val="5"/>
  </w:num>
  <w:num w:numId="10">
    <w:abstractNumId w:val="5"/>
  </w:num>
  <w:num w:numId="11">
    <w:abstractNumId w:val="5"/>
  </w:num>
  <w:num w:numId="12">
    <w:abstractNumId w:val="5"/>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5"/>
  </w:num>
  <w:num w:numId="18">
    <w:abstractNumId w:val="6"/>
  </w:num>
  <w:num w:numId="19">
    <w:abstractNumId w:val="5"/>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F8"/>
    <w:rsid w:val="00000FDA"/>
    <w:rsid w:val="00001956"/>
    <w:rsid w:val="00003985"/>
    <w:rsid w:val="0000444B"/>
    <w:rsid w:val="0000795D"/>
    <w:rsid w:val="000243E4"/>
    <w:rsid w:val="0002525E"/>
    <w:rsid w:val="000310FB"/>
    <w:rsid w:val="00035B81"/>
    <w:rsid w:val="00035E30"/>
    <w:rsid w:val="00036359"/>
    <w:rsid w:val="00036A19"/>
    <w:rsid w:val="00041133"/>
    <w:rsid w:val="000443F3"/>
    <w:rsid w:val="00050A82"/>
    <w:rsid w:val="00053CBE"/>
    <w:rsid w:val="00053D85"/>
    <w:rsid w:val="0006091F"/>
    <w:rsid w:val="00060F4A"/>
    <w:rsid w:val="00061265"/>
    <w:rsid w:val="00062C48"/>
    <w:rsid w:val="00062CCA"/>
    <w:rsid w:val="0006496F"/>
    <w:rsid w:val="00066BF9"/>
    <w:rsid w:val="00067A8D"/>
    <w:rsid w:val="00072F1D"/>
    <w:rsid w:val="0007413E"/>
    <w:rsid w:val="0007562D"/>
    <w:rsid w:val="00075707"/>
    <w:rsid w:val="00077F17"/>
    <w:rsid w:val="00084620"/>
    <w:rsid w:val="00085696"/>
    <w:rsid w:val="000860B9"/>
    <w:rsid w:val="00090DEE"/>
    <w:rsid w:val="00097A75"/>
    <w:rsid w:val="000A5E6B"/>
    <w:rsid w:val="000B1780"/>
    <w:rsid w:val="000B4273"/>
    <w:rsid w:val="000C6FEA"/>
    <w:rsid w:val="000C7A6A"/>
    <w:rsid w:val="000D132B"/>
    <w:rsid w:val="000D15CB"/>
    <w:rsid w:val="000D214F"/>
    <w:rsid w:val="000D2C26"/>
    <w:rsid w:val="000E19F6"/>
    <w:rsid w:val="000E390D"/>
    <w:rsid w:val="000E3FE9"/>
    <w:rsid w:val="000E6B28"/>
    <w:rsid w:val="000F6C98"/>
    <w:rsid w:val="000F77E4"/>
    <w:rsid w:val="001211C8"/>
    <w:rsid w:val="00123308"/>
    <w:rsid w:val="001344CA"/>
    <w:rsid w:val="0013497A"/>
    <w:rsid w:val="001356B5"/>
    <w:rsid w:val="00140295"/>
    <w:rsid w:val="00143453"/>
    <w:rsid w:val="00143EEB"/>
    <w:rsid w:val="00146B3D"/>
    <w:rsid w:val="00150BAE"/>
    <w:rsid w:val="00152FF9"/>
    <w:rsid w:val="0015788A"/>
    <w:rsid w:val="00162838"/>
    <w:rsid w:val="00164AEB"/>
    <w:rsid w:val="00164F30"/>
    <w:rsid w:val="0017509E"/>
    <w:rsid w:val="00177C9E"/>
    <w:rsid w:val="001868B3"/>
    <w:rsid w:val="001975D4"/>
    <w:rsid w:val="001A5BCA"/>
    <w:rsid w:val="001B104D"/>
    <w:rsid w:val="001B2ADF"/>
    <w:rsid w:val="001B4ACF"/>
    <w:rsid w:val="001C5528"/>
    <w:rsid w:val="001D2ADA"/>
    <w:rsid w:val="001D53AF"/>
    <w:rsid w:val="001F02E5"/>
    <w:rsid w:val="001F3F2B"/>
    <w:rsid w:val="001F56A8"/>
    <w:rsid w:val="00201546"/>
    <w:rsid w:val="0020438F"/>
    <w:rsid w:val="00204F36"/>
    <w:rsid w:val="00205EC1"/>
    <w:rsid w:val="002105EC"/>
    <w:rsid w:val="00214FA5"/>
    <w:rsid w:val="00215FD8"/>
    <w:rsid w:val="002164DF"/>
    <w:rsid w:val="00217092"/>
    <w:rsid w:val="00222CBD"/>
    <w:rsid w:val="00225810"/>
    <w:rsid w:val="00230B64"/>
    <w:rsid w:val="00235C4D"/>
    <w:rsid w:val="00240F3E"/>
    <w:rsid w:val="0024113A"/>
    <w:rsid w:val="00241CCB"/>
    <w:rsid w:val="00244AF1"/>
    <w:rsid w:val="00246B05"/>
    <w:rsid w:val="00263798"/>
    <w:rsid w:val="0027094F"/>
    <w:rsid w:val="00272DA7"/>
    <w:rsid w:val="00287067"/>
    <w:rsid w:val="00294CA6"/>
    <w:rsid w:val="0029539C"/>
    <w:rsid w:val="002A1343"/>
    <w:rsid w:val="002A3858"/>
    <w:rsid w:val="002B2611"/>
    <w:rsid w:val="002B2CEE"/>
    <w:rsid w:val="002B7305"/>
    <w:rsid w:val="002C04B4"/>
    <w:rsid w:val="002C0F9D"/>
    <w:rsid w:val="002C5CCB"/>
    <w:rsid w:val="002E0580"/>
    <w:rsid w:val="002E5D07"/>
    <w:rsid w:val="002F0341"/>
    <w:rsid w:val="002F0C4D"/>
    <w:rsid w:val="002F2665"/>
    <w:rsid w:val="002F4D8D"/>
    <w:rsid w:val="003009DB"/>
    <w:rsid w:val="003111B4"/>
    <w:rsid w:val="00313A1D"/>
    <w:rsid w:val="003277C0"/>
    <w:rsid w:val="0033623D"/>
    <w:rsid w:val="00336F0B"/>
    <w:rsid w:val="00337B6A"/>
    <w:rsid w:val="00340256"/>
    <w:rsid w:val="00360FF4"/>
    <w:rsid w:val="003621F2"/>
    <w:rsid w:val="00363C4D"/>
    <w:rsid w:val="0036662A"/>
    <w:rsid w:val="00366B29"/>
    <w:rsid w:val="003671F4"/>
    <w:rsid w:val="00367730"/>
    <w:rsid w:val="003716F4"/>
    <w:rsid w:val="00373202"/>
    <w:rsid w:val="0037328B"/>
    <w:rsid w:val="00373496"/>
    <w:rsid w:val="00373A27"/>
    <w:rsid w:val="003751FB"/>
    <w:rsid w:val="00382414"/>
    <w:rsid w:val="00382A68"/>
    <w:rsid w:val="00385EAA"/>
    <w:rsid w:val="00390187"/>
    <w:rsid w:val="00391C66"/>
    <w:rsid w:val="0039712A"/>
    <w:rsid w:val="003A21AA"/>
    <w:rsid w:val="003A44C0"/>
    <w:rsid w:val="003B2C19"/>
    <w:rsid w:val="003B51EC"/>
    <w:rsid w:val="003C46CB"/>
    <w:rsid w:val="003C5AAA"/>
    <w:rsid w:val="003C6323"/>
    <w:rsid w:val="003C6730"/>
    <w:rsid w:val="003D1BF5"/>
    <w:rsid w:val="003E118E"/>
    <w:rsid w:val="003E3185"/>
    <w:rsid w:val="003E7A34"/>
    <w:rsid w:val="003F041B"/>
    <w:rsid w:val="003F213B"/>
    <w:rsid w:val="003F2F16"/>
    <w:rsid w:val="003F69A5"/>
    <w:rsid w:val="00400817"/>
    <w:rsid w:val="00406D53"/>
    <w:rsid w:val="0040781E"/>
    <w:rsid w:val="00412AC9"/>
    <w:rsid w:val="004150DB"/>
    <w:rsid w:val="00415BBA"/>
    <w:rsid w:val="004215FB"/>
    <w:rsid w:val="00424D6B"/>
    <w:rsid w:val="00426F63"/>
    <w:rsid w:val="00427B0C"/>
    <w:rsid w:val="0043601B"/>
    <w:rsid w:val="00436704"/>
    <w:rsid w:val="00436B5E"/>
    <w:rsid w:val="00443957"/>
    <w:rsid w:val="004474B7"/>
    <w:rsid w:val="00456044"/>
    <w:rsid w:val="0045675C"/>
    <w:rsid w:val="004569FE"/>
    <w:rsid w:val="004576D4"/>
    <w:rsid w:val="0046004D"/>
    <w:rsid w:val="004619F7"/>
    <w:rsid w:val="00466D81"/>
    <w:rsid w:val="00480592"/>
    <w:rsid w:val="00484A0B"/>
    <w:rsid w:val="0049688A"/>
    <w:rsid w:val="004A2874"/>
    <w:rsid w:val="004A437C"/>
    <w:rsid w:val="004A5A64"/>
    <w:rsid w:val="004A70E6"/>
    <w:rsid w:val="004A7FF1"/>
    <w:rsid w:val="004B19DB"/>
    <w:rsid w:val="004B20D0"/>
    <w:rsid w:val="004C2313"/>
    <w:rsid w:val="004C61FF"/>
    <w:rsid w:val="004C6259"/>
    <w:rsid w:val="004D6DB7"/>
    <w:rsid w:val="004F6360"/>
    <w:rsid w:val="004F6A20"/>
    <w:rsid w:val="00500044"/>
    <w:rsid w:val="00506B37"/>
    <w:rsid w:val="00514C41"/>
    <w:rsid w:val="00531EAF"/>
    <w:rsid w:val="0053738E"/>
    <w:rsid w:val="0055283D"/>
    <w:rsid w:val="00561574"/>
    <w:rsid w:val="00561FC3"/>
    <w:rsid w:val="00563600"/>
    <w:rsid w:val="00564C4E"/>
    <w:rsid w:val="005812C3"/>
    <w:rsid w:val="00581C71"/>
    <w:rsid w:val="005826DE"/>
    <w:rsid w:val="00583472"/>
    <w:rsid w:val="00584299"/>
    <w:rsid w:val="00586143"/>
    <w:rsid w:val="00596FFF"/>
    <w:rsid w:val="005A0C23"/>
    <w:rsid w:val="005A1D72"/>
    <w:rsid w:val="005A264A"/>
    <w:rsid w:val="005A3D4B"/>
    <w:rsid w:val="005A59DC"/>
    <w:rsid w:val="005B3353"/>
    <w:rsid w:val="005C38A7"/>
    <w:rsid w:val="005C6C14"/>
    <w:rsid w:val="005D0B7C"/>
    <w:rsid w:val="005D1CFD"/>
    <w:rsid w:val="005D7EDA"/>
    <w:rsid w:val="005F07FB"/>
    <w:rsid w:val="005F14A7"/>
    <w:rsid w:val="005F3089"/>
    <w:rsid w:val="005F6794"/>
    <w:rsid w:val="005F7EE4"/>
    <w:rsid w:val="00622073"/>
    <w:rsid w:val="00624770"/>
    <w:rsid w:val="00624E91"/>
    <w:rsid w:val="00626BA5"/>
    <w:rsid w:val="00627869"/>
    <w:rsid w:val="00631C57"/>
    <w:rsid w:val="00632AA6"/>
    <w:rsid w:val="006500A6"/>
    <w:rsid w:val="00652BEA"/>
    <w:rsid w:val="00656EA7"/>
    <w:rsid w:val="00662205"/>
    <w:rsid w:val="0066310A"/>
    <w:rsid w:val="0066338A"/>
    <w:rsid w:val="0066739A"/>
    <w:rsid w:val="00682A26"/>
    <w:rsid w:val="00683BC9"/>
    <w:rsid w:val="006868F2"/>
    <w:rsid w:val="00686A68"/>
    <w:rsid w:val="00687CE1"/>
    <w:rsid w:val="00691268"/>
    <w:rsid w:val="006A2093"/>
    <w:rsid w:val="006A27A6"/>
    <w:rsid w:val="006A4170"/>
    <w:rsid w:val="006C0B5F"/>
    <w:rsid w:val="006D5E62"/>
    <w:rsid w:val="006D76B8"/>
    <w:rsid w:val="006E04A4"/>
    <w:rsid w:val="006E2A4E"/>
    <w:rsid w:val="006E5648"/>
    <w:rsid w:val="006E5BF0"/>
    <w:rsid w:val="006F1F7A"/>
    <w:rsid w:val="006F7F5A"/>
    <w:rsid w:val="00700319"/>
    <w:rsid w:val="0070174A"/>
    <w:rsid w:val="00702C78"/>
    <w:rsid w:val="007051CC"/>
    <w:rsid w:val="00706902"/>
    <w:rsid w:val="00706D28"/>
    <w:rsid w:val="00706DDD"/>
    <w:rsid w:val="00707317"/>
    <w:rsid w:val="0071099F"/>
    <w:rsid w:val="0072583F"/>
    <w:rsid w:val="007351B9"/>
    <w:rsid w:val="00737840"/>
    <w:rsid w:val="007631E0"/>
    <w:rsid w:val="00764A00"/>
    <w:rsid w:val="00766CAD"/>
    <w:rsid w:val="007752E4"/>
    <w:rsid w:val="007809C8"/>
    <w:rsid w:val="00780F1F"/>
    <w:rsid w:val="0078225E"/>
    <w:rsid w:val="007837A2"/>
    <w:rsid w:val="007839F3"/>
    <w:rsid w:val="00786418"/>
    <w:rsid w:val="00795830"/>
    <w:rsid w:val="007B4902"/>
    <w:rsid w:val="007B4B56"/>
    <w:rsid w:val="007C23A3"/>
    <w:rsid w:val="007C350D"/>
    <w:rsid w:val="007D5E46"/>
    <w:rsid w:val="007E563B"/>
    <w:rsid w:val="007F1BFA"/>
    <w:rsid w:val="007F2C1F"/>
    <w:rsid w:val="00800935"/>
    <w:rsid w:val="008022EF"/>
    <w:rsid w:val="00807911"/>
    <w:rsid w:val="008119C2"/>
    <w:rsid w:val="00811D14"/>
    <w:rsid w:val="00831925"/>
    <w:rsid w:val="00834768"/>
    <w:rsid w:val="008432A2"/>
    <w:rsid w:val="008468F8"/>
    <w:rsid w:val="008532CB"/>
    <w:rsid w:val="00854254"/>
    <w:rsid w:val="0085510F"/>
    <w:rsid w:val="00857404"/>
    <w:rsid w:val="00861D34"/>
    <w:rsid w:val="00864545"/>
    <w:rsid w:val="00867EF6"/>
    <w:rsid w:val="0087593E"/>
    <w:rsid w:val="00876B2B"/>
    <w:rsid w:val="00877C66"/>
    <w:rsid w:val="00882D68"/>
    <w:rsid w:val="008854E1"/>
    <w:rsid w:val="00890046"/>
    <w:rsid w:val="00890331"/>
    <w:rsid w:val="00890CCF"/>
    <w:rsid w:val="00891579"/>
    <w:rsid w:val="008A1074"/>
    <w:rsid w:val="008A1AF8"/>
    <w:rsid w:val="008A1EEB"/>
    <w:rsid w:val="008A719E"/>
    <w:rsid w:val="008B0216"/>
    <w:rsid w:val="008B0AD7"/>
    <w:rsid w:val="008C1CD0"/>
    <w:rsid w:val="008C3DF8"/>
    <w:rsid w:val="008C5149"/>
    <w:rsid w:val="008C5EB9"/>
    <w:rsid w:val="008C6290"/>
    <w:rsid w:val="008C6C77"/>
    <w:rsid w:val="008D4CD3"/>
    <w:rsid w:val="008D5940"/>
    <w:rsid w:val="008D5BCD"/>
    <w:rsid w:val="008D61AC"/>
    <w:rsid w:val="008F4E12"/>
    <w:rsid w:val="008F6252"/>
    <w:rsid w:val="008F7543"/>
    <w:rsid w:val="00906981"/>
    <w:rsid w:val="00907A47"/>
    <w:rsid w:val="00915808"/>
    <w:rsid w:val="00916CAE"/>
    <w:rsid w:val="00921D4D"/>
    <w:rsid w:val="0092527B"/>
    <w:rsid w:val="009311AC"/>
    <w:rsid w:val="00934A10"/>
    <w:rsid w:val="00940139"/>
    <w:rsid w:val="0094697D"/>
    <w:rsid w:val="00952AA1"/>
    <w:rsid w:val="00960FE4"/>
    <w:rsid w:val="0096704B"/>
    <w:rsid w:val="009723B7"/>
    <w:rsid w:val="0097536E"/>
    <w:rsid w:val="00975702"/>
    <w:rsid w:val="00976878"/>
    <w:rsid w:val="0098347C"/>
    <w:rsid w:val="00984BE2"/>
    <w:rsid w:val="009927DE"/>
    <w:rsid w:val="00992FE6"/>
    <w:rsid w:val="00994883"/>
    <w:rsid w:val="009A0141"/>
    <w:rsid w:val="009A1639"/>
    <w:rsid w:val="009A7FF6"/>
    <w:rsid w:val="009B550E"/>
    <w:rsid w:val="009C1BA6"/>
    <w:rsid w:val="009C31DD"/>
    <w:rsid w:val="009C661B"/>
    <w:rsid w:val="009C7C9E"/>
    <w:rsid w:val="009E1EB5"/>
    <w:rsid w:val="009E3065"/>
    <w:rsid w:val="009E5A0D"/>
    <w:rsid w:val="009E6896"/>
    <w:rsid w:val="009F745E"/>
    <w:rsid w:val="009F7B7F"/>
    <w:rsid w:val="00A166CE"/>
    <w:rsid w:val="00A23F0B"/>
    <w:rsid w:val="00A24313"/>
    <w:rsid w:val="00A24AF8"/>
    <w:rsid w:val="00A33DB1"/>
    <w:rsid w:val="00A3412A"/>
    <w:rsid w:val="00A45322"/>
    <w:rsid w:val="00A514CF"/>
    <w:rsid w:val="00A533D2"/>
    <w:rsid w:val="00A54928"/>
    <w:rsid w:val="00A643D1"/>
    <w:rsid w:val="00A6480F"/>
    <w:rsid w:val="00A7251D"/>
    <w:rsid w:val="00A809C0"/>
    <w:rsid w:val="00A82CFD"/>
    <w:rsid w:val="00A90FAE"/>
    <w:rsid w:val="00AA1F5C"/>
    <w:rsid w:val="00AA3744"/>
    <w:rsid w:val="00AD2121"/>
    <w:rsid w:val="00AE3142"/>
    <w:rsid w:val="00AE6520"/>
    <w:rsid w:val="00AE749F"/>
    <w:rsid w:val="00AF0046"/>
    <w:rsid w:val="00AF0EA2"/>
    <w:rsid w:val="00AF6B7E"/>
    <w:rsid w:val="00B03912"/>
    <w:rsid w:val="00B06666"/>
    <w:rsid w:val="00B0720D"/>
    <w:rsid w:val="00B1181A"/>
    <w:rsid w:val="00B15094"/>
    <w:rsid w:val="00B2452D"/>
    <w:rsid w:val="00B321F6"/>
    <w:rsid w:val="00B34362"/>
    <w:rsid w:val="00B34E99"/>
    <w:rsid w:val="00B37714"/>
    <w:rsid w:val="00B44B6E"/>
    <w:rsid w:val="00B5146F"/>
    <w:rsid w:val="00B51A4B"/>
    <w:rsid w:val="00B524B4"/>
    <w:rsid w:val="00B638CF"/>
    <w:rsid w:val="00B63D42"/>
    <w:rsid w:val="00B63FF1"/>
    <w:rsid w:val="00B71597"/>
    <w:rsid w:val="00B7236C"/>
    <w:rsid w:val="00B83242"/>
    <w:rsid w:val="00B84197"/>
    <w:rsid w:val="00B908AC"/>
    <w:rsid w:val="00B92077"/>
    <w:rsid w:val="00B94CBF"/>
    <w:rsid w:val="00B974B9"/>
    <w:rsid w:val="00BA0206"/>
    <w:rsid w:val="00BA63BE"/>
    <w:rsid w:val="00BB012E"/>
    <w:rsid w:val="00BB3342"/>
    <w:rsid w:val="00BB34A7"/>
    <w:rsid w:val="00BB4BCD"/>
    <w:rsid w:val="00BC0ECA"/>
    <w:rsid w:val="00BD2F32"/>
    <w:rsid w:val="00C00BDD"/>
    <w:rsid w:val="00C06612"/>
    <w:rsid w:val="00C077A4"/>
    <w:rsid w:val="00C1697D"/>
    <w:rsid w:val="00C173B3"/>
    <w:rsid w:val="00C227A9"/>
    <w:rsid w:val="00C23D44"/>
    <w:rsid w:val="00C26CA6"/>
    <w:rsid w:val="00C30EB9"/>
    <w:rsid w:val="00C32F33"/>
    <w:rsid w:val="00C56019"/>
    <w:rsid w:val="00C60C26"/>
    <w:rsid w:val="00C62C3D"/>
    <w:rsid w:val="00C63ACA"/>
    <w:rsid w:val="00C7054A"/>
    <w:rsid w:val="00C717EF"/>
    <w:rsid w:val="00C739EF"/>
    <w:rsid w:val="00C7439A"/>
    <w:rsid w:val="00C85A40"/>
    <w:rsid w:val="00C87652"/>
    <w:rsid w:val="00C92CE1"/>
    <w:rsid w:val="00CA182C"/>
    <w:rsid w:val="00CA2E12"/>
    <w:rsid w:val="00CB6323"/>
    <w:rsid w:val="00CC24B8"/>
    <w:rsid w:val="00CC44B4"/>
    <w:rsid w:val="00CD0930"/>
    <w:rsid w:val="00CD105B"/>
    <w:rsid w:val="00CE1BA5"/>
    <w:rsid w:val="00CE367D"/>
    <w:rsid w:val="00CE4CE1"/>
    <w:rsid w:val="00CE65A0"/>
    <w:rsid w:val="00CF4FFF"/>
    <w:rsid w:val="00CF7702"/>
    <w:rsid w:val="00D066FD"/>
    <w:rsid w:val="00D0692C"/>
    <w:rsid w:val="00D06D9E"/>
    <w:rsid w:val="00D102AC"/>
    <w:rsid w:val="00D12E9C"/>
    <w:rsid w:val="00D12ED9"/>
    <w:rsid w:val="00D14B0C"/>
    <w:rsid w:val="00D16BDA"/>
    <w:rsid w:val="00D246FC"/>
    <w:rsid w:val="00D24C67"/>
    <w:rsid w:val="00D24DAC"/>
    <w:rsid w:val="00D27BFF"/>
    <w:rsid w:val="00D45831"/>
    <w:rsid w:val="00D63741"/>
    <w:rsid w:val="00D64F50"/>
    <w:rsid w:val="00D73466"/>
    <w:rsid w:val="00D739F7"/>
    <w:rsid w:val="00D778EB"/>
    <w:rsid w:val="00D871A1"/>
    <w:rsid w:val="00D90A7F"/>
    <w:rsid w:val="00D915F5"/>
    <w:rsid w:val="00D94AA6"/>
    <w:rsid w:val="00DA1666"/>
    <w:rsid w:val="00DA7C35"/>
    <w:rsid w:val="00DB1C95"/>
    <w:rsid w:val="00DB2CC4"/>
    <w:rsid w:val="00DB474E"/>
    <w:rsid w:val="00DC2558"/>
    <w:rsid w:val="00DC52DE"/>
    <w:rsid w:val="00DD0AFC"/>
    <w:rsid w:val="00DD0F66"/>
    <w:rsid w:val="00DD11C8"/>
    <w:rsid w:val="00DE111E"/>
    <w:rsid w:val="00DE27AF"/>
    <w:rsid w:val="00DE72B0"/>
    <w:rsid w:val="00DF1AD2"/>
    <w:rsid w:val="00DF5ED6"/>
    <w:rsid w:val="00DF6F58"/>
    <w:rsid w:val="00E0069E"/>
    <w:rsid w:val="00E00E0B"/>
    <w:rsid w:val="00E05D84"/>
    <w:rsid w:val="00E26522"/>
    <w:rsid w:val="00E26B88"/>
    <w:rsid w:val="00E4506B"/>
    <w:rsid w:val="00E465A5"/>
    <w:rsid w:val="00E53183"/>
    <w:rsid w:val="00E55D48"/>
    <w:rsid w:val="00E56C41"/>
    <w:rsid w:val="00E56FAB"/>
    <w:rsid w:val="00E60907"/>
    <w:rsid w:val="00E62670"/>
    <w:rsid w:val="00E748F5"/>
    <w:rsid w:val="00E74945"/>
    <w:rsid w:val="00E7496E"/>
    <w:rsid w:val="00E82E76"/>
    <w:rsid w:val="00E840A0"/>
    <w:rsid w:val="00E86E36"/>
    <w:rsid w:val="00E919F7"/>
    <w:rsid w:val="00E9447B"/>
    <w:rsid w:val="00E96464"/>
    <w:rsid w:val="00EA488C"/>
    <w:rsid w:val="00EB5E8D"/>
    <w:rsid w:val="00EB7D38"/>
    <w:rsid w:val="00EC2A7F"/>
    <w:rsid w:val="00EC482A"/>
    <w:rsid w:val="00EC57FF"/>
    <w:rsid w:val="00ED1BEB"/>
    <w:rsid w:val="00ED60D5"/>
    <w:rsid w:val="00ED69B6"/>
    <w:rsid w:val="00EE14CE"/>
    <w:rsid w:val="00EE151A"/>
    <w:rsid w:val="00EE6791"/>
    <w:rsid w:val="00EE6EA5"/>
    <w:rsid w:val="00EE785F"/>
    <w:rsid w:val="00EF0791"/>
    <w:rsid w:val="00EF0DF3"/>
    <w:rsid w:val="00EF441D"/>
    <w:rsid w:val="00F0249C"/>
    <w:rsid w:val="00F0263A"/>
    <w:rsid w:val="00F04423"/>
    <w:rsid w:val="00F14210"/>
    <w:rsid w:val="00F16287"/>
    <w:rsid w:val="00F20BDD"/>
    <w:rsid w:val="00F307D7"/>
    <w:rsid w:val="00F32330"/>
    <w:rsid w:val="00F32A32"/>
    <w:rsid w:val="00F32D08"/>
    <w:rsid w:val="00F36727"/>
    <w:rsid w:val="00F40D99"/>
    <w:rsid w:val="00F43283"/>
    <w:rsid w:val="00F44442"/>
    <w:rsid w:val="00F462D9"/>
    <w:rsid w:val="00F50C16"/>
    <w:rsid w:val="00F61339"/>
    <w:rsid w:val="00F80220"/>
    <w:rsid w:val="00F806C9"/>
    <w:rsid w:val="00F80848"/>
    <w:rsid w:val="00F8127F"/>
    <w:rsid w:val="00F83F87"/>
    <w:rsid w:val="00F87040"/>
    <w:rsid w:val="00F906F5"/>
    <w:rsid w:val="00F908EC"/>
    <w:rsid w:val="00F90E3A"/>
    <w:rsid w:val="00F9389B"/>
    <w:rsid w:val="00FA2E86"/>
    <w:rsid w:val="00FA2F28"/>
    <w:rsid w:val="00FA451B"/>
    <w:rsid w:val="00FA5B87"/>
    <w:rsid w:val="00FC1B5B"/>
    <w:rsid w:val="00FC3681"/>
    <w:rsid w:val="00FC6EBE"/>
    <w:rsid w:val="00FD18C7"/>
    <w:rsid w:val="00FD4324"/>
    <w:rsid w:val="00FD7829"/>
    <w:rsid w:val="00FE1B5D"/>
    <w:rsid w:val="00FE2EBA"/>
    <w:rsid w:val="00FE3ABF"/>
    <w:rsid w:val="00FE55FB"/>
    <w:rsid w:val="00FE7269"/>
    <w:rsid w:val="00FE7F40"/>
    <w:rsid w:val="00FF30F9"/>
    <w:rsid w:val="00FF33F2"/>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7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snapToGrid w:val="0"/>
      <w:kern w:val="28"/>
      <w:sz w:val="22"/>
      <w:szCs w:val="20"/>
      <w:lang w:val="x-none" w:eastAsia="x-none"/>
    </w:rPr>
  </w:style>
  <w:style w:type="paragraph" w:styleId="Heading2">
    <w:name w:val="heading 2"/>
    <w:basedOn w:val="Normal"/>
    <w:next w:val="ParaNum"/>
    <w:link w:val="Heading2Char"/>
    <w:autoRedefine/>
    <w:qFormat/>
    <w:pPr>
      <w:keepNext/>
      <w:keepLines/>
      <w:numPr>
        <w:ilvl w:val="1"/>
        <w:numId w:val="2"/>
      </w:numPr>
      <w:spacing w:after="120"/>
      <w:outlineLvl w:val="1"/>
    </w:pPr>
    <w:rPr>
      <w:rFonts w:ascii="Times New Roman Bold" w:hAnsi="Times New Roman Bold"/>
      <w:b/>
      <w:szCs w:val="22"/>
      <w:lang w:val="x-none" w:eastAsia="x-none"/>
    </w:rPr>
  </w:style>
  <w:style w:type="paragraph" w:styleId="Heading3">
    <w:name w:val="heading 3"/>
    <w:basedOn w:val="Normal"/>
    <w:next w:val="ParaNum"/>
    <w:qFormat/>
    <w:pPr>
      <w:keepNext/>
      <w:numPr>
        <w:ilvl w:val="2"/>
        <w:numId w:val="2"/>
      </w:numPr>
      <w:spacing w:after="120"/>
      <w:outlineLvl w:val="2"/>
    </w:pPr>
    <w:rPr>
      <w:b/>
    </w:rPr>
  </w:style>
  <w:style w:type="paragraph" w:styleId="Heading4">
    <w:name w:val="heading 4"/>
    <w:basedOn w:val="Normal"/>
    <w:next w:val="ParaNum"/>
    <w:qFormat/>
    <w:pPr>
      <w:keepNext/>
      <w:numPr>
        <w:ilvl w:val="3"/>
        <w:numId w:val="2"/>
      </w:numPr>
      <w:spacing w:after="120"/>
      <w:outlineLvl w:val="3"/>
    </w:pPr>
    <w:rPr>
      <w:b/>
    </w:rPr>
  </w:style>
  <w:style w:type="paragraph" w:styleId="Heading5">
    <w:name w:val="heading 5"/>
    <w:basedOn w:val="Normal"/>
    <w:next w:val="ParaNum"/>
    <w:qFormat/>
    <w:pPr>
      <w:keepNext/>
      <w:numPr>
        <w:ilvl w:val="4"/>
        <w:numId w:val="2"/>
      </w:numPr>
      <w:suppressAutoHyphens/>
      <w:spacing w:after="120"/>
      <w:outlineLvl w:val="4"/>
    </w:pPr>
    <w:rPr>
      <w:b/>
    </w:rPr>
  </w:style>
  <w:style w:type="paragraph" w:styleId="Heading6">
    <w:name w:val="heading 6"/>
    <w:basedOn w:val="Normal"/>
    <w:next w:val="ParaNum"/>
    <w:qFormat/>
    <w:pPr>
      <w:numPr>
        <w:ilvl w:val="5"/>
        <w:numId w:val="2"/>
      </w:numPr>
      <w:spacing w:after="120"/>
      <w:outlineLvl w:val="5"/>
    </w:pPr>
    <w:rPr>
      <w:b/>
    </w:rPr>
  </w:style>
  <w:style w:type="paragraph" w:styleId="Heading7">
    <w:name w:val="heading 7"/>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rPr>
      <w:snapToGrid w:val="0"/>
      <w:kern w:val="28"/>
      <w:sz w:val="22"/>
      <w:szCs w:val="20"/>
    </w:rPr>
  </w:style>
  <w:style w:type="character" w:customStyle="1" w:styleId="ParaNumChar">
    <w:name w:val="ParaNum Char"/>
    <w:link w:val="ParaNum"/>
    <w:rPr>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uiPriority w:val="99"/>
    <w:rsid w:val="005F14A7"/>
    <w:pPr>
      <w:spacing w:after="120"/>
    </w:p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uiPriority w:val="99"/>
  </w:style>
  <w:style w:type="character" w:styleId="FootnoteReference">
    <w:name w:val="footnote reference"/>
    <w:aliases w:val="Appel note de bas de p,Style 12,(NECG) Footnote Reference,Style 124,o,fr,Style 3,Style 13,FR,Style 17"/>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jc w:val="center"/>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TableFormat">
    <w:name w:val="TableFormat"/>
    <w:basedOn w:val="Normal"/>
    <w:pPr>
      <w:tabs>
        <w:tab w:val="left" w:pos="5040"/>
      </w:tabs>
      <w:spacing w:after="220"/>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styleId="Hyperlink">
    <w:name w:val="Hyperlink"/>
    <w:rPr>
      <w:color w:val="0000FF"/>
      <w:u w:val="single"/>
    </w:r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Footnote Text Char Char1"/>
    <w:semiHidden/>
    <w:rPr>
      <w:lang w:val="en-US" w:eastAsia="en-US" w:bidi="ar-SA"/>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rPr>
      <w:snapToGrid w:val="0"/>
      <w:kern w:val="28"/>
      <w:sz w:val="20"/>
      <w:szCs w:val="20"/>
    </w:rPr>
  </w:style>
  <w:style w:type="paragraph" w:styleId="BalloonText">
    <w:name w:val="Balloon Text"/>
    <w:basedOn w:val="Normal"/>
    <w:link w:val="BalloonTextChar"/>
    <w:semiHidden/>
    <w:rPr>
      <w:rFonts w:ascii="Tahoma" w:hAnsi="Tahoma" w:cs="Tahoma"/>
      <w:snapToGrid w:val="0"/>
      <w:kern w:val="28"/>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customStyle="1" w:styleId="FootnoteTextChar2Char">
    <w:name w:val="Footnote Text Char2 Char"/>
    <w:aliases w:val="Footnote Text Char Char1 Char,Footnote Text Char1 Char Char Char,Footnote Text Char Char1 Char Char Char,Footnote Text Char3 Char Char Char Char Char,Footnote Text Char Char Char1 Char Char Char Char"/>
    <w:semiHidden/>
    <w:locked/>
    <w:rPr>
      <w:rFonts w:cs="Times New Roman"/>
      <w:lang w:val="en-US" w:eastAsia="en-US" w:bidi="ar-SA"/>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paragraph" w:customStyle="1" w:styleId="Bulleted">
    <w:name w:val="Bulleted"/>
    <w:aliases w:val="Symbol (symbol),Left:  1.25&quot;,Hanging:  0.25&quot;"/>
    <w:basedOn w:val="Normal"/>
    <w:pPr>
      <w:numPr>
        <w:numId w:val="3"/>
      </w:numPr>
    </w:pPr>
  </w:style>
  <w:style w:type="paragraph" w:styleId="DocumentMap">
    <w:name w:val="Document Map"/>
    <w:basedOn w:val="Normal"/>
    <w:semiHidden/>
    <w:pPr>
      <w:shd w:val="clear" w:color="auto" w:fill="000080"/>
    </w:pPr>
    <w:rPr>
      <w:rFonts w:ascii="Tahoma" w:hAnsi="Tahoma" w:cs="Tahoma"/>
      <w:sz w:val="20"/>
    </w:rPr>
  </w:style>
  <w:style w:type="character" w:customStyle="1" w:styleId="ALTSFOOTNOTEChar">
    <w:name w:val="ALTS FOOTNOTE Char"/>
    <w:uiPriority w:val="99"/>
    <w:semiHidden/>
    <w:locked/>
    <w:rPr>
      <w:rFonts w:ascii="Calibri" w:hAnsi="Calibri"/>
      <w:lang w:val="en-US" w:eastAsia="en-US" w:bidi="ar-SA"/>
    </w:rPr>
  </w:style>
  <w:style w:type="character" w:customStyle="1" w:styleId="CommentTextChar">
    <w:name w:val="Comment Text Char"/>
    <w:link w:val="CommentText"/>
    <w:semiHidden/>
    <w:locked/>
    <w:rPr>
      <w:snapToGrid w:val="0"/>
      <w:kern w:val="28"/>
      <w:lang w:val="en-US" w:eastAsia="en-US" w:bidi="ar-SA"/>
    </w:rPr>
  </w:style>
  <w:style w:type="character" w:customStyle="1" w:styleId="ptext-1">
    <w:name w:val="ptext-1"/>
    <w:rPr>
      <w:rFonts w:cs="Times New Roman"/>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StyleFootnoteReference12ptBold">
    <w:name w:val="Style Footnote Reference + 12 pt Bold"/>
    <w:rPr>
      <w:rFonts w:ascii="Times New Roman" w:hAnsi="Times New Roman"/>
      <w:bCs/>
      <w:dstrike w:val="0"/>
      <w:color w:val="auto"/>
      <w:sz w:val="24"/>
      <w:vertAlign w:val="superscript"/>
    </w:rPr>
  </w:style>
  <w:style w:type="character" w:customStyle="1" w:styleId="StyleFootnoteReference">
    <w:name w:val="Style Footnote Reference +"/>
    <w:rPr>
      <w:rFonts w:ascii="Times New Roman" w:hAnsi="Times New Roman"/>
      <w:dstrike w:val="0"/>
      <w:color w:val="auto"/>
      <w:sz w:val="20"/>
      <w:vertAlign w:val="superscript"/>
    </w:rPr>
  </w:style>
  <w:style w:type="character" w:customStyle="1" w:styleId="StyleFootnoteReference12ptBold1">
    <w:name w:val="Style Footnote Reference + 12 pt Bold1"/>
    <w:rPr>
      <w:rFonts w:ascii="Times New Roman" w:hAnsi="Times New Roman"/>
      <w:bCs/>
      <w:dstrike w:val="0"/>
      <w:color w:val="auto"/>
      <w:sz w:val="20"/>
      <w:vertAlign w:val="superscript"/>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Heading2Char">
    <w:name w:val="Heading 2 Char"/>
    <w:link w:val="Heading2"/>
    <w:rPr>
      <w:rFonts w:ascii="Times New Roman Bold" w:hAnsi="Times New Roman Bold"/>
      <w:b/>
      <w:sz w:val="24"/>
      <w:szCs w:val="22"/>
      <w:lang w:val="x-none" w:eastAsia="x-none" w:bidi="ar-SA"/>
    </w:rPr>
  </w:style>
  <w:style w:type="paragraph" w:customStyle="1" w:styleId="ColorfulShading-Accent11">
    <w:name w:val="Colorful Shading - Accent 11"/>
    <w:hidden/>
    <w:uiPriority w:val="99"/>
    <w:semiHidden/>
    <w:rPr>
      <w:sz w:val="24"/>
      <w:szCs w:val="24"/>
    </w:rPr>
  </w:style>
  <w:style w:type="character" w:customStyle="1" w:styleId="ParaNumChar2">
    <w:name w:val="ParaNum Char2"/>
    <w:rPr>
      <w:snapToGrid w:val="0"/>
      <w:kern w:val="28"/>
      <w:sz w:val="22"/>
      <w:lang w:val="en-US" w:eastAsia="en-US" w:bidi="ar-SA"/>
    </w:rPr>
  </w:style>
  <w:style w:type="character" w:customStyle="1" w:styleId="ptext-">
    <w:name w:val="ptext-"/>
    <w:basedOn w:val="DefaultParagraphFont"/>
    <w:rsid w:val="00C06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snapToGrid w:val="0"/>
      <w:kern w:val="28"/>
      <w:sz w:val="22"/>
      <w:szCs w:val="20"/>
      <w:lang w:val="x-none" w:eastAsia="x-none"/>
    </w:rPr>
  </w:style>
  <w:style w:type="paragraph" w:styleId="Heading2">
    <w:name w:val="heading 2"/>
    <w:basedOn w:val="Normal"/>
    <w:next w:val="ParaNum"/>
    <w:link w:val="Heading2Char"/>
    <w:autoRedefine/>
    <w:qFormat/>
    <w:pPr>
      <w:keepNext/>
      <w:keepLines/>
      <w:numPr>
        <w:ilvl w:val="1"/>
        <w:numId w:val="2"/>
      </w:numPr>
      <w:spacing w:after="120"/>
      <w:outlineLvl w:val="1"/>
    </w:pPr>
    <w:rPr>
      <w:rFonts w:ascii="Times New Roman Bold" w:hAnsi="Times New Roman Bold"/>
      <w:b/>
      <w:szCs w:val="22"/>
      <w:lang w:val="x-none" w:eastAsia="x-none"/>
    </w:rPr>
  </w:style>
  <w:style w:type="paragraph" w:styleId="Heading3">
    <w:name w:val="heading 3"/>
    <w:basedOn w:val="Normal"/>
    <w:next w:val="ParaNum"/>
    <w:qFormat/>
    <w:pPr>
      <w:keepNext/>
      <w:numPr>
        <w:ilvl w:val="2"/>
        <w:numId w:val="2"/>
      </w:numPr>
      <w:spacing w:after="120"/>
      <w:outlineLvl w:val="2"/>
    </w:pPr>
    <w:rPr>
      <w:b/>
    </w:rPr>
  </w:style>
  <w:style w:type="paragraph" w:styleId="Heading4">
    <w:name w:val="heading 4"/>
    <w:basedOn w:val="Normal"/>
    <w:next w:val="ParaNum"/>
    <w:qFormat/>
    <w:pPr>
      <w:keepNext/>
      <w:numPr>
        <w:ilvl w:val="3"/>
        <w:numId w:val="2"/>
      </w:numPr>
      <w:spacing w:after="120"/>
      <w:outlineLvl w:val="3"/>
    </w:pPr>
    <w:rPr>
      <w:b/>
    </w:rPr>
  </w:style>
  <w:style w:type="paragraph" w:styleId="Heading5">
    <w:name w:val="heading 5"/>
    <w:basedOn w:val="Normal"/>
    <w:next w:val="ParaNum"/>
    <w:qFormat/>
    <w:pPr>
      <w:keepNext/>
      <w:numPr>
        <w:ilvl w:val="4"/>
        <w:numId w:val="2"/>
      </w:numPr>
      <w:suppressAutoHyphens/>
      <w:spacing w:after="120"/>
      <w:outlineLvl w:val="4"/>
    </w:pPr>
    <w:rPr>
      <w:b/>
    </w:rPr>
  </w:style>
  <w:style w:type="paragraph" w:styleId="Heading6">
    <w:name w:val="heading 6"/>
    <w:basedOn w:val="Normal"/>
    <w:next w:val="ParaNum"/>
    <w:qFormat/>
    <w:pPr>
      <w:numPr>
        <w:ilvl w:val="5"/>
        <w:numId w:val="2"/>
      </w:numPr>
      <w:spacing w:after="120"/>
      <w:outlineLvl w:val="5"/>
    </w:pPr>
    <w:rPr>
      <w:b/>
    </w:rPr>
  </w:style>
  <w:style w:type="paragraph" w:styleId="Heading7">
    <w:name w:val="heading 7"/>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rPr>
      <w:snapToGrid w:val="0"/>
      <w:kern w:val="28"/>
      <w:sz w:val="22"/>
      <w:szCs w:val="20"/>
    </w:rPr>
  </w:style>
  <w:style w:type="character" w:customStyle="1" w:styleId="ParaNumChar">
    <w:name w:val="ParaNum Char"/>
    <w:link w:val="ParaNum"/>
    <w:rPr>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uiPriority w:val="99"/>
    <w:rsid w:val="005F14A7"/>
    <w:pPr>
      <w:spacing w:after="120"/>
    </w:p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uiPriority w:val="99"/>
  </w:style>
  <w:style w:type="character" w:styleId="FootnoteReference">
    <w:name w:val="footnote reference"/>
    <w:aliases w:val="Appel note de bas de p,Style 12,(NECG) Footnote Reference,Style 124,o,fr,Style 3,Style 13,FR,Style 17"/>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jc w:val="center"/>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TableFormat">
    <w:name w:val="TableFormat"/>
    <w:basedOn w:val="Normal"/>
    <w:pPr>
      <w:tabs>
        <w:tab w:val="left" w:pos="5040"/>
      </w:tabs>
      <w:spacing w:after="220"/>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styleId="Hyperlink">
    <w:name w:val="Hyperlink"/>
    <w:rPr>
      <w:color w:val="0000FF"/>
      <w:u w:val="single"/>
    </w:r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Footnote Text Char Char1"/>
    <w:semiHidden/>
    <w:rPr>
      <w:lang w:val="en-US" w:eastAsia="en-US" w:bidi="ar-SA"/>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rPr>
      <w:snapToGrid w:val="0"/>
      <w:kern w:val="28"/>
      <w:sz w:val="20"/>
      <w:szCs w:val="20"/>
    </w:rPr>
  </w:style>
  <w:style w:type="paragraph" w:styleId="BalloonText">
    <w:name w:val="Balloon Text"/>
    <w:basedOn w:val="Normal"/>
    <w:link w:val="BalloonTextChar"/>
    <w:semiHidden/>
    <w:rPr>
      <w:rFonts w:ascii="Tahoma" w:hAnsi="Tahoma" w:cs="Tahoma"/>
      <w:snapToGrid w:val="0"/>
      <w:kern w:val="28"/>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customStyle="1" w:styleId="FootnoteTextChar2Char">
    <w:name w:val="Footnote Text Char2 Char"/>
    <w:aliases w:val="Footnote Text Char Char1 Char,Footnote Text Char1 Char Char Char,Footnote Text Char Char1 Char Char Char,Footnote Text Char3 Char Char Char Char Char,Footnote Text Char Char Char1 Char Char Char Char"/>
    <w:semiHidden/>
    <w:locked/>
    <w:rPr>
      <w:rFonts w:cs="Times New Roman"/>
      <w:lang w:val="en-US" w:eastAsia="en-US" w:bidi="ar-SA"/>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paragraph" w:customStyle="1" w:styleId="Bulleted">
    <w:name w:val="Bulleted"/>
    <w:aliases w:val="Symbol (symbol),Left:  1.25&quot;,Hanging:  0.25&quot;"/>
    <w:basedOn w:val="Normal"/>
    <w:pPr>
      <w:numPr>
        <w:numId w:val="3"/>
      </w:numPr>
    </w:pPr>
  </w:style>
  <w:style w:type="paragraph" w:styleId="DocumentMap">
    <w:name w:val="Document Map"/>
    <w:basedOn w:val="Normal"/>
    <w:semiHidden/>
    <w:pPr>
      <w:shd w:val="clear" w:color="auto" w:fill="000080"/>
    </w:pPr>
    <w:rPr>
      <w:rFonts w:ascii="Tahoma" w:hAnsi="Tahoma" w:cs="Tahoma"/>
      <w:sz w:val="20"/>
    </w:rPr>
  </w:style>
  <w:style w:type="character" w:customStyle="1" w:styleId="ALTSFOOTNOTEChar">
    <w:name w:val="ALTS FOOTNOTE Char"/>
    <w:uiPriority w:val="99"/>
    <w:semiHidden/>
    <w:locked/>
    <w:rPr>
      <w:rFonts w:ascii="Calibri" w:hAnsi="Calibri"/>
      <w:lang w:val="en-US" w:eastAsia="en-US" w:bidi="ar-SA"/>
    </w:rPr>
  </w:style>
  <w:style w:type="character" w:customStyle="1" w:styleId="CommentTextChar">
    <w:name w:val="Comment Text Char"/>
    <w:link w:val="CommentText"/>
    <w:semiHidden/>
    <w:locked/>
    <w:rPr>
      <w:snapToGrid w:val="0"/>
      <w:kern w:val="28"/>
      <w:lang w:val="en-US" w:eastAsia="en-US" w:bidi="ar-SA"/>
    </w:rPr>
  </w:style>
  <w:style w:type="character" w:customStyle="1" w:styleId="ptext-1">
    <w:name w:val="ptext-1"/>
    <w:rPr>
      <w:rFonts w:cs="Times New Roman"/>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StyleFootnoteReference12ptBold">
    <w:name w:val="Style Footnote Reference + 12 pt Bold"/>
    <w:rPr>
      <w:rFonts w:ascii="Times New Roman" w:hAnsi="Times New Roman"/>
      <w:bCs/>
      <w:dstrike w:val="0"/>
      <w:color w:val="auto"/>
      <w:sz w:val="24"/>
      <w:vertAlign w:val="superscript"/>
    </w:rPr>
  </w:style>
  <w:style w:type="character" w:customStyle="1" w:styleId="StyleFootnoteReference">
    <w:name w:val="Style Footnote Reference +"/>
    <w:rPr>
      <w:rFonts w:ascii="Times New Roman" w:hAnsi="Times New Roman"/>
      <w:dstrike w:val="0"/>
      <w:color w:val="auto"/>
      <w:sz w:val="20"/>
      <w:vertAlign w:val="superscript"/>
    </w:rPr>
  </w:style>
  <w:style w:type="character" w:customStyle="1" w:styleId="StyleFootnoteReference12ptBold1">
    <w:name w:val="Style Footnote Reference + 12 pt Bold1"/>
    <w:rPr>
      <w:rFonts w:ascii="Times New Roman" w:hAnsi="Times New Roman"/>
      <w:bCs/>
      <w:dstrike w:val="0"/>
      <w:color w:val="auto"/>
      <w:sz w:val="20"/>
      <w:vertAlign w:val="superscript"/>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Heading2Char">
    <w:name w:val="Heading 2 Char"/>
    <w:link w:val="Heading2"/>
    <w:rPr>
      <w:rFonts w:ascii="Times New Roman Bold" w:hAnsi="Times New Roman Bold"/>
      <w:b/>
      <w:sz w:val="24"/>
      <w:szCs w:val="22"/>
      <w:lang w:val="x-none" w:eastAsia="x-none" w:bidi="ar-SA"/>
    </w:rPr>
  </w:style>
  <w:style w:type="paragraph" w:customStyle="1" w:styleId="ColorfulShading-Accent11">
    <w:name w:val="Colorful Shading - Accent 11"/>
    <w:hidden/>
    <w:uiPriority w:val="99"/>
    <w:semiHidden/>
    <w:rPr>
      <w:sz w:val="24"/>
      <w:szCs w:val="24"/>
    </w:rPr>
  </w:style>
  <w:style w:type="character" w:customStyle="1" w:styleId="ParaNumChar2">
    <w:name w:val="ParaNum Char2"/>
    <w:rPr>
      <w:snapToGrid w:val="0"/>
      <w:kern w:val="28"/>
      <w:sz w:val="22"/>
      <w:lang w:val="en-US" w:eastAsia="en-US" w:bidi="ar-SA"/>
    </w:rPr>
  </w:style>
  <w:style w:type="character" w:customStyle="1" w:styleId="ptext-">
    <w:name w:val="ptext-"/>
    <w:basedOn w:val="DefaultParagraphFont"/>
    <w:rsid w:val="00C0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8721">
      <w:bodyDiv w:val="1"/>
      <w:marLeft w:val="0"/>
      <w:marRight w:val="0"/>
      <w:marTop w:val="0"/>
      <w:marBottom w:val="0"/>
      <w:divBdr>
        <w:top w:val="none" w:sz="0" w:space="0" w:color="auto"/>
        <w:left w:val="none" w:sz="0" w:space="0" w:color="auto"/>
        <w:bottom w:val="none" w:sz="0" w:space="0" w:color="auto"/>
        <w:right w:val="none" w:sz="0" w:space="0" w:color="auto"/>
      </w:divBdr>
    </w:div>
    <w:div w:id="288167299">
      <w:bodyDiv w:val="1"/>
      <w:marLeft w:val="0"/>
      <w:marRight w:val="0"/>
      <w:marTop w:val="0"/>
      <w:marBottom w:val="0"/>
      <w:divBdr>
        <w:top w:val="none" w:sz="0" w:space="0" w:color="auto"/>
        <w:left w:val="none" w:sz="0" w:space="0" w:color="auto"/>
        <w:bottom w:val="none" w:sz="0" w:space="0" w:color="auto"/>
        <w:right w:val="none" w:sz="0" w:space="0" w:color="auto"/>
      </w:divBdr>
    </w:div>
    <w:div w:id="403844020">
      <w:bodyDiv w:val="1"/>
      <w:marLeft w:val="0"/>
      <w:marRight w:val="0"/>
      <w:marTop w:val="0"/>
      <w:marBottom w:val="0"/>
      <w:divBdr>
        <w:top w:val="none" w:sz="0" w:space="0" w:color="auto"/>
        <w:left w:val="none" w:sz="0" w:space="0" w:color="auto"/>
        <w:bottom w:val="none" w:sz="0" w:space="0" w:color="auto"/>
        <w:right w:val="none" w:sz="0" w:space="0" w:color="auto"/>
      </w:divBdr>
    </w:div>
    <w:div w:id="422148751">
      <w:bodyDiv w:val="1"/>
      <w:marLeft w:val="0"/>
      <w:marRight w:val="0"/>
      <w:marTop w:val="0"/>
      <w:marBottom w:val="0"/>
      <w:divBdr>
        <w:top w:val="none" w:sz="0" w:space="0" w:color="auto"/>
        <w:left w:val="none" w:sz="0" w:space="0" w:color="auto"/>
        <w:bottom w:val="none" w:sz="0" w:space="0" w:color="auto"/>
        <w:right w:val="none" w:sz="0" w:space="0" w:color="auto"/>
      </w:divBdr>
      <w:divsChild>
        <w:div w:id="2042392117">
          <w:marLeft w:val="0"/>
          <w:marRight w:val="0"/>
          <w:marTop w:val="0"/>
          <w:marBottom w:val="0"/>
          <w:divBdr>
            <w:top w:val="none" w:sz="0" w:space="0" w:color="auto"/>
            <w:left w:val="none" w:sz="0" w:space="0" w:color="auto"/>
            <w:bottom w:val="none" w:sz="0" w:space="0" w:color="auto"/>
            <w:right w:val="none" w:sz="0" w:space="0" w:color="auto"/>
          </w:divBdr>
        </w:div>
      </w:divsChild>
    </w:div>
    <w:div w:id="853347345">
      <w:bodyDiv w:val="1"/>
      <w:marLeft w:val="0"/>
      <w:marRight w:val="0"/>
      <w:marTop w:val="0"/>
      <w:marBottom w:val="0"/>
      <w:divBdr>
        <w:top w:val="none" w:sz="0" w:space="0" w:color="auto"/>
        <w:left w:val="none" w:sz="0" w:space="0" w:color="auto"/>
        <w:bottom w:val="none" w:sz="0" w:space="0" w:color="auto"/>
        <w:right w:val="none" w:sz="0" w:space="0" w:color="auto"/>
      </w:divBdr>
      <w:divsChild>
        <w:div w:id="676810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483">
              <w:marLeft w:val="0"/>
              <w:marRight w:val="0"/>
              <w:marTop w:val="0"/>
              <w:marBottom w:val="0"/>
              <w:divBdr>
                <w:top w:val="none" w:sz="0" w:space="0" w:color="auto"/>
                <w:left w:val="none" w:sz="0" w:space="0" w:color="auto"/>
                <w:bottom w:val="none" w:sz="0" w:space="0" w:color="auto"/>
                <w:right w:val="none" w:sz="0" w:space="0" w:color="auto"/>
              </w:divBdr>
              <w:divsChild>
                <w:div w:id="1954290552">
                  <w:marLeft w:val="0"/>
                  <w:marRight w:val="0"/>
                  <w:marTop w:val="0"/>
                  <w:marBottom w:val="0"/>
                  <w:divBdr>
                    <w:top w:val="none" w:sz="0" w:space="0" w:color="auto"/>
                    <w:left w:val="none" w:sz="0" w:space="0" w:color="auto"/>
                    <w:bottom w:val="none" w:sz="0" w:space="0" w:color="auto"/>
                    <w:right w:val="none" w:sz="0" w:space="0" w:color="auto"/>
                  </w:divBdr>
                  <w:divsChild>
                    <w:div w:id="730277103">
                      <w:marLeft w:val="0"/>
                      <w:marRight w:val="0"/>
                      <w:marTop w:val="0"/>
                      <w:marBottom w:val="0"/>
                      <w:divBdr>
                        <w:top w:val="none" w:sz="0" w:space="0" w:color="auto"/>
                        <w:left w:val="none" w:sz="0" w:space="0" w:color="auto"/>
                        <w:bottom w:val="none" w:sz="0" w:space="0" w:color="auto"/>
                        <w:right w:val="none" w:sz="0" w:space="0" w:color="auto"/>
                      </w:divBdr>
                      <w:divsChild>
                        <w:div w:id="767626198">
                          <w:marLeft w:val="0"/>
                          <w:marRight w:val="0"/>
                          <w:marTop w:val="0"/>
                          <w:marBottom w:val="0"/>
                          <w:divBdr>
                            <w:top w:val="none" w:sz="0" w:space="0" w:color="auto"/>
                            <w:left w:val="none" w:sz="0" w:space="0" w:color="auto"/>
                            <w:bottom w:val="none" w:sz="0" w:space="0" w:color="auto"/>
                            <w:right w:val="none" w:sz="0" w:space="0" w:color="auto"/>
                          </w:divBdr>
                          <w:divsChild>
                            <w:div w:id="190340561">
                              <w:marLeft w:val="0"/>
                              <w:marRight w:val="0"/>
                              <w:marTop w:val="0"/>
                              <w:marBottom w:val="0"/>
                              <w:divBdr>
                                <w:top w:val="none" w:sz="0" w:space="0" w:color="auto"/>
                                <w:left w:val="none" w:sz="0" w:space="0" w:color="auto"/>
                                <w:bottom w:val="none" w:sz="0" w:space="0" w:color="auto"/>
                                <w:right w:val="none" w:sz="0" w:space="0" w:color="auto"/>
                              </w:divBdr>
                              <w:divsChild>
                                <w:div w:id="989871355">
                                  <w:marLeft w:val="0"/>
                                  <w:marRight w:val="0"/>
                                  <w:marTop w:val="0"/>
                                  <w:marBottom w:val="0"/>
                                  <w:divBdr>
                                    <w:top w:val="none" w:sz="0" w:space="0" w:color="auto"/>
                                    <w:left w:val="none" w:sz="0" w:space="0" w:color="auto"/>
                                    <w:bottom w:val="none" w:sz="0" w:space="0" w:color="auto"/>
                                    <w:right w:val="none" w:sz="0" w:space="0" w:color="auto"/>
                                  </w:divBdr>
                                  <w:divsChild>
                                    <w:div w:id="56245801">
                                      <w:marLeft w:val="0"/>
                                      <w:marRight w:val="0"/>
                                      <w:marTop w:val="0"/>
                                      <w:marBottom w:val="0"/>
                                      <w:divBdr>
                                        <w:top w:val="none" w:sz="0" w:space="0" w:color="auto"/>
                                        <w:left w:val="none" w:sz="0" w:space="0" w:color="auto"/>
                                        <w:bottom w:val="none" w:sz="0" w:space="0" w:color="auto"/>
                                        <w:right w:val="none" w:sz="0" w:space="0" w:color="auto"/>
                                      </w:divBdr>
                                      <w:divsChild>
                                        <w:div w:id="1636373782">
                                          <w:marLeft w:val="0"/>
                                          <w:marRight w:val="0"/>
                                          <w:marTop w:val="0"/>
                                          <w:marBottom w:val="0"/>
                                          <w:divBdr>
                                            <w:top w:val="none" w:sz="0" w:space="0" w:color="auto"/>
                                            <w:left w:val="none" w:sz="0" w:space="0" w:color="auto"/>
                                            <w:bottom w:val="none" w:sz="0" w:space="0" w:color="auto"/>
                                            <w:right w:val="none" w:sz="0" w:space="0" w:color="auto"/>
                                          </w:divBdr>
                                          <w:divsChild>
                                            <w:div w:id="98722517">
                                              <w:marLeft w:val="0"/>
                                              <w:marRight w:val="0"/>
                                              <w:marTop w:val="0"/>
                                              <w:marBottom w:val="0"/>
                                              <w:divBdr>
                                                <w:top w:val="none" w:sz="0" w:space="0" w:color="auto"/>
                                                <w:left w:val="none" w:sz="0" w:space="0" w:color="auto"/>
                                                <w:bottom w:val="none" w:sz="0" w:space="0" w:color="auto"/>
                                                <w:right w:val="none" w:sz="0" w:space="0" w:color="auto"/>
                                              </w:divBdr>
                                              <w:divsChild>
                                                <w:div w:id="426779524">
                                                  <w:marLeft w:val="0"/>
                                                  <w:marRight w:val="0"/>
                                                  <w:marTop w:val="0"/>
                                                  <w:marBottom w:val="0"/>
                                                  <w:divBdr>
                                                    <w:top w:val="none" w:sz="0" w:space="0" w:color="auto"/>
                                                    <w:left w:val="none" w:sz="0" w:space="0" w:color="auto"/>
                                                    <w:bottom w:val="none" w:sz="0" w:space="0" w:color="auto"/>
                                                    <w:right w:val="none" w:sz="0" w:space="0" w:color="auto"/>
                                                  </w:divBdr>
                                                </w:div>
                                              </w:divsChild>
                                            </w:div>
                                            <w:div w:id="113137659">
                                              <w:marLeft w:val="0"/>
                                              <w:marRight w:val="0"/>
                                              <w:marTop w:val="0"/>
                                              <w:marBottom w:val="0"/>
                                              <w:divBdr>
                                                <w:top w:val="none" w:sz="0" w:space="0" w:color="auto"/>
                                                <w:left w:val="none" w:sz="0" w:space="0" w:color="auto"/>
                                                <w:bottom w:val="none" w:sz="0" w:space="0" w:color="auto"/>
                                                <w:right w:val="none" w:sz="0" w:space="0" w:color="auto"/>
                                              </w:divBdr>
                                              <w:divsChild>
                                                <w:div w:id="1098136530">
                                                  <w:marLeft w:val="0"/>
                                                  <w:marRight w:val="0"/>
                                                  <w:marTop w:val="0"/>
                                                  <w:marBottom w:val="0"/>
                                                  <w:divBdr>
                                                    <w:top w:val="none" w:sz="0" w:space="0" w:color="auto"/>
                                                    <w:left w:val="none" w:sz="0" w:space="0" w:color="auto"/>
                                                    <w:bottom w:val="none" w:sz="0" w:space="0" w:color="auto"/>
                                                    <w:right w:val="none" w:sz="0" w:space="0" w:color="auto"/>
                                                  </w:divBdr>
                                                </w:div>
                                              </w:divsChild>
                                            </w:div>
                                            <w:div w:id="126313621">
                                              <w:marLeft w:val="0"/>
                                              <w:marRight w:val="0"/>
                                              <w:marTop w:val="0"/>
                                              <w:marBottom w:val="0"/>
                                              <w:divBdr>
                                                <w:top w:val="none" w:sz="0" w:space="0" w:color="auto"/>
                                                <w:left w:val="none" w:sz="0" w:space="0" w:color="auto"/>
                                                <w:bottom w:val="none" w:sz="0" w:space="0" w:color="auto"/>
                                                <w:right w:val="none" w:sz="0" w:space="0" w:color="auto"/>
                                              </w:divBdr>
                                              <w:divsChild>
                                                <w:div w:id="1767848260">
                                                  <w:marLeft w:val="0"/>
                                                  <w:marRight w:val="0"/>
                                                  <w:marTop w:val="0"/>
                                                  <w:marBottom w:val="0"/>
                                                  <w:divBdr>
                                                    <w:top w:val="none" w:sz="0" w:space="0" w:color="auto"/>
                                                    <w:left w:val="none" w:sz="0" w:space="0" w:color="auto"/>
                                                    <w:bottom w:val="none" w:sz="0" w:space="0" w:color="auto"/>
                                                    <w:right w:val="none" w:sz="0" w:space="0" w:color="auto"/>
                                                  </w:divBdr>
                                                </w:div>
                                              </w:divsChild>
                                            </w:div>
                                            <w:div w:id="187137435">
                                              <w:marLeft w:val="0"/>
                                              <w:marRight w:val="0"/>
                                              <w:marTop w:val="0"/>
                                              <w:marBottom w:val="0"/>
                                              <w:divBdr>
                                                <w:top w:val="none" w:sz="0" w:space="0" w:color="auto"/>
                                                <w:left w:val="none" w:sz="0" w:space="0" w:color="auto"/>
                                                <w:bottom w:val="none" w:sz="0" w:space="0" w:color="auto"/>
                                                <w:right w:val="none" w:sz="0" w:space="0" w:color="auto"/>
                                              </w:divBdr>
                                              <w:divsChild>
                                                <w:div w:id="874999986">
                                                  <w:marLeft w:val="0"/>
                                                  <w:marRight w:val="0"/>
                                                  <w:marTop w:val="0"/>
                                                  <w:marBottom w:val="0"/>
                                                  <w:divBdr>
                                                    <w:top w:val="none" w:sz="0" w:space="0" w:color="auto"/>
                                                    <w:left w:val="none" w:sz="0" w:space="0" w:color="auto"/>
                                                    <w:bottom w:val="none" w:sz="0" w:space="0" w:color="auto"/>
                                                    <w:right w:val="none" w:sz="0" w:space="0" w:color="auto"/>
                                                  </w:divBdr>
                                                </w:div>
                                              </w:divsChild>
                                            </w:div>
                                            <w:div w:id="198468944">
                                              <w:marLeft w:val="0"/>
                                              <w:marRight w:val="0"/>
                                              <w:marTop w:val="0"/>
                                              <w:marBottom w:val="0"/>
                                              <w:divBdr>
                                                <w:top w:val="none" w:sz="0" w:space="0" w:color="auto"/>
                                                <w:left w:val="none" w:sz="0" w:space="0" w:color="auto"/>
                                                <w:bottom w:val="none" w:sz="0" w:space="0" w:color="auto"/>
                                                <w:right w:val="none" w:sz="0" w:space="0" w:color="auto"/>
                                              </w:divBdr>
                                              <w:divsChild>
                                                <w:div w:id="1187980691">
                                                  <w:marLeft w:val="0"/>
                                                  <w:marRight w:val="0"/>
                                                  <w:marTop w:val="0"/>
                                                  <w:marBottom w:val="0"/>
                                                  <w:divBdr>
                                                    <w:top w:val="none" w:sz="0" w:space="0" w:color="auto"/>
                                                    <w:left w:val="none" w:sz="0" w:space="0" w:color="auto"/>
                                                    <w:bottom w:val="none" w:sz="0" w:space="0" w:color="auto"/>
                                                    <w:right w:val="none" w:sz="0" w:space="0" w:color="auto"/>
                                                  </w:divBdr>
                                                </w:div>
                                              </w:divsChild>
                                            </w:div>
                                            <w:div w:id="372703952">
                                              <w:marLeft w:val="0"/>
                                              <w:marRight w:val="0"/>
                                              <w:marTop w:val="0"/>
                                              <w:marBottom w:val="0"/>
                                              <w:divBdr>
                                                <w:top w:val="none" w:sz="0" w:space="0" w:color="auto"/>
                                                <w:left w:val="none" w:sz="0" w:space="0" w:color="auto"/>
                                                <w:bottom w:val="none" w:sz="0" w:space="0" w:color="auto"/>
                                                <w:right w:val="none" w:sz="0" w:space="0" w:color="auto"/>
                                              </w:divBdr>
                                              <w:divsChild>
                                                <w:div w:id="313413928">
                                                  <w:marLeft w:val="0"/>
                                                  <w:marRight w:val="0"/>
                                                  <w:marTop w:val="0"/>
                                                  <w:marBottom w:val="0"/>
                                                  <w:divBdr>
                                                    <w:top w:val="none" w:sz="0" w:space="0" w:color="auto"/>
                                                    <w:left w:val="none" w:sz="0" w:space="0" w:color="auto"/>
                                                    <w:bottom w:val="none" w:sz="0" w:space="0" w:color="auto"/>
                                                    <w:right w:val="none" w:sz="0" w:space="0" w:color="auto"/>
                                                  </w:divBdr>
                                                </w:div>
                                              </w:divsChild>
                                            </w:div>
                                            <w:div w:id="381439717">
                                              <w:marLeft w:val="0"/>
                                              <w:marRight w:val="0"/>
                                              <w:marTop w:val="0"/>
                                              <w:marBottom w:val="0"/>
                                              <w:divBdr>
                                                <w:top w:val="none" w:sz="0" w:space="0" w:color="auto"/>
                                                <w:left w:val="none" w:sz="0" w:space="0" w:color="auto"/>
                                                <w:bottom w:val="none" w:sz="0" w:space="0" w:color="auto"/>
                                                <w:right w:val="none" w:sz="0" w:space="0" w:color="auto"/>
                                              </w:divBdr>
                                              <w:divsChild>
                                                <w:div w:id="1194154665">
                                                  <w:marLeft w:val="0"/>
                                                  <w:marRight w:val="0"/>
                                                  <w:marTop w:val="0"/>
                                                  <w:marBottom w:val="0"/>
                                                  <w:divBdr>
                                                    <w:top w:val="none" w:sz="0" w:space="0" w:color="auto"/>
                                                    <w:left w:val="none" w:sz="0" w:space="0" w:color="auto"/>
                                                    <w:bottom w:val="none" w:sz="0" w:space="0" w:color="auto"/>
                                                    <w:right w:val="none" w:sz="0" w:space="0" w:color="auto"/>
                                                  </w:divBdr>
                                                </w:div>
                                              </w:divsChild>
                                            </w:div>
                                            <w:div w:id="393427877">
                                              <w:marLeft w:val="0"/>
                                              <w:marRight w:val="0"/>
                                              <w:marTop w:val="0"/>
                                              <w:marBottom w:val="0"/>
                                              <w:divBdr>
                                                <w:top w:val="none" w:sz="0" w:space="0" w:color="auto"/>
                                                <w:left w:val="none" w:sz="0" w:space="0" w:color="auto"/>
                                                <w:bottom w:val="none" w:sz="0" w:space="0" w:color="auto"/>
                                                <w:right w:val="none" w:sz="0" w:space="0" w:color="auto"/>
                                              </w:divBdr>
                                              <w:divsChild>
                                                <w:div w:id="1885633035">
                                                  <w:marLeft w:val="0"/>
                                                  <w:marRight w:val="0"/>
                                                  <w:marTop w:val="0"/>
                                                  <w:marBottom w:val="0"/>
                                                  <w:divBdr>
                                                    <w:top w:val="none" w:sz="0" w:space="0" w:color="auto"/>
                                                    <w:left w:val="none" w:sz="0" w:space="0" w:color="auto"/>
                                                    <w:bottom w:val="none" w:sz="0" w:space="0" w:color="auto"/>
                                                    <w:right w:val="none" w:sz="0" w:space="0" w:color="auto"/>
                                                  </w:divBdr>
                                                </w:div>
                                              </w:divsChild>
                                            </w:div>
                                            <w:div w:id="519470903">
                                              <w:marLeft w:val="0"/>
                                              <w:marRight w:val="0"/>
                                              <w:marTop w:val="0"/>
                                              <w:marBottom w:val="0"/>
                                              <w:divBdr>
                                                <w:top w:val="none" w:sz="0" w:space="0" w:color="auto"/>
                                                <w:left w:val="none" w:sz="0" w:space="0" w:color="auto"/>
                                                <w:bottom w:val="none" w:sz="0" w:space="0" w:color="auto"/>
                                                <w:right w:val="none" w:sz="0" w:space="0" w:color="auto"/>
                                              </w:divBdr>
                                              <w:divsChild>
                                                <w:div w:id="1917128045">
                                                  <w:marLeft w:val="0"/>
                                                  <w:marRight w:val="0"/>
                                                  <w:marTop w:val="0"/>
                                                  <w:marBottom w:val="0"/>
                                                  <w:divBdr>
                                                    <w:top w:val="none" w:sz="0" w:space="0" w:color="auto"/>
                                                    <w:left w:val="none" w:sz="0" w:space="0" w:color="auto"/>
                                                    <w:bottom w:val="none" w:sz="0" w:space="0" w:color="auto"/>
                                                    <w:right w:val="none" w:sz="0" w:space="0" w:color="auto"/>
                                                  </w:divBdr>
                                                </w:div>
                                              </w:divsChild>
                                            </w:div>
                                            <w:div w:id="722753254">
                                              <w:marLeft w:val="0"/>
                                              <w:marRight w:val="0"/>
                                              <w:marTop w:val="0"/>
                                              <w:marBottom w:val="0"/>
                                              <w:divBdr>
                                                <w:top w:val="none" w:sz="0" w:space="0" w:color="auto"/>
                                                <w:left w:val="none" w:sz="0" w:space="0" w:color="auto"/>
                                                <w:bottom w:val="none" w:sz="0" w:space="0" w:color="auto"/>
                                                <w:right w:val="none" w:sz="0" w:space="0" w:color="auto"/>
                                              </w:divBdr>
                                              <w:divsChild>
                                                <w:div w:id="551501309">
                                                  <w:marLeft w:val="0"/>
                                                  <w:marRight w:val="0"/>
                                                  <w:marTop w:val="0"/>
                                                  <w:marBottom w:val="0"/>
                                                  <w:divBdr>
                                                    <w:top w:val="none" w:sz="0" w:space="0" w:color="auto"/>
                                                    <w:left w:val="none" w:sz="0" w:space="0" w:color="auto"/>
                                                    <w:bottom w:val="none" w:sz="0" w:space="0" w:color="auto"/>
                                                    <w:right w:val="none" w:sz="0" w:space="0" w:color="auto"/>
                                                  </w:divBdr>
                                                </w:div>
                                              </w:divsChild>
                                            </w:div>
                                            <w:div w:id="739669358">
                                              <w:marLeft w:val="0"/>
                                              <w:marRight w:val="0"/>
                                              <w:marTop w:val="0"/>
                                              <w:marBottom w:val="0"/>
                                              <w:divBdr>
                                                <w:top w:val="none" w:sz="0" w:space="0" w:color="auto"/>
                                                <w:left w:val="none" w:sz="0" w:space="0" w:color="auto"/>
                                                <w:bottom w:val="none" w:sz="0" w:space="0" w:color="auto"/>
                                                <w:right w:val="none" w:sz="0" w:space="0" w:color="auto"/>
                                              </w:divBdr>
                                              <w:divsChild>
                                                <w:div w:id="1510606442">
                                                  <w:marLeft w:val="0"/>
                                                  <w:marRight w:val="0"/>
                                                  <w:marTop w:val="0"/>
                                                  <w:marBottom w:val="0"/>
                                                  <w:divBdr>
                                                    <w:top w:val="none" w:sz="0" w:space="0" w:color="auto"/>
                                                    <w:left w:val="none" w:sz="0" w:space="0" w:color="auto"/>
                                                    <w:bottom w:val="none" w:sz="0" w:space="0" w:color="auto"/>
                                                    <w:right w:val="none" w:sz="0" w:space="0" w:color="auto"/>
                                                  </w:divBdr>
                                                </w:div>
                                              </w:divsChild>
                                            </w:div>
                                            <w:div w:id="797726914">
                                              <w:marLeft w:val="0"/>
                                              <w:marRight w:val="0"/>
                                              <w:marTop w:val="0"/>
                                              <w:marBottom w:val="0"/>
                                              <w:divBdr>
                                                <w:top w:val="none" w:sz="0" w:space="0" w:color="auto"/>
                                                <w:left w:val="none" w:sz="0" w:space="0" w:color="auto"/>
                                                <w:bottom w:val="none" w:sz="0" w:space="0" w:color="auto"/>
                                                <w:right w:val="none" w:sz="0" w:space="0" w:color="auto"/>
                                              </w:divBdr>
                                              <w:divsChild>
                                                <w:div w:id="691685692">
                                                  <w:marLeft w:val="0"/>
                                                  <w:marRight w:val="0"/>
                                                  <w:marTop w:val="0"/>
                                                  <w:marBottom w:val="0"/>
                                                  <w:divBdr>
                                                    <w:top w:val="none" w:sz="0" w:space="0" w:color="auto"/>
                                                    <w:left w:val="none" w:sz="0" w:space="0" w:color="auto"/>
                                                    <w:bottom w:val="none" w:sz="0" w:space="0" w:color="auto"/>
                                                    <w:right w:val="none" w:sz="0" w:space="0" w:color="auto"/>
                                                  </w:divBdr>
                                                </w:div>
                                              </w:divsChild>
                                            </w:div>
                                            <w:div w:id="895512296">
                                              <w:marLeft w:val="0"/>
                                              <w:marRight w:val="0"/>
                                              <w:marTop w:val="0"/>
                                              <w:marBottom w:val="0"/>
                                              <w:divBdr>
                                                <w:top w:val="none" w:sz="0" w:space="0" w:color="auto"/>
                                                <w:left w:val="none" w:sz="0" w:space="0" w:color="auto"/>
                                                <w:bottom w:val="none" w:sz="0" w:space="0" w:color="auto"/>
                                                <w:right w:val="none" w:sz="0" w:space="0" w:color="auto"/>
                                              </w:divBdr>
                                              <w:divsChild>
                                                <w:div w:id="1692952554">
                                                  <w:marLeft w:val="0"/>
                                                  <w:marRight w:val="0"/>
                                                  <w:marTop w:val="0"/>
                                                  <w:marBottom w:val="0"/>
                                                  <w:divBdr>
                                                    <w:top w:val="none" w:sz="0" w:space="0" w:color="auto"/>
                                                    <w:left w:val="none" w:sz="0" w:space="0" w:color="auto"/>
                                                    <w:bottom w:val="none" w:sz="0" w:space="0" w:color="auto"/>
                                                    <w:right w:val="none" w:sz="0" w:space="0" w:color="auto"/>
                                                  </w:divBdr>
                                                </w:div>
                                              </w:divsChild>
                                            </w:div>
                                            <w:div w:id="913122896">
                                              <w:marLeft w:val="0"/>
                                              <w:marRight w:val="0"/>
                                              <w:marTop w:val="0"/>
                                              <w:marBottom w:val="0"/>
                                              <w:divBdr>
                                                <w:top w:val="none" w:sz="0" w:space="0" w:color="auto"/>
                                                <w:left w:val="none" w:sz="0" w:space="0" w:color="auto"/>
                                                <w:bottom w:val="none" w:sz="0" w:space="0" w:color="auto"/>
                                                <w:right w:val="none" w:sz="0" w:space="0" w:color="auto"/>
                                              </w:divBdr>
                                              <w:divsChild>
                                                <w:div w:id="1015957003">
                                                  <w:marLeft w:val="0"/>
                                                  <w:marRight w:val="0"/>
                                                  <w:marTop w:val="0"/>
                                                  <w:marBottom w:val="0"/>
                                                  <w:divBdr>
                                                    <w:top w:val="none" w:sz="0" w:space="0" w:color="auto"/>
                                                    <w:left w:val="none" w:sz="0" w:space="0" w:color="auto"/>
                                                    <w:bottom w:val="none" w:sz="0" w:space="0" w:color="auto"/>
                                                    <w:right w:val="none" w:sz="0" w:space="0" w:color="auto"/>
                                                  </w:divBdr>
                                                </w:div>
                                              </w:divsChild>
                                            </w:div>
                                            <w:div w:id="925722947">
                                              <w:marLeft w:val="0"/>
                                              <w:marRight w:val="0"/>
                                              <w:marTop w:val="0"/>
                                              <w:marBottom w:val="0"/>
                                              <w:divBdr>
                                                <w:top w:val="none" w:sz="0" w:space="0" w:color="auto"/>
                                                <w:left w:val="none" w:sz="0" w:space="0" w:color="auto"/>
                                                <w:bottom w:val="none" w:sz="0" w:space="0" w:color="auto"/>
                                                <w:right w:val="none" w:sz="0" w:space="0" w:color="auto"/>
                                              </w:divBdr>
                                              <w:divsChild>
                                                <w:div w:id="2051418984">
                                                  <w:marLeft w:val="0"/>
                                                  <w:marRight w:val="0"/>
                                                  <w:marTop w:val="0"/>
                                                  <w:marBottom w:val="0"/>
                                                  <w:divBdr>
                                                    <w:top w:val="none" w:sz="0" w:space="0" w:color="auto"/>
                                                    <w:left w:val="none" w:sz="0" w:space="0" w:color="auto"/>
                                                    <w:bottom w:val="none" w:sz="0" w:space="0" w:color="auto"/>
                                                    <w:right w:val="none" w:sz="0" w:space="0" w:color="auto"/>
                                                  </w:divBdr>
                                                </w:div>
                                              </w:divsChild>
                                            </w:div>
                                            <w:div w:id="1401175290">
                                              <w:marLeft w:val="0"/>
                                              <w:marRight w:val="0"/>
                                              <w:marTop w:val="0"/>
                                              <w:marBottom w:val="0"/>
                                              <w:divBdr>
                                                <w:top w:val="none" w:sz="0" w:space="0" w:color="auto"/>
                                                <w:left w:val="none" w:sz="0" w:space="0" w:color="auto"/>
                                                <w:bottom w:val="none" w:sz="0" w:space="0" w:color="auto"/>
                                                <w:right w:val="none" w:sz="0" w:space="0" w:color="auto"/>
                                              </w:divBdr>
                                              <w:divsChild>
                                                <w:div w:id="1479569802">
                                                  <w:marLeft w:val="0"/>
                                                  <w:marRight w:val="0"/>
                                                  <w:marTop w:val="0"/>
                                                  <w:marBottom w:val="0"/>
                                                  <w:divBdr>
                                                    <w:top w:val="none" w:sz="0" w:space="0" w:color="auto"/>
                                                    <w:left w:val="none" w:sz="0" w:space="0" w:color="auto"/>
                                                    <w:bottom w:val="none" w:sz="0" w:space="0" w:color="auto"/>
                                                    <w:right w:val="none" w:sz="0" w:space="0" w:color="auto"/>
                                                  </w:divBdr>
                                                </w:div>
                                              </w:divsChild>
                                            </w:div>
                                            <w:div w:id="1518157310">
                                              <w:marLeft w:val="0"/>
                                              <w:marRight w:val="0"/>
                                              <w:marTop w:val="0"/>
                                              <w:marBottom w:val="0"/>
                                              <w:divBdr>
                                                <w:top w:val="none" w:sz="0" w:space="0" w:color="auto"/>
                                                <w:left w:val="none" w:sz="0" w:space="0" w:color="auto"/>
                                                <w:bottom w:val="none" w:sz="0" w:space="0" w:color="auto"/>
                                                <w:right w:val="none" w:sz="0" w:space="0" w:color="auto"/>
                                              </w:divBdr>
                                              <w:divsChild>
                                                <w:div w:id="1292711965">
                                                  <w:marLeft w:val="0"/>
                                                  <w:marRight w:val="0"/>
                                                  <w:marTop w:val="0"/>
                                                  <w:marBottom w:val="0"/>
                                                  <w:divBdr>
                                                    <w:top w:val="none" w:sz="0" w:space="0" w:color="auto"/>
                                                    <w:left w:val="none" w:sz="0" w:space="0" w:color="auto"/>
                                                    <w:bottom w:val="none" w:sz="0" w:space="0" w:color="auto"/>
                                                    <w:right w:val="none" w:sz="0" w:space="0" w:color="auto"/>
                                                  </w:divBdr>
                                                </w:div>
                                              </w:divsChild>
                                            </w:div>
                                            <w:div w:id="1590041536">
                                              <w:marLeft w:val="0"/>
                                              <w:marRight w:val="0"/>
                                              <w:marTop w:val="0"/>
                                              <w:marBottom w:val="0"/>
                                              <w:divBdr>
                                                <w:top w:val="none" w:sz="0" w:space="0" w:color="auto"/>
                                                <w:left w:val="none" w:sz="0" w:space="0" w:color="auto"/>
                                                <w:bottom w:val="none" w:sz="0" w:space="0" w:color="auto"/>
                                                <w:right w:val="none" w:sz="0" w:space="0" w:color="auto"/>
                                              </w:divBdr>
                                              <w:divsChild>
                                                <w:div w:id="1593011377">
                                                  <w:marLeft w:val="0"/>
                                                  <w:marRight w:val="0"/>
                                                  <w:marTop w:val="0"/>
                                                  <w:marBottom w:val="0"/>
                                                  <w:divBdr>
                                                    <w:top w:val="none" w:sz="0" w:space="0" w:color="auto"/>
                                                    <w:left w:val="none" w:sz="0" w:space="0" w:color="auto"/>
                                                    <w:bottom w:val="none" w:sz="0" w:space="0" w:color="auto"/>
                                                    <w:right w:val="none" w:sz="0" w:space="0" w:color="auto"/>
                                                  </w:divBdr>
                                                </w:div>
                                              </w:divsChild>
                                            </w:div>
                                            <w:div w:id="1656378247">
                                              <w:marLeft w:val="0"/>
                                              <w:marRight w:val="0"/>
                                              <w:marTop w:val="0"/>
                                              <w:marBottom w:val="0"/>
                                              <w:divBdr>
                                                <w:top w:val="none" w:sz="0" w:space="0" w:color="auto"/>
                                                <w:left w:val="none" w:sz="0" w:space="0" w:color="auto"/>
                                                <w:bottom w:val="none" w:sz="0" w:space="0" w:color="auto"/>
                                                <w:right w:val="none" w:sz="0" w:space="0" w:color="auto"/>
                                              </w:divBdr>
                                              <w:divsChild>
                                                <w:div w:id="782265688">
                                                  <w:marLeft w:val="0"/>
                                                  <w:marRight w:val="0"/>
                                                  <w:marTop w:val="0"/>
                                                  <w:marBottom w:val="0"/>
                                                  <w:divBdr>
                                                    <w:top w:val="none" w:sz="0" w:space="0" w:color="auto"/>
                                                    <w:left w:val="none" w:sz="0" w:space="0" w:color="auto"/>
                                                    <w:bottom w:val="none" w:sz="0" w:space="0" w:color="auto"/>
                                                    <w:right w:val="none" w:sz="0" w:space="0" w:color="auto"/>
                                                  </w:divBdr>
                                                </w:div>
                                              </w:divsChild>
                                            </w:div>
                                            <w:div w:id="1682775610">
                                              <w:marLeft w:val="0"/>
                                              <w:marRight w:val="0"/>
                                              <w:marTop w:val="0"/>
                                              <w:marBottom w:val="0"/>
                                              <w:divBdr>
                                                <w:top w:val="none" w:sz="0" w:space="0" w:color="auto"/>
                                                <w:left w:val="none" w:sz="0" w:space="0" w:color="auto"/>
                                                <w:bottom w:val="none" w:sz="0" w:space="0" w:color="auto"/>
                                                <w:right w:val="none" w:sz="0" w:space="0" w:color="auto"/>
                                              </w:divBdr>
                                              <w:divsChild>
                                                <w:div w:id="580605380">
                                                  <w:marLeft w:val="0"/>
                                                  <w:marRight w:val="0"/>
                                                  <w:marTop w:val="0"/>
                                                  <w:marBottom w:val="0"/>
                                                  <w:divBdr>
                                                    <w:top w:val="none" w:sz="0" w:space="0" w:color="auto"/>
                                                    <w:left w:val="none" w:sz="0" w:space="0" w:color="auto"/>
                                                    <w:bottom w:val="none" w:sz="0" w:space="0" w:color="auto"/>
                                                    <w:right w:val="none" w:sz="0" w:space="0" w:color="auto"/>
                                                  </w:divBdr>
                                                </w:div>
                                              </w:divsChild>
                                            </w:div>
                                            <w:div w:id="1713532768">
                                              <w:marLeft w:val="0"/>
                                              <w:marRight w:val="0"/>
                                              <w:marTop w:val="0"/>
                                              <w:marBottom w:val="0"/>
                                              <w:divBdr>
                                                <w:top w:val="none" w:sz="0" w:space="0" w:color="auto"/>
                                                <w:left w:val="none" w:sz="0" w:space="0" w:color="auto"/>
                                                <w:bottom w:val="none" w:sz="0" w:space="0" w:color="auto"/>
                                                <w:right w:val="none" w:sz="0" w:space="0" w:color="auto"/>
                                              </w:divBdr>
                                              <w:divsChild>
                                                <w:div w:id="558320671">
                                                  <w:marLeft w:val="0"/>
                                                  <w:marRight w:val="0"/>
                                                  <w:marTop w:val="0"/>
                                                  <w:marBottom w:val="0"/>
                                                  <w:divBdr>
                                                    <w:top w:val="none" w:sz="0" w:space="0" w:color="auto"/>
                                                    <w:left w:val="none" w:sz="0" w:space="0" w:color="auto"/>
                                                    <w:bottom w:val="none" w:sz="0" w:space="0" w:color="auto"/>
                                                    <w:right w:val="none" w:sz="0" w:space="0" w:color="auto"/>
                                                  </w:divBdr>
                                                </w:div>
                                              </w:divsChild>
                                            </w:div>
                                            <w:div w:id="1835368354">
                                              <w:marLeft w:val="0"/>
                                              <w:marRight w:val="0"/>
                                              <w:marTop w:val="0"/>
                                              <w:marBottom w:val="0"/>
                                              <w:divBdr>
                                                <w:top w:val="none" w:sz="0" w:space="0" w:color="auto"/>
                                                <w:left w:val="none" w:sz="0" w:space="0" w:color="auto"/>
                                                <w:bottom w:val="none" w:sz="0" w:space="0" w:color="auto"/>
                                                <w:right w:val="none" w:sz="0" w:space="0" w:color="auto"/>
                                              </w:divBdr>
                                              <w:divsChild>
                                                <w:div w:id="397286722">
                                                  <w:marLeft w:val="0"/>
                                                  <w:marRight w:val="0"/>
                                                  <w:marTop w:val="0"/>
                                                  <w:marBottom w:val="0"/>
                                                  <w:divBdr>
                                                    <w:top w:val="none" w:sz="0" w:space="0" w:color="auto"/>
                                                    <w:left w:val="none" w:sz="0" w:space="0" w:color="auto"/>
                                                    <w:bottom w:val="none" w:sz="0" w:space="0" w:color="auto"/>
                                                    <w:right w:val="none" w:sz="0" w:space="0" w:color="auto"/>
                                                  </w:divBdr>
                                                </w:div>
                                              </w:divsChild>
                                            </w:div>
                                            <w:div w:id="1865358173">
                                              <w:marLeft w:val="0"/>
                                              <w:marRight w:val="0"/>
                                              <w:marTop w:val="0"/>
                                              <w:marBottom w:val="0"/>
                                              <w:divBdr>
                                                <w:top w:val="none" w:sz="0" w:space="0" w:color="auto"/>
                                                <w:left w:val="none" w:sz="0" w:space="0" w:color="auto"/>
                                                <w:bottom w:val="none" w:sz="0" w:space="0" w:color="auto"/>
                                                <w:right w:val="none" w:sz="0" w:space="0" w:color="auto"/>
                                              </w:divBdr>
                                              <w:divsChild>
                                                <w:div w:id="1529678698">
                                                  <w:marLeft w:val="0"/>
                                                  <w:marRight w:val="0"/>
                                                  <w:marTop w:val="0"/>
                                                  <w:marBottom w:val="0"/>
                                                  <w:divBdr>
                                                    <w:top w:val="none" w:sz="0" w:space="0" w:color="auto"/>
                                                    <w:left w:val="none" w:sz="0" w:space="0" w:color="auto"/>
                                                    <w:bottom w:val="none" w:sz="0" w:space="0" w:color="auto"/>
                                                    <w:right w:val="none" w:sz="0" w:space="0" w:color="auto"/>
                                                  </w:divBdr>
                                                </w:div>
                                              </w:divsChild>
                                            </w:div>
                                            <w:div w:id="1922522352">
                                              <w:marLeft w:val="0"/>
                                              <w:marRight w:val="0"/>
                                              <w:marTop w:val="0"/>
                                              <w:marBottom w:val="0"/>
                                              <w:divBdr>
                                                <w:top w:val="none" w:sz="0" w:space="0" w:color="auto"/>
                                                <w:left w:val="none" w:sz="0" w:space="0" w:color="auto"/>
                                                <w:bottom w:val="none" w:sz="0" w:space="0" w:color="auto"/>
                                                <w:right w:val="none" w:sz="0" w:space="0" w:color="auto"/>
                                              </w:divBdr>
                                              <w:divsChild>
                                                <w:div w:id="2074306357">
                                                  <w:marLeft w:val="0"/>
                                                  <w:marRight w:val="0"/>
                                                  <w:marTop w:val="0"/>
                                                  <w:marBottom w:val="0"/>
                                                  <w:divBdr>
                                                    <w:top w:val="none" w:sz="0" w:space="0" w:color="auto"/>
                                                    <w:left w:val="none" w:sz="0" w:space="0" w:color="auto"/>
                                                    <w:bottom w:val="none" w:sz="0" w:space="0" w:color="auto"/>
                                                    <w:right w:val="none" w:sz="0" w:space="0" w:color="auto"/>
                                                  </w:divBdr>
                                                </w:div>
                                              </w:divsChild>
                                            </w:div>
                                            <w:div w:id="1982689210">
                                              <w:marLeft w:val="0"/>
                                              <w:marRight w:val="0"/>
                                              <w:marTop w:val="0"/>
                                              <w:marBottom w:val="0"/>
                                              <w:divBdr>
                                                <w:top w:val="none" w:sz="0" w:space="0" w:color="auto"/>
                                                <w:left w:val="none" w:sz="0" w:space="0" w:color="auto"/>
                                                <w:bottom w:val="none" w:sz="0" w:space="0" w:color="auto"/>
                                                <w:right w:val="none" w:sz="0" w:space="0" w:color="auto"/>
                                              </w:divBdr>
                                              <w:divsChild>
                                                <w:div w:id="802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586977">
      <w:bodyDiv w:val="1"/>
      <w:marLeft w:val="0"/>
      <w:marRight w:val="0"/>
      <w:marTop w:val="0"/>
      <w:marBottom w:val="0"/>
      <w:divBdr>
        <w:top w:val="none" w:sz="0" w:space="0" w:color="auto"/>
        <w:left w:val="none" w:sz="0" w:space="0" w:color="auto"/>
        <w:bottom w:val="none" w:sz="0" w:space="0" w:color="auto"/>
        <w:right w:val="none" w:sz="0" w:space="0" w:color="auto"/>
      </w:divBdr>
    </w:div>
    <w:div w:id="947548025">
      <w:bodyDiv w:val="1"/>
      <w:marLeft w:val="0"/>
      <w:marRight w:val="0"/>
      <w:marTop w:val="0"/>
      <w:marBottom w:val="0"/>
      <w:divBdr>
        <w:top w:val="none" w:sz="0" w:space="0" w:color="auto"/>
        <w:left w:val="none" w:sz="0" w:space="0" w:color="auto"/>
        <w:bottom w:val="none" w:sz="0" w:space="0" w:color="auto"/>
        <w:right w:val="none" w:sz="0" w:space="0" w:color="auto"/>
      </w:divBdr>
    </w:div>
    <w:div w:id="1560244840">
      <w:bodyDiv w:val="1"/>
      <w:marLeft w:val="0"/>
      <w:marRight w:val="0"/>
      <w:marTop w:val="0"/>
      <w:marBottom w:val="0"/>
      <w:divBdr>
        <w:top w:val="none" w:sz="0" w:space="0" w:color="auto"/>
        <w:left w:val="none" w:sz="0" w:space="0" w:color="auto"/>
        <w:bottom w:val="none" w:sz="0" w:space="0" w:color="auto"/>
        <w:right w:val="none" w:sz="0" w:space="0" w:color="auto"/>
      </w:divBdr>
    </w:div>
    <w:div w:id="1847134840">
      <w:bodyDiv w:val="1"/>
      <w:marLeft w:val="0"/>
      <w:marRight w:val="0"/>
      <w:marTop w:val="0"/>
      <w:marBottom w:val="0"/>
      <w:divBdr>
        <w:top w:val="none" w:sz="0" w:space="0" w:color="auto"/>
        <w:left w:val="none" w:sz="0" w:space="0" w:color="auto"/>
        <w:bottom w:val="none" w:sz="0" w:space="0" w:color="auto"/>
        <w:right w:val="none" w:sz="0" w:space="0" w:color="auto"/>
      </w:divBdr>
    </w:div>
    <w:div w:id="20076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Find/Default.wl?rs=dfa1.0&amp;vr=2.0&amp;DB=1000546&amp;DocName=47USCAS276&amp;FindType=L&amp;ReferencePositionType=T&amp;ReferencePosition=SP_8b16000077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1859</Words>
  <Characters>10307</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12182</CharactersWithSpaces>
  <SharedDoc>false</SharedDoc>
  <HyperlinkBase> </HyperlinkBase>
  <HLinks>
    <vt:vector size="6" baseType="variant">
      <vt:variant>
        <vt:i4>1835121</vt:i4>
      </vt:variant>
      <vt:variant>
        <vt:i4>0</vt:i4>
      </vt:variant>
      <vt:variant>
        <vt:i4>0</vt:i4>
      </vt:variant>
      <vt:variant>
        <vt:i4>5</vt:i4>
      </vt:variant>
      <vt:variant>
        <vt:lpwstr>http://www.westlaw.com/Find/Default.wl?rs=dfa1.0&amp;vr=2.0&amp;DB=1000546&amp;DocName=47USCAS276&amp;FindType=L&amp;ReferencePositionType=T&amp;ReferencePosition=SP_8b16000077793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2013-02-26T13:38:00Z</cp:lastPrinted>
  <dcterms:created xsi:type="dcterms:W3CDTF">2013-02-28T14:25:00Z</dcterms:created>
  <dcterms:modified xsi:type="dcterms:W3CDTF">2013-02-28T14:25:00Z</dcterms:modified>
  <cp:category> </cp:category>
  <cp:contentStatus> </cp:contentStatus>
</cp:coreProperties>
</file>