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D6" w:rsidRPr="00EE5766" w:rsidRDefault="005824D6" w:rsidP="005824D6">
      <w:pPr>
        <w:spacing w:after="240"/>
        <w:jc w:val="center"/>
        <w:rPr>
          <w:rFonts w:cs="Times New Roman"/>
          <w:b/>
        </w:rPr>
      </w:pPr>
      <w:bookmarkStart w:id="0" w:name="_GoBack"/>
      <w:bookmarkEnd w:id="0"/>
      <w:r w:rsidRPr="00EE5766">
        <w:rPr>
          <w:rFonts w:cs="Times New Roman"/>
          <w:b/>
        </w:rPr>
        <w:t>STATEMENT OF COMMISSIONER AJIT PAI,</w:t>
      </w:r>
      <w:r w:rsidRPr="00EE5766">
        <w:rPr>
          <w:rFonts w:cs="Times New Roman"/>
          <w:b/>
        </w:rPr>
        <w:br/>
        <w:t>APPROVING IN PART, CONCURRING IN PART</w:t>
      </w:r>
    </w:p>
    <w:p w:rsidR="005824D6" w:rsidRPr="00EE5766" w:rsidRDefault="005824D6" w:rsidP="005824D6">
      <w:pPr>
        <w:spacing w:after="240"/>
        <w:ind w:left="720" w:hanging="720"/>
        <w:rPr>
          <w:rFonts w:cs="Times New Roman"/>
        </w:rPr>
      </w:pPr>
      <w:r>
        <w:rPr>
          <w:rFonts w:cs="Times New Roman"/>
          <w:i/>
        </w:rPr>
        <w:t>Re:</w:t>
      </w:r>
      <w:r w:rsidRPr="00EE5766">
        <w:rPr>
          <w:rFonts w:cs="Times New Roman"/>
          <w:i/>
        </w:rPr>
        <w:tab/>
        <w:t>Implementation of Section 6002(b) of the Omnibus Budget Reconciliation Act of 1993, Annual Report and Analysis of Competitive Market Conditions With Respect to Mobile Wireless, including Commercial Mobile Services</w:t>
      </w:r>
      <w:r w:rsidRPr="00EE5766">
        <w:rPr>
          <w:rFonts w:cs="Times New Roman"/>
        </w:rPr>
        <w:t xml:space="preserve">, </w:t>
      </w:r>
      <w:r w:rsidRPr="009016FC">
        <w:rPr>
          <w:rFonts w:cs="Times New Roman"/>
          <w:i/>
        </w:rPr>
        <w:t>WT Docket No. 11-186.</w:t>
      </w:r>
    </w:p>
    <w:p w:rsidR="005824D6" w:rsidRPr="00EE5766" w:rsidRDefault="005824D6" w:rsidP="005824D6">
      <w:pPr>
        <w:ind w:firstLine="720"/>
        <w:rPr>
          <w:rFonts w:cs="Times New Roman"/>
        </w:rPr>
      </w:pPr>
      <w:r w:rsidRPr="00EE5766">
        <w:rPr>
          <w:rFonts w:cs="Times New Roman"/>
        </w:rPr>
        <w:t xml:space="preserve">There is </w:t>
      </w:r>
      <w:r>
        <w:rPr>
          <w:rFonts w:cs="Times New Roman"/>
        </w:rPr>
        <w:t>a lot of</w:t>
      </w:r>
      <w:r w:rsidRPr="00EE5766">
        <w:rPr>
          <w:rFonts w:cs="Times New Roman"/>
        </w:rPr>
        <w:t xml:space="preserve"> </w:t>
      </w:r>
      <w:r>
        <w:rPr>
          <w:rFonts w:cs="Times New Roman"/>
        </w:rPr>
        <w:t>good news</w:t>
      </w:r>
      <w:r w:rsidRPr="00EE5766">
        <w:rPr>
          <w:rFonts w:cs="Times New Roman"/>
        </w:rPr>
        <w:t xml:space="preserve"> in the 16</w:t>
      </w:r>
      <w:r w:rsidRPr="00EE5766">
        <w:rPr>
          <w:rFonts w:cs="Times New Roman"/>
          <w:vertAlign w:val="superscript"/>
        </w:rPr>
        <w:t>th</w:t>
      </w:r>
      <w:r w:rsidRPr="00EE5766">
        <w:rPr>
          <w:rFonts w:cs="Times New Roman"/>
        </w:rPr>
        <w:t xml:space="preserve"> Wireless Competition Report</w:t>
      </w:r>
      <w:r>
        <w:rPr>
          <w:rFonts w:cs="Times New Roman"/>
        </w:rPr>
        <w:t>, which</w:t>
      </w:r>
      <w:r w:rsidRPr="00EE5766">
        <w:rPr>
          <w:rFonts w:cs="Times New Roman"/>
        </w:rPr>
        <w:t xml:space="preserve"> we adopt today.  There are now more wireless connections in America than there are people.</w:t>
      </w:r>
      <w:r>
        <w:rPr>
          <w:rStyle w:val="FootnoteReference"/>
          <w:rFonts w:cs="Times New Roman"/>
        </w:rPr>
        <w:footnoteReference w:id="1"/>
      </w:r>
      <w:r w:rsidRPr="00EE5766">
        <w:rPr>
          <w:rFonts w:cs="Times New Roman"/>
        </w:rPr>
        <w:t xml:space="preserve">  Practically everyone has access to mobile voice and broadband service (99.9 percent and 99.5 percent, respectively), and a substantial majority of Americans (82 percent) can choose among </w:t>
      </w:r>
      <w:r>
        <w:rPr>
          <w:rFonts w:cs="Times New Roman"/>
        </w:rPr>
        <w:t xml:space="preserve">at least </w:t>
      </w:r>
      <w:r w:rsidRPr="00EE5766">
        <w:rPr>
          <w:rFonts w:cs="Times New Roman"/>
        </w:rPr>
        <w:t>four facilities-based mobile broadband operators.</w:t>
      </w:r>
      <w:r w:rsidRPr="00EE5766">
        <w:rPr>
          <w:rStyle w:val="FootnoteReference"/>
          <w:rFonts w:cs="Times New Roman"/>
        </w:rPr>
        <w:footnoteReference w:id="2"/>
      </w:r>
      <w:r w:rsidRPr="00EE5766">
        <w:rPr>
          <w:rFonts w:cs="Times New Roman"/>
        </w:rPr>
        <w:t xml:space="preserve">  Consumers have </w:t>
      </w:r>
      <w:r>
        <w:rPr>
          <w:rFonts w:cs="Times New Roman"/>
        </w:rPr>
        <w:t>an incredible selection of handsets</w:t>
      </w:r>
      <w:r w:rsidRPr="00EE5766">
        <w:rPr>
          <w:rFonts w:cs="Times New Roman"/>
        </w:rPr>
        <w:t>, with 23 manufacturers offering 266 models.</w:t>
      </w:r>
      <w:r w:rsidRPr="00EE5766">
        <w:rPr>
          <w:rStyle w:val="FootnoteReference"/>
          <w:rFonts w:cs="Times New Roman"/>
        </w:rPr>
        <w:footnoteReference w:id="3"/>
      </w:r>
      <w:r w:rsidRPr="00EE5766">
        <w:rPr>
          <w:rFonts w:cs="Times New Roman"/>
        </w:rPr>
        <w:t xml:space="preserve">  And wireless providers are increasingly using the spectrum we auctioned </w:t>
      </w:r>
      <w:r>
        <w:rPr>
          <w:rFonts w:cs="Times New Roman"/>
        </w:rPr>
        <w:t>in 2006 and 2008</w:t>
      </w:r>
      <w:r w:rsidRPr="00EE5766">
        <w:rPr>
          <w:rFonts w:cs="Times New Roman"/>
        </w:rPr>
        <w:t>—the AWS-1 and 700 MHz spectrum—to offer 4G LTE services</w:t>
      </w:r>
      <w:r>
        <w:rPr>
          <w:rFonts w:cs="Times New Roman"/>
        </w:rPr>
        <w:t xml:space="preserve">. </w:t>
      </w:r>
      <w:r w:rsidRPr="00EE5766">
        <w:rPr>
          <w:rFonts w:cs="Times New Roman"/>
        </w:rPr>
        <w:t xml:space="preserve"> </w:t>
      </w:r>
      <w:r>
        <w:rPr>
          <w:rFonts w:cs="Times New Roman"/>
        </w:rPr>
        <w:t>I</w:t>
      </w:r>
      <w:r w:rsidRPr="00EE5766">
        <w:rPr>
          <w:rFonts w:cs="Times New Roman"/>
        </w:rPr>
        <w:t xml:space="preserve">n fact, annual </w:t>
      </w:r>
      <w:r>
        <w:rPr>
          <w:rFonts w:cs="Times New Roman"/>
        </w:rPr>
        <w:t xml:space="preserve">incremental </w:t>
      </w:r>
      <w:r w:rsidRPr="00EE5766">
        <w:rPr>
          <w:rFonts w:cs="Times New Roman"/>
        </w:rPr>
        <w:t>investment in wireless networks rose to $25.3 billion in 2</w:t>
      </w:r>
      <w:r>
        <w:rPr>
          <w:rFonts w:cs="Times New Roman"/>
        </w:rPr>
        <w:t xml:space="preserve">011, </w:t>
      </w:r>
      <w:r w:rsidRPr="00EE5766">
        <w:rPr>
          <w:rFonts w:cs="Times New Roman"/>
        </w:rPr>
        <w:t xml:space="preserve">almost 25 percent </w:t>
      </w:r>
      <w:r>
        <w:rPr>
          <w:rFonts w:cs="Times New Roman"/>
        </w:rPr>
        <w:t>over what it was two years before</w:t>
      </w:r>
      <w:r w:rsidRPr="00EE5766">
        <w:rPr>
          <w:rFonts w:cs="Times New Roman"/>
        </w:rPr>
        <w:t>.</w:t>
      </w:r>
      <w:r w:rsidRPr="00EE5766">
        <w:rPr>
          <w:rStyle w:val="FootnoteReference"/>
          <w:rFonts w:cs="Times New Roman"/>
        </w:rPr>
        <w:footnoteReference w:id="4"/>
      </w:r>
    </w:p>
    <w:p w:rsidR="005824D6" w:rsidRPr="00EE5766" w:rsidRDefault="005824D6" w:rsidP="005824D6">
      <w:pPr>
        <w:ind w:firstLine="720"/>
        <w:rPr>
          <w:rFonts w:cs="Times New Roman"/>
        </w:rPr>
      </w:pPr>
      <w:r w:rsidRPr="00EE5766">
        <w:rPr>
          <w:rFonts w:cs="Times New Roman"/>
        </w:rPr>
        <w:t xml:space="preserve">The result of all this activity?  More Americans </w:t>
      </w:r>
      <w:r>
        <w:rPr>
          <w:rFonts w:cs="Times New Roman"/>
        </w:rPr>
        <w:t xml:space="preserve">are </w:t>
      </w:r>
      <w:r w:rsidRPr="00EE5766">
        <w:rPr>
          <w:rFonts w:cs="Times New Roman"/>
        </w:rPr>
        <w:t>choosing smartphones when they purchase a new phone (67 percent</w:t>
      </w:r>
      <w:r>
        <w:rPr>
          <w:rFonts w:cs="Times New Roman"/>
        </w:rPr>
        <w:t xml:space="preserve"> in 2012</w:t>
      </w:r>
      <w:r w:rsidRPr="00EE5766">
        <w:rPr>
          <w:rFonts w:cs="Times New Roman"/>
        </w:rPr>
        <w:t>),</w:t>
      </w:r>
      <w:r>
        <w:rPr>
          <w:rFonts w:cs="Times New Roman"/>
        </w:rPr>
        <w:t xml:space="preserve"> </w:t>
      </w:r>
      <w:r w:rsidRPr="00EE5766">
        <w:rPr>
          <w:rFonts w:cs="Times New Roman"/>
        </w:rPr>
        <w:t>and more Americans are</w:t>
      </w:r>
      <w:r w:rsidRPr="00051CE9">
        <w:rPr>
          <w:rFonts w:cs="Times New Roman"/>
        </w:rPr>
        <w:t xml:space="preserve"> </w:t>
      </w:r>
      <w:r w:rsidRPr="00EE5766">
        <w:rPr>
          <w:rFonts w:cs="Times New Roman"/>
        </w:rPr>
        <w:t xml:space="preserve">using </w:t>
      </w:r>
      <w:r>
        <w:rPr>
          <w:rFonts w:cs="Times New Roman"/>
        </w:rPr>
        <w:t xml:space="preserve">them </w:t>
      </w:r>
      <w:r w:rsidRPr="00EE5766">
        <w:rPr>
          <w:rFonts w:cs="Times New Roman"/>
        </w:rPr>
        <w:t>to go online (104 million in 2011).</w:t>
      </w:r>
      <w:r w:rsidRPr="00EE5766">
        <w:rPr>
          <w:rStyle w:val="FootnoteReference"/>
          <w:rFonts w:cs="Times New Roman"/>
        </w:rPr>
        <w:footnoteReference w:id="5"/>
      </w:r>
      <w:r w:rsidRPr="00EE5766">
        <w:rPr>
          <w:rFonts w:cs="Times New Roman"/>
        </w:rPr>
        <w:t xml:space="preserve">  Mobile data traffic </w:t>
      </w:r>
      <w:r>
        <w:rPr>
          <w:rFonts w:cs="Times New Roman"/>
        </w:rPr>
        <w:t>more than doubled</w:t>
      </w:r>
      <w:r w:rsidRPr="00EE5766">
        <w:rPr>
          <w:rFonts w:cs="Times New Roman"/>
        </w:rPr>
        <w:t xml:space="preserve"> from 2010 to 2011.</w:t>
      </w:r>
      <w:r w:rsidRPr="00EE5766">
        <w:rPr>
          <w:rStyle w:val="FootnoteReference"/>
          <w:rFonts w:cs="Times New Roman"/>
        </w:rPr>
        <w:footnoteReference w:id="6"/>
      </w:r>
      <w:r w:rsidRPr="00EE5766">
        <w:rPr>
          <w:rFonts w:cs="Times New Roman"/>
        </w:rPr>
        <w:t xml:space="preserve">  And unit prices for mobile services are falling, whether measured on a per-minute basis, on a per-megabyte basis, or </w:t>
      </w:r>
      <w:r>
        <w:rPr>
          <w:rFonts w:cs="Times New Roman"/>
        </w:rPr>
        <w:t xml:space="preserve">by </w:t>
      </w:r>
      <w:r w:rsidRPr="00EE5766">
        <w:rPr>
          <w:rFonts w:cs="Times New Roman"/>
        </w:rPr>
        <w:t>the wireless inflation index.</w:t>
      </w:r>
      <w:r w:rsidRPr="00EE5766">
        <w:rPr>
          <w:rStyle w:val="FootnoteReference"/>
          <w:rFonts w:cs="Times New Roman"/>
        </w:rPr>
        <w:footnoteReference w:id="7"/>
      </w:r>
      <w:r w:rsidRPr="00EE5766">
        <w:rPr>
          <w:rFonts w:cs="Times New Roman"/>
        </w:rPr>
        <w:t xml:space="preserve">  </w:t>
      </w:r>
      <w:r>
        <w:rPr>
          <w:rFonts w:cs="Times New Roman"/>
        </w:rPr>
        <w:t>All of this is a testament to the success of the deregulatory approach to wireless taken by both Congress and the Commission over the past two decades.</w:t>
      </w:r>
    </w:p>
    <w:p w:rsidR="005824D6" w:rsidRDefault="005824D6" w:rsidP="005824D6">
      <w:pPr>
        <w:ind w:firstLine="720"/>
        <w:rPr>
          <w:rFonts w:cs="Times New Roman"/>
        </w:rPr>
      </w:pPr>
      <w:r>
        <w:rPr>
          <w:rFonts w:cs="Times New Roman"/>
        </w:rPr>
        <w:t>And yet, I cannot approve today’s report in every respect because it does not carry out all the tasks that Congress has assigned us.  Specifically, Congress has directed us to include in our annual wireless competition report “an analysis of whether or not there is effective competition.”</w:t>
      </w:r>
      <w:r>
        <w:rPr>
          <w:rStyle w:val="FootnoteReference"/>
          <w:rFonts w:cs="Times New Roman"/>
        </w:rPr>
        <w:footnoteReference w:id="8"/>
      </w:r>
      <w:r>
        <w:rPr>
          <w:rFonts w:cs="Times New Roman"/>
        </w:rPr>
        <w:t xml:space="preserve">  The report simply does not do this.  To be sure, some might not like answering this question.  </w:t>
      </w:r>
      <w:r w:rsidRPr="006254FE">
        <w:rPr>
          <w:rFonts w:cs="Times New Roman"/>
        </w:rPr>
        <w:t xml:space="preserve">But the Communications Act does not </w:t>
      </w:r>
      <w:r>
        <w:rPr>
          <w:rFonts w:cs="Times New Roman"/>
        </w:rPr>
        <w:t>give us the discretion to dodge.  The binary choice of yes or no doesn’t countenance a hedge based on “</w:t>
      </w:r>
      <w:r w:rsidRPr="006254FE">
        <w:rPr>
          <w:rFonts w:cs="Times New Roman"/>
        </w:rPr>
        <w:t>the complexity of the various inter-related segments and services within the mobile wireless ecosystem</w:t>
      </w:r>
      <w:r>
        <w:rPr>
          <w:rFonts w:cs="Times New Roman"/>
        </w:rPr>
        <w:t>.”</w:t>
      </w:r>
      <w:r>
        <w:rPr>
          <w:rStyle w:val="FootnoteReference"/>
          <w:rFonts w:cs="Times New Roman"/>
        </w:rPr>
        <w:footnoteReference w:id="9"/>
      </w:r>
    </w:p>
    <w:p w:rsidR="005824D6" w:rsidRDefault="005824D6" w:rsidP="005824D6">
      <w:pPr>
        <w:ind w:firstLine="720"/>
        <w:rPr>
          <w:rFonts w:cs="Times New Roman"/>
        </w:rPr>
      </w:pPr>
      <w:r>
        <w:rPr>
          <w:rFonts w:cs="Times New Roman"/>
        </w:rPr>
        <w:lastRenderedPageBreak/>
        <w:t>For what it’s worth, the answer is pretty obvious to me:  Yes, there is effective competition.</w:t>
      </w:r>
      <w:r>
        <w:rPr>
          <w:rStyle w:val="FootnoteReference"/>
          <w:rFonts w:cs="Times New Roman"/>
        </w:rPr>
        <w:footnoteReference w:id="10"/>
      </w:r>
      <w:r>
        <w:rPr>
          <w:rFonts w:cs="Times New Roman"/>
        </w:rPr>
        <w:t xml:space="preserve">  That’s what our report shows in page after page of analysis.  That’s what the Wireless Telecommunications Bureau basically found last week when it approved the combination of the fourth and fifth largest wireless providers in America without seeking a vote by the full Commission.</w:t>
      </w:r>
      <w:r>
        <w:rPr>
          <w:rStyle w:val="FootnoteReference"/>
          <w:rFonts w:cs="Times New Roman"/>
        </w:rPr>
        <w:footnoteReference w:id="11"/>
      </w:r>
      <w:r>
        <w:rPr>
          <w:rFonts w:cs="Times New Roman"/>
        </w:rPr>
        <w:t xml:space="preserve">  And that’s what every consumer sees when he or she goes shopping for a new phone—choice and competition are ubiquitous.  Because the Report does not acknowledge this conclusion directly, I concur in part.</w:t>
      </w:r>
    </w:p>
    <w:p w:rsidR="00C05379" w:rsidRDefault="00C05379"/>
    <w:sectPr w:rsidR="00C05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FE" w:rsidRDefault="001758FE" w:rsidP="005824D6">
      <w:pPr>
        <w:spacing w:after="0"/>
      </w:pPr>
      <w:r>
        <w:separator/>
      </w:r>
    </w:p>
  </w:endnote>
  <w:endnote w:type="continuationSeparator" w:id="0">
    <w:p w:rsidR="001758FE" w:rsidRDefault="001758FE" w:rsidP="005824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42" w:rsidRDefault="006F5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42" w:rsidRDefault="006F5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42" w:rsidRDefault="006F5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FE" w:rsidRDefault="001758FE" w:rsidP="005824D6">
      <w:pPr>
        <w:spacing w:after="0"/>
      </w:pPr>
      <w:r>
        <w:separator/>
      </w:r>
    </w:p>
  </w:footnote>
  <w:footnote w:type="continuationSeparator" w:id="0">
    <w:p w:rsidR="001758FE" w:rsidRDefault="001758FE" w:rsidP="005824D6">
      <w:pPr>
        <w:spacing w:after="0"/>
      </w:pPr>
      <w:r>
        <w:continuationSeparator/>
      </w:r>
    </w:p>
  </w:footnote>
  <w:footnote w:id="1">
    <w:p w:rsidR="005824D6" w:rsidRPr="00FE5BBA" w:rsidRDefault="005824D6" w:rsidP="005824D6">
      <w:pPr>
        <w:pStyle w:val="FootnoteText"/>
        <w:spacing w:after="120"/>
      </w:pPr>
      <w:r>
        <w:rPr>
          <w:rStyle w:val="FootnoteReference"/>
        </w:rPr>
        <w:footnoteRef/>
      </w:r>
      <w:r>
        <w:t xml:space="preserve"> </w:t>
      </w:r>
      <w:r>
        <w:rPr>
          <w:rFonts w:cs="Times New Roman"/>
          <w:i/>
        </w:rPr>
        <w:t>Report</w:t>
      </w:r>
      <w:r>
        <w:rPr>
          <w:rFonts w:cs="Times New Roman"/>
        </w:rPr>
        <w:t xml:space="preserve"> at para. 244.</w:t>
      </w:r>
    </w:p>
  </w:footnote>
  <w:footnote w:id="2">
    <w:p w:rsidR="005824D6" w:rsidRDefault="005824D6" w:rsidP="005824D6">
      <w:pPr>
        <w:pStyle w:val="FootnoteText"/>
        <w:spacing w:after="120"/>
      </w:pPr>
      <w:r>
        <w:rPr>
          <w:rStyle w:val="FootnoteReference"/>
        </w:rPr>
        <w:footnoteRef/>
      </w:r>
      <w:r>
        <w:t xml:space="preserve"> </w:t>
      </w:r>
      <w:r>
        <w:rPr>
          <w:rFonts w:cs="Times New Roman"/>
          <w:i/>
        </w:rPr>
        <w:t>Id.</w:t>
      </w:r>
      <w:r>
        <w:rPr>
          <w:rFonts w:cs="Times New Roman"/>
        </w:rPr>
        <w:t xml:space="preserve"> at Tables 5, 9.</w:t>
      </w:r>
    </w:p>
  </w:footnote>
  <w:footnote w:id="3">
    <w:p w:rsidR="005824D6" w:rsidRDefault="005824D6" w:rsidP="005824D6">
      <w:pPr>
        <w:pStyle w:val="FootnoteText"/>
        <w:spacing w:after="120"/>
      </w:pPr>
      <w:r>
        <w:rPr>
          <w:rStyle w:val="FootnoteReference"/>
        </w:rPr>
        <w:footnoteRef/>
      </w:r>
      <w:r w:rsidRPr="00F63602">
        <w:rPr>
          <w:i/>
        </w:rPr>
        <w:t xml:space="preserve"> </w:t>
      </w:r>
      <w:r w:rsidRPr="00F63602">
        <w:rPr>
          <w:rFonts w:cs="Times New Roman"/>
          <w:i/>
        </w:rPr>
        <w:t>Id</w:t>
      </w:r>
      <w:r>
        <w:rPr>
          <w:rFonts w:cs="Times New Roman"/>
          <w:i/>
        </w:rPr>
        <w:t>.</w:t>
      </w:r>
      <w:r w:rsidRPr="00F63602">
        <w:rPr>
          <w:rFonts w:cs="Times New Roman"/>
        </w:rPr>
        <w:t xml:space="preserve"> at </w:t>
      </w:r>
      <w:r>
        <w:rPr>
          <w:rFonts w:cs="Times New Roman"/>
        </w:rPr>
        <w:t>Table 44.</w:t>
      </w:r>
    </w:p>
  </w:footnote>
  <w:footnote w:id="4">
    <w:p w:rsidR="005824D6" w:rsidRPr="00966EF3" w:rsidRDefault="005824D6" w:rsidP="005824D6">
      <w:pPr>
        <w:pStyle w:val="FootnoteText"/>
        <w:spacing w:after="120"/>
        <w:rPr>
          <w:rFonts w:cs="Times New Roman"/>
        </w:rPr>
      </w:pPr>
      <w:r w:rsidRPr="00966EF3">
        <w:rPr>
          <w:rStyle w:val="FootnoteReference"/>
          <w:rFonts w:cs="Times New Roman"/>
        </w:rPr>
        <w:footnoteRef/>
      </w:r>
      <w:r>
        <w:rPr>
          <w:rFonts w:cs="Times New Roman"/>
        </w:rPr>
        <w:t xml:space="preserve"> </w:t>
      </w:r>
      <w:r w:rsidRPr="00966EF3">
        <w:rPr>
          <w:rFonts w:cs="Times New Roman"/>
          <w:i/>
        </w:rPr>
        <w:t>Id</w:t>
      </w:r>
      <w:r>
        <w:rPr>
          <w:rFonts w:cs="Times New Roman"/>
          <w:i/>
        </w:rPr>
        <w:t>.</w:t>
      </w:r>
      <w:r w:rsidRPr="00966EF3">
        <w:rPr>
          <w:rFonts w:cs="Times New Roman"/>
        </w:rPr>
        <w:t xml:space="preserve"> at </w:t>
      </w:r>
      <w:r>
        <w:rPr>
          <w:rFonts w:cs="Times New Roman"/>
        </w:rPr>
        <w:t>Table 33.</w:t>
      </w:r>
    </w:p>
  </w:footnote>
  <w:footnote w:id="5">
    <w:p w:rsidR="005824D6" w:rsidRDefault="005824D6" w:rsidP="005824D6">
      <w:pPr>
        <w:pStyle w:val="FootnoteText"/>
        <w:spacing w:after="120"/>
      </w:pPr>
      <w:r>
        <w:rPr>
          <w:rStyle w:val="FootnoteReference"/>
        </w:rPr>
        <w:footnoteRef/>
      </w:r>
      <w:r>
        <w:t xml:space="preserve"> </w:t>
      </w:r>
      <w:r w:rsidRPr="00065085">
        <w:rPr>
          <w:rFonts w:cs="Times New Roman"/>
          <w:i/>
        </w:rPr>
        <w:t>Id</w:t>
      </w:r>
      <w:r>
        <w:rPr>
          <w:rFonts w:cs="Times New Roman"/>
          <w:i/>
        </w:rPr>
        <w:t>.</w:t>
      </w:r>
      <w:r w:rsidRPr="00EE5766">
        <w:rPr>
          <w:rFonts w:cs="Times New Roman"/>
        </w:rPr>
        <w:t xml:space="preserve"> </w:t>
      </w:r>
      <w:r w:rsidRPr="00065085">
        <w:rPr>
          <w:rFonts w:cs="Times New Roman"/>
        </w:rPr>
        <w:t xml:space="preserve">at </w:t>
      </w:r>
      <w:r>
        <w:rPr>
          <w:rFonts w:cs="Times New Roman"/>
        </w:rPr>
        <w:t>paras. 220, 339.</w:t>
      </w:r>
    </w:p>
  </w:footnote>
  <w:footnote w:id="6">
    <w:p w:rsidR="005824D6" w:rsidRPr="00966EF3" w:rsidRDefault="005824D6" w:rsidP="005824D6">
      <w:pPr>
        <w:pStyle w:val="FootnoteText"/>
        <w:spacing w:after="120"/>
        <w:rPr>
          <w:rFonts w:cs="Times New Roman"/>
        </w:rPr>
      </w:pPr>
      <w:r w:rsidRPr="00966EF3">
        <w:rPr>
          <w:rStyle w:val="FootnoteReference"/>
          <w:rFonts w:cs="Times New Roman"/>
        </w:rPr>
        <w:footnoteRef/>
      </w:r>
      <w:r w:rsidRPr="00966EF3">
        <w:rPr>
          <w:rFonts w:cs="Times New Roman"/>
        </w:rPr>
        <w:t xml:space="preserve"> </w:t>
      </w:r>
      <w:r w:rsidRPr="00966EF3">
        <w:rPr>
          <w:rFonts w:cs="Times New Roman"/>
          <w:i/>
        </w:rPr>
        <w:t>Id</w:t>
      </w:r>
      <w:r>
        <w:rPr>
          <w:rFonts w:cs="Times New Roman"/>
          <w:i/>
        </w:rPr>
        <w:t>.</w:t>
      </w:r>
      <w:r w:rsidRPr="00966EF3">
        <w:rPr>
          <w:rFonts w:cs="Times New Roman"/>
        </w:rPr>
        <w:t xml:space="preserve"> at </w:t>
      </w:r>
      <w:r>
        <w:rPr>
          <w:rFonts w:cs="Times New Roman"/>
        </w:rPr>
        <w:t>Chart 26.</w:t>
      </w:r>
    </w:p>
  </w:footnote>
  <w:footnote w:id="7">
    <w:p w:rsidR="005824D6" w:rsidRPr="00966EF3" w:rsidRDefault="005824D6" w:rsidP="005824D6">
      <w:pPr>
        <w:pStyle w:val="FootnoteText"/>
        <w:spacing w:after="120"/>
        <w:rPr>
          <w:rFonts w:cs="Times New Roman"/>
        </w:rPr>
      </w:pPr>
      <w:r w:rsidRPr="00966EF3">
        <w:rPr>
          <w:rStyle w:val="FootnoteReference"/>
          <w:rFonts w:cs="Times New Roman"/>
        </w:rPr>
        <w:footnoteRef/>
      </w:r>
      <w:r w:rsidRPr="00966EF3">
        <w:rPr>
          <w:rFonts w:cs="Times New Roman"/>
        </w:rPr>
        <w:t xml:space="preserve"> </w:t>
      </w:r>
      <w:r w:rsidRPr="00966EF3">
        <w:rPr>
          <w:rFonts w:cs="Times New Roman"/>
          <w:i/>
        </w:rPr>
        <w:t>Id</w:t>
      </w:r>
      <w:r>
        <w:rPr>
          <w:rFonts w:cs="Times New Roman"/>
          <w:i/>
        </w:rPr>
        <w:t>.</w:t>
      </w:r>
      <w:r w:rsidRPr="00966EF3">
        <w:rPr>
          <w:rFonts w:cs="Times New Roman"/>
        </w:rPr>
        <w:t xml:space="preserve"> at </w:t>
      </w:r>
      <w:r>
        <w:rPr>
          <w:rFonts w:cs="Times New Roman"/>
        </w:rPr>
        <w:t>paras. 264, 268, 263.</w:t>
      </w:r>
    </w:p>
  </w:footnote>
  <w:footnote w:id="8">
    <w:p w:rsidR="005824D6" w:rsidRPr="0086308B" w:rsidRDefault="005824D6" w:rsidP="005824D6">
      <w:pPr>
        <w:pStyle w:val="FootnoteText"/>
        <w:spacing w:after="120"/>
      </w:pPr>
      <w:r>
        <w:rPr>
          <w:rStyle w:val="FootnoteReference"/>
        </w:rPr>
        <w:footnoteRef/>
      </w:r>
      <w:r>
        <w:t xml:space="preserve"> </w:t>
      </w:r>
      <w:r>
        <w:rPr>
          <w:rFonts w:cs="Times New Roman"/>
        </w:rPr>
        <w:t xml:space="preserve">47 U.S.C. § 332(c)(1)(C).  Another question unanswered is “[w]hether any of such competitors have a dominant share of the market for [commercial mobile] services.”  </w:t>
      </w:r>
      <w:r>
        <w:rPr>
          <w:rFonts w:cs="Times New Roman"/>
          <w:i/>
        </w:rPr>
        <w:t>Id.</w:t>
      </w:r>
    </w:p>
  </w:footnote>
  <w:footnote w:id="9">
    <w:p w:rsidR="005824D6" w:rsidRDefault="005824D6" w:rsidP="005824D6">
      <w:pPr>
        <w:pStyle w:val="FootnoteText"/>
        <w:spacing w:after="120"/>
      </w:pPr>
      <w:r w:rsidRPr="00FE5BBA">
        <w:rPr>
          <w:rStyle w:val="FootnoteReference"/>
        </w:rPr>
        <w:footnoteRef/>
      </w:r>
      <w:r w:rsidRPr="00FE5BBA">
        <w:t xml:space="preserve"> </w:t>
      </w:r>
      <w:r w:rsidRPr="00FE5BBA">
        <w:rPr>
          <w:i/>
        </w:rPr>
        <w:t>Report</w:t>
      </w:r>
      <w:r>
        <w:t xml:space="preserve"> at 2.  </w:t>
      </w:r>
      <w:r w:rsidRPr="008A5E16">
        <w:t xml:space="preserve">I will concede that not everyone in Congress thinks that the Communications Act as it stands directs the FCC to answer the right questions.  Last year, the U.S. House of Representatives passed by voice vote the FCC Consolidated Reporting Act of 2012, </w:t>
      </w:r>
      <w:r>
        <w:t xml:space="preserve">H.R. 3310, </w:t>
      </w:r>
      <w:r w:rsidRPr="008A5E16">
        <w:t>which would have eliminated the Wireless Competition Report as a stand</w:t>
      </w:r>
      <w:r>
        <w:t>-</w:t>
      </w:r>
      <w:r w:rsidRPr="008A5E16">
        <w:t>alone report and given the Commission considerably more flexibility to report on competition in the communications marketplace.  But unless and until Congress amends the Act, it is our statutory responsibility to answer the questions that Congress has asked.</w:t>
      </w:r>
    </w:p>
  </w:footnote>
  <w:footnote w:id="10">
    <w:p w:rsidR="005824D6" w:rsidRDefault="005824D6" w:rsidP="005824D6">
      <w:pPr>
        <w:pStyle w:val="FootnoteText"/>
        <w:spacing w:after="120"/>
      </w:pPr>
      <w:r>
        <w:rPr>
          <w:rStyle w:val="FootnoteReference"/>
        </w:rPr>
        <w:footnoteRef/>
      </w:r>
      <w:r>
        <w:t xml:space="preserve"> I also believe that no competitor has a dominant share of the market for commercial mobile services.  </w:t>
      </w:r>
      <w:r w:rsidRPr="00FE5BBA">
        <w:rPr>
          <w:i/>
        </w:rPr>
        <w:t xml:space="preserve">See </w:t>
      </w:r>
      <w:r>
        <w:rPr>
          <w:i/>
        </w:rPr>
        <w:t>supra</w:t>
      </w:r>
      <w:r>
        <w:t xml:space="preserve"> note 8.</w:t>
      </w:r>
    </w:p>
  </w:footnote>
  <w:footnote w:id="11">
    <w:p w:rsidR="005824D6" w:rsidRDefault="005824D6" w:rsidP="005824D6">
      <w:pPr>
        <w:pStyle w:val="FootnoteText"/>
        <w:spacing w:after="120"/>
      </w:pPr>
      <w:r>
        <w:rPr>
          <w:rStyle w:val="FootnoteReference"/>
        </w:rPr>
        <w:footnoteRef/>
      </w:r>
      <w:r>
        <w:t xml:space="preserve"> </w:t>
      </w:r>
      <w:r w:rsidRPr="008A5E16">
        <w:rPr>
          <w:i/>
        </w:rPr>
        <w:t>Applications of Deutsche Telekom AG, T-Mobile USA, Inc., and</w:t>
      </w:r>
      <w:r w:rsidRPr="004F27D3">
        <w:rPr>
          <w:i/>
        </w:rPr>
        <w:t xml:space="preserve"> MetroPCS Communications, Inc. for Consent t</w:t>
      </w:r>
      <w:r w:rsidRPr="008A5E16">
        <w:rPr>
          <w:i/>
        </w:rPr>
        <w:t>o Transfer of Control of Licenses and Authorizations</w:t>
      </w:r>
      <w:r>
        <w:t xml:space="preserve">, WT Docket No. 12-301, Memorandum Opinion and Order and Declaratory Ruling, DA 13-384 (WTB/IB rel. Mar. 12, 2013), </w:t>
      </w:r>
      <w:r w:rsidRPr="008A5E16">
        <w:rPr>
          <w:i/>
        </w:rPr>
        <w:t>available at</w:t>
      </w:r>
      <w:r>
        <w:t xml:space="preserve"> </w:t>
      </w:r>
      <w:r w:rsidRPr="00134446">
        <w:t>http://go.usa.gov/2EDR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42" w:rsidRDefault="006F5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42" w:rsidRDefault="006F5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42" w:rsidRDefault="006F5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D6"/>
    <w:rsid w:val="001758FE"/>
    <w:rsid w:val="00337CEF"/>
    <w:rsid w:val="005720FF"/>
    <w:rsid w:val="005824D6"/>
    <w:rsid w:val="006F5E42"/>
    <w:rsid w:val="00720B2D"/>
    <w:rsid w:val="009016FC"/>
    <w:rsid w:val="00956CE0"/>
    <w:rsid w:val="00C0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D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24D6"/>
    <w:pPr>
      <w:spacing w:after="0"/>
    </w:pPr>
    <w:rPr>
      <w:sz w:val="20"/>
      <w:szCs w:val="20"/>
    </w:rPr>
  </w:style>
  <w:style w:type="character" w:customStyle="1" w:styleId="FootnoteTextChar">
    <w:name w:val="Footnote Text Char"/>
    <w:basedOn w:val="DefaultParagraphFont"/>
    <w:link w:val="FootnoteText"/>
    <w:uiPriority w:val="99"/>
    <w:rsid w:val="005824D6"/>
    <w:rPr>
      <w:rFonts w:ascii="Times New Roman" w:hAnsi="Times New Roman"/>
      <w:sz w:val="20"/>
      <w:szCs w:val="20"/>
    </w:rPr>
  </w:style>
  <w:style w:type="character" w:styleId="FootnoteReference">
    <w:name w:val="footnote reference"/>
    <w:basedOn w:val="DefaultParagraphFont"/>
    <w:uiPriority w:val="99"/>
    <w:unhideWhenUsed/>
    <w:rsid w:val="005824D6"/>
    <w:rPr>
      <w:vertAlign w:val="superscript"/>
    </w:rPr>
  </w:style>
  <w:style w:type="paragraph" w:styleId="Header">
    <w:name w:val="header"/>
    <w:basedOn w:val="Normal"/>
    <w:link w:val="HeaderChar"/>
    <w:uiPriority w:val="99"/>
    <w:unhideWhenUsed/>
    <w:rsid w:val="006F5E42"/>
    <w:pPr>
      <w:tabs>
        <w:tab w:val="center" w:pos="4680"/>
        <w:tab w:val="right" w:pos="9360"/>
      </w:tabs>
      <w:spacing w:after="0"/>
    </w:pPr>
  </w:style>
  <w:style w:type="character" w:customStyle="1" w:styleId="HeaderChar">
    <w:name w:val="Header Char"/>
    <w:basedOn w:val="DefaultParagraphFont"/>
    <w:link w:val="Header"/>
    <w:uiPriority w:val="99"/>
    <w:rsid w:val="006F5E42"/>
    <w:rPr>
      <w:rFonts w:ascii="Times New Roman" w:hAnsi="Times New Roman"/>
    </w:rPr>
  </w:style>
  <w:style w:type="paragraph" w:styleId="Footer">
    <w:name w:val="footer"/>
    <w:basedOn w:val="Normal"/>
    <w:link w:val="FooterChar"/>
    <w:uiPriority w:val="99"/>
    <w:unhideWhenUsed/>
    <w:rsid w:val="006F5E42"/>
    <w:pPr>
      <w:tabs>
        <w:tab w:val="center" w:pos="4680"/>
        <w:tab w:val="right" w:pos="9360"/>
      </w:tabs>
      <w:spacing w:after="0"/>
    </w:pPr>
  </w:style>
  <w:style w:type="character" w:customStyle="1" w:styleId="FooterChar">
    <w:name w:val="Footer Char"/>
    <w:basedOn w:val="DefaultParagraphFont"/>
    <w:link w:val="Footer"/>
    <w:uiPriority w:val="99"/>
    <w:rsid w:val="006F5E4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D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24D6"/>
    <w:pPr>
      <w:spacing w:after="0"/>
    </w:pPr>
    <w:rPr>
      <w:sz w:val="20"/>
      <w:szCs w:val="20"/>
    </w:rPr>
  </w:style>
  <w:style w:type="character" w:customStyle="1" w:styleId="FootnoteTextChar">
    <w:name w:val="Footnote Text Char"/>
    <w:basedOn w:val="DefaultParagraphFont"/>
    <w:link w:val="FootnoteText"/>
    <w:uiPriority w:val="99"/>
    <w:rsid w:val="005824D6"/>
    <w:rPr>
      <w:rFonts w:ascii="Times New Roman" w:hAnsi="Times New Roman"/>
      <w:sz w:val="20"/>
      <w:szCs w:val="20"/>
    </w:rPr>
  </w:style>
  <w:style w:type="character" w:styleId="FootnoteReference">
    <w:name w:val="footnote reference"/>
    <w:basedOn w:val="DefaultParagraphFont"/>
    <w:uiPriority w:val="99"/>
    <w:unhideWhenUsed/>
    <w:rsid w:val="005824D6"/>
    <w:rPr>
      <w:vertAlign w:val="superscript"/>
    </w:rPr>
  </w:style>
  <w:style w:type="paragraph" w:styleId="Header">
    <w:name w:val="header"/>
    <w:basedOn w:val="Normal"/>
    <w:link w:val="HeaderChar"/>
    <w:uiPriority w:val="99"/>
    <w:unhideWhenUsed/>
    <w:rsid w:val="006F5E42"/>
    <w:pPr>
      <w:tabs>
        <w:tab w:val="center" w:pos="4680"/>
        <w:tab w:val="right" w:pos="9360"/>
      </w:tabs>
      <w:spacing w:after="0"/>
    </w:pPr>
  </w:style>
  <w:style w:type="character" w:customStyle="1" w:styleId="HeaderChar">
    <w:name w:val="Header Char"/>
    <w:basedOn w:val="DefaultParagraphFont"/>
    <w:link w:val="Header"/>
    <w:uiPriority w:val="99"/>
    <w:rsid w:val="006F5E42"/>
    <w:rPr>
      <w:rFonts w:ascii="Times New Roman" w:hAnsi="Times New Roman"/>
    </w:rPr>
  </w:style>
  <w:style w:type="paragraph" w:styleId="Footer">
    <w:name w:val="footer"/>
    <w:basedOn w:val="Normal"/>
    <w:link w:val="FooterChar"/>
    <w:uiPriority w:val="99"/>
    <w:unhideWhenUsed/>
    <w:rsid w:val="006F5E42"/>
    <w:pPr>
      <w:tabs>
        <w:tab w:val="center" w:pos="4680"/>
        <w:tab w:val="right" w:pos="9360"/>
      </w:tabs>
      <w:spacing w:after="0"/>
    </w:pPr>
  </w:style>
  <w:style w:type="character" w:customStyle="1" w:styleId="FooterChar">
    <w:name w:val="Footer Char"/>
    <w:basedOn w:val="DefaultParagraphFont"/>
    <w:link w:val="Footer"/>
    <w:uiPriority w:val="99"/>
    <w:rsid w:val="006F5E4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2421</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2013-03-21T20:25:00Z</dcterms:created>
  <dcterms:modified xsi:type="dcterms:W3CDTF">2013-03-21T20:25:00Z</dcterms:modified>
  <cp:category> </cp:category>
  <cp:contentStatus> </cp:contentStatus>
</cp:coreProperties>
</file>